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header2.xml" ContentType="application/vnd.openxmlformats-officedocument.wordprocessingml.header+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8190" w:type="dxa"/>
        <w:jc w:val="left"/>
        <w:tblInd w:w="109" w:type="dxa"/>
        <w:tblBorders>
          <w:top w:val="single" w:sz="6" w:space="0" w:color="00000A"/>
        </w:tblBorders>
        <w:tblCellMar>
          <w:top w:w="0" w:type="dxa"/>
          <w:left w:w="108" w:type="dxa"/>
          <w:bottom w:w="0" w:type="dxa"/>
          <w:right w:w="108" w:type="dxa"/>
        </w:tblCellMar>
        <w:tblLook w:val="0000" w:noVBand="0" w:noHBand="0" w:lastColumn="0" w:firstColumn="0" w:lastRow="0" w:firstRow="0"/>
      </w:tblPr>
      <w:tblGrid>
        <w:gridCol w:w="1260"/>
        <w:gridCol w:w="4050"/>
        <w:gridCol w:w="2880"/>
      </w:tblGrid>
      <w:tr>
        <w:trPr/>
        <w:tc>
          <w:tcPr>
            <w:tcW w:w="1260" w:type="dxa"/>
            <w:tcBorders>
              <w:top w:val="single" w:sz="6" w:space="0" w:color="00000A"/>
            </w:tcBorders>
            <w:shd w:fill="auto" w:val="clear"/>
          </w:tcPr>
          <w:p>
            <w:pPr>
              <w:pStyle w:val="Covertext"/>
              <w:spacing w:before="120" w:after="120"/>
              <w:rPr/>
            </w:pPr>
            <w:r>
              <w:rPr/>
              <w:t>Project</w:t>
            </w:r>
          </w:p>
        </w:tc>
        <w:tc>
          <w:tcPr>
            <w:tcW w:w="6930" w:type="dxa"/>
            <w:gridSpan w:val="2"/>
            <w:tcBorders>
              <w:top w:val="single" w:sz="6" w:space="0" w:color="00000A"/>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A"/>
            </w:tcBorders>
            <w:shd w:fill="auto" w:val="clear"/>
          </w:tcPr>
          <w:p>
            <w:pPr>
              <w:pStyle w:val="Covertext"/>
              <w:spacing w:before="120" w:after="120"/>
              <w:rPr/>
            </w:pPr>
            <w:r>
              <w:rPr/>
              <w:t>Title</w:t>
            </w:r>
          </w:p>
        </w:tc>
        <w:tc>
          <w:tcPr>
            <w:tcW w:w="6930" w:type="dxa"/>
            <w:gridSpan w:val="2"/>
            <w:tcBorders>
              <w:top w:val="single" w:sz="6" w:space="0" w:color="00000A"/>
            </w:tcBorders>
            <w:shd w:fill="auto" w:val="clear"/>
          </w:tcPr>
          <w:p>
            <w:pPr>
              <w:pStyle w:val="Covertext"/>
              <w:spacing w:before="120" w:after="120"/>
              <w:rPr/>
            </w:pPr>
            <w:r>
              <w:rPr/>
              <w:fldChar w:fldCharType="begin"/>
            </w:r>
            <w:r>
              <w:instrText> TITLE </w:instrText>
            </w:r>
            <w:r>
              <w:fldChar w:fldCharType="separate"/>
            </w:r>
            <w:r>
              <w:t>IEEE 802.15.9rev Draft CSD</w:t>
            </w:r>
            <w:r>
              <w:fldChar w:fldCharType="end"/>
            </w:r>
          </w:p>
        </w:tc>
      </w:tr>
      <w:tr>
        <w:trPr/>
        <w:tc>
          <w:tcPr>
            <w:tcW w:w="1260" w:type="dxa"/>
            <w:tcBorders>
              <w:top w:val="single" w:sz="6" w:space="0" w:color="00000A"/>
            </w:tcBorders>
            <w:shd w:fill="auto" w:val="clear"/>
          </w:tcPr>
          <w:p>
            <w:pPr>
              <w:pStyle w:val="Covertext"/>
              <w:spacing w:before="120" w:after="120"/>
              <w:rPr/>
            </w:pPr>
            <w:r>
              <w:rPr/>
              <w:t>Date Submitted</w:t>
            </w:r>
          </w:p>
        </w:tc>
        <w:tc>
          <w:tcPr>
            <w:tcW w:w="6930" w:type="dxa"/>
            <w:gridSpan w:val="2"/>
            <w:tcBorders>
              <w:top w:val="single" w:sz="6" w:space="0" w:color="00000A"/>
            </w:tcBorders>
            <w:shd w:fill="auto" w:val="clear"/>
          </w:tcPr>
          <w:p>
            <w:pPr>
              <w:pStyle w:val="Covertext"/>
              <w:spacing w:before="120" w:after="120"/>
              <w:rPr/>
            </w:pPr>
            <w:r>
              <w:rPr/>
              <w:t>[14 May 2019]</w:t>
            </w:r>
          </w:p>
        </w:tc>
      </w:tr>
      <w:tr>
        <w:trPr/>
        <w:tc>
          <w:tcPr>
            <w:tcW w:w="1260" w:type="dxa"/>
            <w:tcBorders>
              <w:top w:val="single" w:sz="4" w:space="0" w:color="00000A"/>
              <w:bottom w:val="single" w:sz="4" w:space="0" w:color="00000A"/>
              <w:insideH w:val="single" w:sz="4" w:space="0" w:color="00000A"/>
            </w:tcBorders>
            <w:shd w:fill="auto" w:val="clear"/>
          </w:tcPr>
          <w:p>
            <w:pPr>
              <w:pStyle w:val="Covertext"/>
              <w:spacing w:before="120" w:after="120"/>
              <w:rPr/>
            </w:pPr>
            <w:r>
              <w:rPr/>
              <w:t>Source</w:t>
            </w:r>
          </w:p>
        </w:tc>
        <w:tc>
          <w:tcPr>
            <w:tcW w:w="4050" w:type="dxa"/>
            <w:tcBorders>
              <w:top w:val="single" w:sz="4" w:space="0" w:color="00000A"/>
              <w:bottom w:val="single" w:sz="4" w:space="0" w:color="00000A"/>
              <w:insideH w:val="single" w:sz="4" w:space="0" w:color="00000A"/>
            </w:tcBorders>
            <w:shd w:fill="auto" w:val="clear"/>
          </w:tcPr>
          <w:p>
            <w:pPr>
              <w:pStyle w:val="Covertext"/>
              <w:spacing w:before="0" w:after="0"/>
              <w:rPr/>
            </w:pPr>
            <w:r>
              <w:rPr/>
              <w:t>[Tero Kivinen]</w:t>
              <w:br/>
              <w:t>[]</w:t>
              <w:br/>
              <w:t>[]</w:t>
            </w:r>
          </w:p>
        </w:tc>
        <w:tc>
          <w:tcPr>
            <w:tcW w:w="2880" w:type="dxa"/>
            <w:tcBorders>
              <w:top w:val="single" w:sz="4" w:space="0" w:color="00000A"/>
              <w:bottom w:val="single" w:sz="4" w:space="0" w:color="00000A"/>
              <w:insideH w:val="single" w:sz="4" w:space="0" w:color="00000A"/>
            </w:tcBorders>
            <w:shd w:fill="auto" w:val="clear"/>
          </w:tcPr>
          <w:p>
            <w:pPr>
              <w:pStyle w:val="Covertext"/>
              <w:tabs>
                <w:tab w:val="left" w:pos="1152" w:leader="none"/>
              </w:tabs>
              <w:spacing w:before="0" w:after="0"/>
              <w:rPr/>
            </w:pPr>
            <w:r>
              <w:rPr/>
              <w:t>Voice:</w:t>
              <w:tab/>
              <w:t>[   ]</w:t>
              <w:br/>
              <w:t>Fax:</w:t>
              <w:tab/>
              <w:t>[   ]</w:t>
              <w:br/>
              <w:t>E-mail:</w:t>
              <w:tab/>
              <w:t>[   ]</w:t>
            </w:r>
          </w:p>
        </w:tc>
      </w:tr>
      <w:tr>
        <w:trPr/>
        <w:tc>
          <w:tcPr>
            <w:tcW w:w="1260" w:type="dxa"/>
            <w:tcBorders>
              <w:top w:val="single" w:sz="6" w:space="0" w:color="00000A"/>
            </w:tcBorders>
            <w:shd w:fill="auto" w:val="clear"/>
          </w:tcPr>
          <w:p>
            <w:pPr>
              <w:pStyle w:val="Covertext"/>
              <w:spacing w:before="120" w:after="120"/>
              <w:rPr/>
            </w:pPr>
            <w:r>
              <w:rPr/>
              <w:t>Re:</w:t>
            </w:r>
          </w:p>
        </w:tc>
        <w:tc>
          <w:tcPr>
            <w:tcW w:w="6930" w:type="dxa"/>
            <w:gridSpan w:val="2"/>
            <w:tcBorders>
              <w:top w:val="single" w:sz="6" w:space="0" w:color="00000A"/>
            </w:tcBorders>
            <w:shd w:fill="auto" w:val="clear"/>
          </w:tcPr>
          <w:p>
            <w:pPr>
              <w:pStyle w:val="Covertext"/>
              <w:spacing w:before="120" w:after="120"/>
              <w:rPr/>
            </w:pPr>
            <w:r>
              <w:rPr/>
            </w:r>
          </w:p>
        </w:tc>
      </w:tr>
      <w:tr>
        <w:trPr>
          <w:trHeight w:val="660" w:hRule="atLeast"/>
        </w:trPr>
        <w:tc>
          <w:tcPr>
            <w:tcW w:w="1260" w:type="dxa"/>
            <w:tcBorders>
              <w:top w:val="single" w:sz="6" w:space="0" w:color="00000A"/>
            </w:tcBorders>
            <w:shd w:fill="auto" w:val="clear"/>
          </w:tcPr>
          <w:p>
            <w:pPr>
              <w:pStyle w:val="Covertext"/>
              <w:spacing w:before="120" w:after="120"/>
              <w:rPr/>
            </w:pPr>
            <w:r>
              <w:rPr/>
              <w:t>Abstract</w:t>
            </w:r>
          </w:p>
        </w:tc>
        <w:tc>
          <w:tcPr>
            <w:tcW w:w="6930" w:type="dxa"/>
            <w:gridSpan w:val="2"/>
            <w:tcBorders>
              <w:top w:val="single" w:sz="6" w:space="0" w:color="00000A"/>
            </w:tcBorders>
            <w:shd w:fill="auto" w:val="clear"/>
          </w:tcPr>
          <w:p>
            <w:pPr>
              <w:pStyle w:val="Covertext"/>
              <w:spacing w:before="120" w:after="120"/>
              <w:rPr/>
            </w:pPr>
            <w:r>
              <w:rPr/>
              <w:t>[CSD for 802.15.9 revision]</w:t>
            </w:r>
          </w:p>
          <w:p>
            <w:pPr>
              <w:pStyle w:val="Covertext"/>
              <w:spacing w:before="120" w:after="120"/>
              <w:rPr/>
            </w:pPr>
            <w:r>
              <w:rPr/>
            </w:r>
          </w:p>
        </w:tc>
      </w:tr>
      <w:tr>
        <w:trPr/>
        <w:tc>
          <w:tcPr>
            <w:tcW w:w="1260" w:type="dxa"/>
            <w:tcBorders>
              <w:top w:val="single" w:sz="6" w:space="0" w:color="00000A"/>
            </w:tcBorders>
            <w:shd w:fill="auto" w:val="clear"/>
          </w:tcPr>
          <w:p>
            <w:pPr>
              <w:pStyle w:val="Covertext"/>
              <w:spacing w:before="120" w:after="120"/>
              <w:rPr/>
            </w:pPr>
            <w:r>
              <w:rPr/>
              <w:t>Purpose</w:t>
            </w:r>
          </w:p>
        </w:tc>
        <w:tc>
          <w:tcPr>
            <w:tcW w:w="6930" w:type="dxa"/>
            <w:gridSpan w:val="2"/>
            <w:tcBorders>
              <w:top w:val="single" w:sz="6" w:space="0" w:color="00000A"/>
            </w:tcBorders>
            <w:shd w:fill="auto" w:val="clear"/>
          </w:tcPr>
          <w:p>
            <w:pPr>
              <w:pStyle w:val="Covertext"/>
              <w:spacing w:before="120" w:after="120"/>
              <w:rPr/>
            </w:pPr>
            <w:r>
              <w:rPr/>
              <w:t>[CSD for 802.15.9 revision]</w:t>
            </w:r>
          </w:p>
        </w:tc>
      </w:tr>
      <w:tr>
        <w:trPr/>
        <w:tc>
          <w:tcPr>
            <w:tcW w:w="1260" w:type="dxa"/>
            <w:tcBorders>
              <w:top w:val="single" w:sz="6" w:space="0" w:color="00000A"/>
              <w:bottom w:val="single" w:sz="6" w:space="0" w:color="00000A"/>
              <w:insideH w:val="single" w:sz="6" w:space="0" w:color="00000A"/>
            </w:tcBorders>
            <w:shd w:fill="auto" w:val="clear"/>
          </w:tcPr>
          <w:p>
            <w:pPr>
              <w:pStyle w:val="Covertext"/>
              <w:spacing w:before="120" w:after="120"/>
              <w:rPr/>
            </w:pPr>
            <w:r>
              <w:rPr/>
              <w:t>Notice</w:t>
            </w:r>
          </w:p>
        </w:tc>
        <w:tc>
          <w:tcPr>
            <w:tcW w:w="6930" w:type="dxa"/>
            <w:gridSpan w:val="2"/>
            <w:tcBorders>
              <w:top w:val="single" w:sz="6" w:space="0" w:color="00000A"/>
              <w:bottom w:val="single" w:sz="6" w:space="0" w:color="00000A"/>
              <w:insideH w:val="single" w:sz="6" w:space="0" w:color="00000A"/>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A"/>
              <w:bottom w:val="single" w:sz="6" w:space="0" w:color="00000A"/>
              <w:insideH w:val="single" w:sz="6" w:space="0" w:color="00000A"/>
            </w:tcBorders>
            <w:shd w:fill="auto" w:val="clear"/>
          </w:tcPr>
          <w:p>
            <w:pPr>
              <w:pStyle w:val="Covertext"/>
              <w:spacing w:before="120" w:after="120"/>
              <w:rPr/>
            </w:pPr>
            <w:r>
              <w:rPr/>
              <w:t>Release</w:t>
            </w:r>
          </w:p>
        </w:tc>
        <w:tc>
          <w:tcPr>
            <w:tcW w:w="6930" w:type="dxa"/>
            <w:gridSpan w:val="2"/>
            <w:tcBorders>
              <w:top w:val="single" w:sz="6" w:space="0" w:color="00000A"/>
              <w:bottom w:val="single" w:sz="6" w:space="0" w:color="00000A"/>
              <w:insideH w:val="single" w:sz="6" w:space="0" w:color="00000A"/>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240" w:charSpace="4294961151"/>
        </w:sectPr>
      </w:pPr>
    </w:p>
    <w:p>
      <w:pPr>
        <w:pStyle w:val="Heading"/>
        <w:rPr>
          <w:sz w:val="24"/>
          <w:szCs w:val="24"/>
        </w:rPr>
      </w:pPr>
      <w:r>
        <w:rPr>
          <w:sz w:val="24"/>
          <w:szCs w:val="24"/>
        </w:rPr>
        <w:t>CRITERIA FOR STANDARDS DEVELOPMENT (CSD)</w:t>
      </w:r>
    </w:p>
    <w:p>
      <w:pPr>
        <w:pStyle w:val="Normal"/>
        <w:jc w:val="center"/>
        <w:rPr>
          <w:szCs w:val="24"/>
        </w:rPr>
      </w:pPr>
      <w:r>
        <w:rPr>
          <w:szCs w:val="24"/>
        </w:rPr>
        <w:t>Based on IEEE 802 LMSC Operations Manuals approved 13 November 2015</w:t>
      </w:r>
    </w:p>
    <w:p>
      <w:pPr>
        <w:pStyle w:val="Normal"/>
        <w:jc w:val="center"/>
        <w:rPr>
          <w:szCs w:val="24"/>
        </w:rPr>
      </w:pPr>
      <w:r>
        <w:rPr>
          <w:szCs w:val="24"/>
        </w:rPr>
        <w:t xml:space="preserve">Last edited 3 December </w:t>
      </w:r>
      <w:bookmarkStart w:id="1" w:name="RevisionDate"/>
      <w:r>
        <w:rPr>
          <w:szCs w:val="24"/>
        </w:rPr>
        <w:t>201</w:t>
      </w:r>
      <w:bookmarkEnd w:id="1"/>
      <w:r>
        <w:rPr>
          <w:szCs w:val="24"/>
        </w:rPr>
        <w:t xml:space="preserve">5 </w:t>
      </w:r>
    </w:p>
    <w:p>
      <w:pPr>
        <w:pStyle w:val="Normal"/>
        <w:jc w:val="center"/>
        <w:rPr>
          <w:szCs w:val="24"/>
        </w:rPr>
      </w:pPr>
      <w:r>
        <w:rPr>
          <w:szCs w:val="24"/>
        </w:rPr>
      </w:r>
    </w:p>
    <w:p>
      <w:pPr>
        <w:pStyle w:val="Normal"/>
        <w:tabs>
          <w:tab w:val="left" w:pos="2681" w:leader="none"/>
          <w:tab w:val="center" w:pos="4680" w:leader="none"/>
        </w:tabs>
        <w:ind w:left="720" w:right="720" w:hanging="0"/>
        <w:rPr>
          <w:b/>
          <w:b/>
          <w:strike/>
          <w:szCs w:val="24"/>
        </w:rPr>
      </w:pPr>
      <w:r>
        <w:rPr>
          <w:b/>
          <w:szCs w:val="24"/>
          <w:lang w:eastAsia="ja-JP"/>
        </w:rPr>
        <w:tab/>
        <w:tab/>
        <w:t xml:space="preserve">Title: </w:t>
      </w:r>
    </w:p>
    <w:p>
      <w:pPr>
        <w:pStyle w:val="Normal"/>
        <w:jc w:val="center"/>
        <w:rPr/>
      </w:pPr>
      <w:r>
        <w:rPr>
          <w:rFonts w:ascii="Verdana" w:hAnsi="Verdana"/>
          <w:color w:val="FF0000"/>
          <w:sz w:val="28"/>
          <w:szCs w:val="28"/>
          <w:shd w:fill="FFFFFF" w:val="clear"/>
        </w:rPr>
        <w:t>IEEE Standard Transport of Key Management Protocol (KMP) Datagrams revision 1</w:t>
      </w:r>
    </w:p>
    <w:p>
      <w:pPr>
        <w:pStyle w:val="Heading1"/>
        <w:numPr>
          <w:ilvl w:val="0"/>
          <w:numId w:val="1"/>
        </w:numPr>
        <w:tabs>
          <w:tab w:val="left" w:pos="720" w:leader="none"/>
        </w:tabs>
        <w:suppressAutoHyphens w:val="true"/>
        <w:spacing w:before="245" w:after="115"/>
        <w:rPr>
          <w:rFonts w:ascii="Times New Roman" w:hAnsi="Times New Roman"/>
          <w:sz w:val="23"/>
          <w:szCs w:val="23"/>
        </w:rPr>
      </w:pPr>
      <w:r>
        <w:rPr>
          <w:rFonts w:ascii="Times New Roman" w:hAnsi="Times New Roman"/>
          <w:sz w:val="23"/>
          <w:szCs w:val="23"/>
        </w:rPr>
        <w:t>IEEE 802 criteria for standards development (CSD)</w:t>
      </w:r>
    </w:p>
    <w:p>
      <w:pPr>
        <w:pStyle w:val="TextBody"/>
        <w:rPr/>
      </w:pPr>
      <w:r>
        <w:rPr>
          <w:color w:val="00000A"/>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Pr>
          <w:color w:val="00000A"/>
          <w:sz w:val="23"/>
          <w:szCs w:val="23"/>
        </w:rPr>
        <w:fldChar w:fldCharType="begin"/>
      </w:r>
      <w:r>
        <w:instrText> REF __RefHeading__5867_1944447809 \w \h </w:instrText>
      </w:r>
      <w:r>
        <w:fldChar w:fldCharType="separate"/>
      </w:r>
      <w:r>
        <w:t>1.1</w:t>
      </w:r>
      <w:r>
        <w:fldChar w:fldCharType="end"/>
      </w:r>
      <w:r>
        <w:rPr>
          <w:color w:val="00000A"/>
          <w:sz w:val="23"/>
          <w:szCs w:val="23"/>
        </w:rPr>
        <w:t xml:space="preserve">, and the 5C requirements, </w:t>
      </w:r>
      <w:r>
        <w:rPr>
          <w:color w:val="00000A"/>
          <w:sz w:val="23"/>
          <w:szCs w:val="23"/>
        </w:rPr>
        <w:fldChar w:fldCharType="begin"/>
      </w:r>
      <w:r>
        <w:instrText> REF __RefHeading__5883_1944447809 \w \h </w:instrText>
      </w:r>
      <w:r>
        <w:fldChar w:fldCharType="separate"/>
      </w:r>
      <w:r>
        <w:t>1.2</w:t>
      </w:r>
      <w:r>
        <w:fldChar w:fldCharType="end"/>
      </w:r>
      <w:r>
        <w:rPr>
          <w:color w:val="00000A"/>
          <w:sz w:val="23"/>
          <w:szCs w:val="23"/>
        </w:rPr>
        <w:t>.</w:t>
      </w:r>
    </w:p>
    <w:p>
      <w:pPr>
        <w:pStyle w:val="Heading2"/>
        <w:numPr>
          <w:ilvl w:val="1"/>
          <w:numId w:val="1"/>
        </w:numPr>
        <w:suppressAutoHyphens w:val="true"/>
        <w:spacing w:before="245" w:after="115"/>
        <w:rPr>
          <w:rFonts w:ascii="Times New Roman" w:hAnsi="Times New Roman"/>
          <w:sz w:val="23"/>
          <w:szCs w:val="23"/>
        </w:rPr>
      </w:pPr>
      <w:bookmarkStart w:id="2" w:name="__RefHeading__5867_1944447809"/>
      <w:bookmarkEnd w:id="2"/>
      <w:r>
        <w:rPr>
          <w:rFonts w:ascii="Times New Roman" w:hAnsi="Times New Roman"/>
          <w:sz w:val="23"/>
          <w:szCs w:val="23"/>
        </w:rPr>
        <w:t>Project process requirements</w:t>
      </w:r>
    </w:p>
    <w:p>
      <w:pPr>
        <w:pStyle w:val="Heading3"/>
        <w:numPr>
          <w:ilvl w:val="2"/>
          <w:numId w:val="1"/>
        </w:numPr>
        <w:suppressAutoHyphens w:val="true"/>
        <w:spacing w:before="245" w:after="115"/>
        <w:rPr>
          <w:rFonts w:ascii="Times New Roman" w:hAnsi="Times New Roman"/>
          <w:sz w:val="23"/>
          <w:szCs w:val="23"/>
        </w:rPr>
      </w:pPr>
      <w:bookmarkStart w:id="3" w:name="__RefHeading__9700_1012863564"/>
      <w:bookmarkEnd w:id="3"/>
      <w:r>
        <w:rPr>
          <w:rFonts w:ascii="Times New Roman" w:hAnsi="Times New Roman"/>
          <w:sz w:val="23"/>
          <w:szCs w:val="23"/>
        </w:rPr>
        <w:t>Managed objects</w:t>
      </w:r>
    </w:p>
    <w:p>
      <w:pPr>
        <w:pStyle w:val="TextBody"/>
        <w:rPr>
          <w:color w:val="000000" w:themeColor="text1"/>
          <w:sz w:val="23"/>
          <w:szCs w:val="23"/>
        </w:rPr>
      </w:pPr>
      <w:r>
        <w:rPr>
          <w:color w:val="00000A"/>
          <w:sz w:val="23"/>
          <w:szCs w:val="23"/>
        </w:rPr>
        <w:t xml:space="preserve">Describe the plan for developing a definition of managed objects.  The plan shall specify one of the </w:t>
      </w:r>
      <w:r>
        <w:rPr>
          <w:color w:val="000000" w:themeColor="text1"/>
          <w:sz w:val="23"/>
          <w:szCs w:val="23"/>
        </w:rPr>
        <w:t>following:</w:t>
      </w:r>
    </w:p>
    <w:p>
      <w:pPr>
        <w:pStyle w:val="LetteredList1"/>
        <w:numPr>
          <w:ilvl w:val="0"/>
          <w:numId w:val="2"/>
        </w:numPr>
        <w:suppressAutoHyphens w:val="false"/>
        <w:rPr>
          <w:color w:val="000000" w:themeColor="text1"/>
          <w:sz w:val="23"/>
          <w:szCs w:val="23"/>
        </w:rPr>
      </w:pPr>
      <w:r>
        <w:rPr>
          <w:color w:val="000000" w:themeColor="text1"/>
          <w:sz w:val="23"/>
          <w:szCs w:val="23"/>
        </w:rPr>
        <w:t xml:space="preserve">The definitions will be part of this project. </w:t>
      </w:r>
      <w:r>
        <w:rPr>
          <w:iCs/>
          <w:color w:val="FF0000"/>
          <w:sz w:val="23"/>
          <w:szCs w:val="23"/>
        </w:rPr>
        <w:t>Yes</w:t>
      </w:r>
    </w:p>
    <w:p>
      <w:pPr>
        <w:pStyle w:val="LetteredList1"/>
        <w:numPr>
          <w:ilvl w:val="0"/>
          <w:numId w:val="2"/>
        </w:numPr>
        <w:rPr>
          <w:sz w:val="23"/>
          <w:szCs w:val="23"/>
        </w:rPr>
      </w:pPr>
      <w:r>
        <w:rPr>
          <w:color w:val="000000" w:themeColor="text1"/>
          <w:sz w:val="23"/>
          <w:szCs w:val="23"/>
        </w:rPr>
        <w:t>The definitions will be part of a different project and provide the plan for that project or</w:t>
      </w:r>
      <w:r>
        <w:rPr>
          <w:sz w:val="23"/>
          <w:szCs w:val="23"/>
        </w:rPr>
        <w:t xml:space="preserve"> anticipated future project</w:t>
      </w:r>
      <w:r>
        <w:rPr>
          <w:sz w:val="23"/>
          <w:szCs w:val="23"/>
          <w:lang w:eastAsia="ja-JP"/>
        </w:rPr>
        <w:t xml:space="preserve">. </w:t>
      </w:r>
    </w:p>
    <w:p>
      <w:pPr>
        <w:pStyle w:val="LetteredList1"/>
        <w:numPr>
          <w:ilvl w:val="0"/>
          <w:numId w:val="2"/>
        </w:numPr>
        <w:rPr>
          <w:sz w:val="23"/>
          <w:szCs w:val="23"/>
        </w:rPr>
      </w:pPr>
      <w:r>
        <w:rPr>
          <w:sz w:val="23"/>
          <w:szCs w:val="23"/>
        </w:rPr>
        <w:t xml:space="preserve">The definitions will not be developed and explain why such definitions are not needed. </w:t>
      </w:r>
    </w:p>
    <w:p>
      <w:pPr>
        <w:pStyle w:val="Heading3"/>
        <w:numPr>
          <w:ilvl w:val="2"/>
          <w:numId w:val="1"/>
        </w:numPr>
        <w:suppressAutoHyphens w:val="true"/>
        <w:spacing w:before="245" w:after="115"/>
        <w:rPr>
          <w:rFonts w:ascii="Times New Roman" w:hAnsi="Times New Roman"/>
          <w:sz w:val="23"/>
          <w:szCs w:val="23"/>
        </w:rPr>
      </w:pPr>
      <w:r>
        <w:rPr>
          <w:sz w:val="23"/>
          <w:szCs w:val="23"/>
          <w:lang w:eastAsia="ja-JP"/>
        </w:rPr>
        <w:tab/>
      </w:r>
      <w:bookmarkStart w:id="4" w:name="__RefHeading__9702_1012863564"/>
      <w:bookmarkEnd w:id="4"/>
      <w:r>
        <w:rPr>
          <w:rFonts w:ascii="Times New Roman" w:hAnsi="Times New Roman"/>
          <w:sz w:val="23"/>
          <w:szCs w:val="23"/>
        </w:rPr>
        <w:t>Coexistence</w:t>
      </w:r>
    </w:p>
    <w:p>
      <w:pPr>
        <w:pStyle w:val="TextBody"/>
        <w:rPr>
          <w:color w:val="00000A"/>
          <w:sz w:val="23"/>
          <w:szCs w:val="23"/>
        </w:rPr>
      </w:pPr>
      <w:r>
        <w:rPr>
          <w:color w:val="00000A"/>
          <w:sz w:val="23"/>
          <w:szCs w:val="23"/>
        </w:rPr>
        <w:t>A WG proposing a wireless project shall demonstrate coexistence through the preparation of a Coexistence Assurance (CA) document unless it is not applicable.</w:t>
      </w:r>
    </w:p>
    <w:p>
      <w:pPr>
        <w:pStyle w:val="LetteredList1"/>
        <w:numPr>
          <w:ilvl w:val="0"/>
          <w:numId w:val="3"/>
        </w:numPr>
        <w:tabs>
          <w:tab w:val="left" w:pos="0" w:leader="none"/>
          <w:tab w:val="left" w:pos="720" w:leader="none"/>
        </w:tabs>
        <w:ind w:left="720" w:hanging="360"/>
        <w:rPr>
          <w:sz w:val="23"/>
          <w:szCs w:val="23"/>
        </w:rPr>
      </w:pPr>
      <w:r>
        <w:rPr>
          <w:sz w:val="23"/>
          <w:szCs w:val="23"/>
        </w:rPr>
        <w:t xml:space="preserve">Will the WG create a CA document as part of the WG balloting process as described in Clause 13? (yes/no) </w:t>
      </w:r>
      <w:r>
        <w:rPr>
          <w:sz w:val="23"/>
          <w:szCs w:val="23"/>
          <w:lang w:eastAsia="ja-JP"/>
        </w:rPr>
        <w:t xml:space="preserve">   </w:t>
      </w:r>
      <w:r>
        <w:rPr>
          <w:color w:val="FF0000"/>
          <w:sz w:val="23"/>
          <w:szCs w:val="23"/>
          <w:lang w:eastAsia="ja-JP"/>
        </w:rPr>
        <w:t>No</w:t>
      </w:r>
    </w:p>
    <w:p>
      <w:pPr>
        <w:pStyle w:val="LetteredList1"/>
        <w:numPr>
          <w:ilvl w:val="0"/>
          <w:numId w:val="3"/>
        </w:numPr>
        <w:tabs>
          <w:tab w:val="left" w:pos="0" w:leader="none"/>
          <w:tab w:val="left" w:pos="720" w:leader="none"/>
        </w:tabs>
        <w:ind w:left="720" w:hanging="360"/>
        <w:rPr/>
      </w:pPr>
      <w:r>
        <w:rPr>
          <w:sz w:val="23"/>
          <w:szCs w:val="23"/>
        </w:rPr>
        <w:t>If not, explain why the CA document is not applicable.</w:t>
      </w:r>
      <w:r>
        <w:rPr>
          <w:sz w:val="23"/>
          <w:szCs w:val="23"/>
          <w:lang w:eastAsia="ja-JP"/>
        </w:rPr>
        <w:t xml:space="preserve">  </w:t>
      </w:r>
      <w:r>
        <w:rPr>
          <w:color w:val="FF0000"/>
          <w:sz w:val="23"/>
          <w:szCs w:val="23"/>
          <w:lang w:eastAsia="ja-JP"/>
        </w:rPr>
        <w:t>This is about transport of the key management protocols datagrams, there is no impact on coexistence.</w:t>
      </w:r>
    </w:p>
    <w:p>
      <w:pPr>
        <w:pStyle w:val="Heading2"/>
        <w:numPr>
          <w:ilvl w:val="1"/>
          <w:numId w:val="1"/>
        </w:numPr>
        <w:suppressAutoHyphens w:val="true"/>
        <w:spacing w:before="245" w:after="115"/>
        <w:rPr/>
      </w:pPr>
      <w:bookmarkStart w:id="5" w:name="__RefHeading__5883_1944447809"/>
      <w:bookmarkEnd w:id="5"/>
      <w:r>
        <w:rPr>
          <w:rFonts w:ascii="Times New Roman" w:hAnsi="Times New Roman"/>
          <w:sz w:val="23"/>
          <w:szCs w:val="23"/>
        </w:rPr>
        <w:t>5C requirements</w:t>
      </w:r>
    </w:p>
    <w:p>
      <w:pPr>
        <w:pStyle w:val="Heading3"/>
        <w:numPr>
          <w:ilvl w:val="2"/>
          <w:numId w:val="1"/>
        </w:numPr>
        <w:suppressAutoHyphens w:val="true"/>
        <w:spacing w:before="245" w:after="115"/>
        <w:rPr>
          <w:rFonts w:ascii="Times New Roman" w:hAnsi="Times New Roman"/>
          <w:sz w:val="23"/>
          <w:szCs w:val="23"/>
        </w:rPr>
      </w:pPr>
      <w:bookmarkStart w:id="6" w:name="__RefHeading__9704_1012863564"/>
      <w:bookmarkEnd w:id="6"/>
      <w:r>
        <w:rPr>
          <w:rFonts w:ascii="Times New Roman" w:hAnsi="Times New Roman"/>
          <w:sz w:val="23"/>
          <w:szCs w:val="23"/>
        </w:rPr>
        <w:t>Broad market potential</w:t>
      </w:r>
    </w:p>
    <w:p>
      <w:pPr>
        <w:pStyle w:val="TextBody"/>
        <w:rPr>
          <w:color w:val="00000A"/>
          <w:sz w:val="23"/>
          <w:szCs w:val="23"/>
        </w:rPr>
      </w:pPr>
      <w:r>
        <w:rPr>
          <w:color w:val="00000A"/>
          <w:sz w:val="23"/>
          <w:szCs w:val="23"/>
        </w:rPr>
        <w:t>Each proposed IEEE 802 LMSC standard shall have broad market potential.  At a minimum, address the following areas:</w:t>
      </w:r>
    </w:p>
    <w:p>
      <w:pPr>
        <w:pStyle w:val="TextBody"/>
        <w:rPr>
          <w:color w:val="00000A"/>
          <w:sz w:val="23"/>
          <w:szCs w:val="23"/>
        </w:rPr>
      </w:pPr>
      <w:r>
        <w:rPr>
          <w:color w:val="00000A"/>
          <w:sz w:val="23"/>
          <w:szCs w:val="23"/>
        </w:rPr>
      </w:r>
    </w:p>
    <w:p>
      <w:pPr>
        <w:pStyle w:val="LetteredList1"/>
        <w:numPr>
          <w:ilvl w:val="0"/>
          <w:numId w:val="4"/>
        </w:numPr>
        <w:rPr>
          <w:sz w:val="23"/>
          <w:szCs w:val="23"/>
        </w:rPr>
      </w:pPr>
      <w:r>
        <w:rPr>
          <w:sz w:val="23"/>
          <w:szCs w:val="23"/>
        </w:rPr>
        <w:t>Broad sets of applicability.</w:t>
      </w:r>
    </w:p>
    <w:p>
      <w:pPr>
        <w:pStyle w:val="Normal"/>
        <w:ind w:left="720" w:hanging="0"/>
        <w:rPr/>
      </w:pPr>
      <w:r>
        <w:rPr>
          <w:color w:val="FF0000"/>
          <w:sz w:val="23"/>
          <w:szCs w:val="23"/>
          <w:lang w:eastAsia="ja-JP"/>
        </w:rPr>
        <w:t xml:space="preserve">Security is key aspect of the current Internet of Things (IoT) technology, and IEEE Std 802.15.9 provides key management for the IEEE Std 802.15.4. IEEE Std 802.15.4 has significant market presence in the IoT technology and the addition of additional security key management is demanded for the broad application base and continued deployments.  </w:t>
      </w:r>
    </w:p>
    <w:p>
      <w:pPr>
        <w:pStyle w:val="LetteredList1"/>
        <w:ind w:left="720" w:hanging="0"/>
        <w:rPr>
          <w:sz w:val="23"/>
          <w:szCs w:val="23"/>
        </w:rPr>
      </w:pPr>
      <w:r>
        <w:rPr>
          <w:sz w:val="23"/>
          <w:szCs w:val="23"/>
        </w:rPr>
      </w:r>
    </w:p>
    <w:p>
      <w:pPr>
        <w:pStyle w:val="LetteredList1"/>
        <w:numPr>
          <w:ilvl w:val="0"/>
          <w:numId w:val="4"/>
        </w:numPr>
        <w:rPr>
          <w:sz w:val="23"/>
          <w:szCs w:val="23"/>
        </w:rPr>
      </w:pPr>
      <w:r>
        <w:rPr>
          <w:sz w:val="23"/>
          <w:szCs w:val="23"/>
        </w:rPr>
        <w:t>Multiple vendors and numerous users.</w:t>
      </w:r>
    </w:p>
    <w:p>
      <w:pPr>
        <w:pStyle w:val="LetteredList1"/>
        <w:tabs>
          <w:tab w:val="left" w:pos="0" w:leader="none"/>
          <w:tab w:val="left" w:pos="720" w:leader="none"/>
        </w:tabs>
        <w:ind w:left="720" w:hanging="0"/>
        <w:rPr>
          <w:color w:val="FF0000"/>
          <w:sz w:val="23"/>
          <w:szCs w:val="23"/>
        </w:rPr>
      </w:pPr>
      <w:r>
        <w:rPr>
          <w:color w:val="FF0000"/>
        </w:rPr>
        <w:t xml:space="preserve">There are many silicon and system vendors already producing devices and systems using IEEE Std 802.15.4 and IEEE 802.15.9 for use in IoT applications. This </w:t>
      </w:r>
      <w:r>
        <w:rPr>
          <w:color w:val="FF0000"/>
          <w:szCs w:val="24"/>
          <w:lang w:eastAsia="ja-JP"/>
        </w:rPr>
        <w:t>includes things like consumer electronics, mobile devices, building automation, medical applications, SmartGrid and Smart Community applications, industrial control, etc., and therefore has a very large end user community.</w:t>
      </w:r>
    </w:p>
    <w:p>
      <w:pPr>
        <w:pStyle w:val="Heading3"/>
        <w:numPr>
          <w:ilvl w:val="2"/>
          <w:numId w:val="1"/>
        </w:numPr>
        <w:suppressAutoHyphens w:val="true"/>
        <w:spacing w:before="245" w:after="115"/>
        <w:rPr>
          <w:rFonts w:ascii="Times New Roman" w:hAnsi="Times New Roman"/>
          <w:sz w:val="23"/>
          <w:szCs w:val="23"/>
        </w:rPr>
      </w:pPr>
      <w:bookmarkStart w:id="7" w:name="__RefHeading__9706_1012863564"/>
      <w:bookmarkEnd w:id="7"/>
      <w:r>
        <w:rPr>
          <w:rFonts w:ascii="Times New Roman" w:hAnsi="Times New Roman"/>
          <w:sz w:val="23"/>
          <w:szCs w:val="23"/>
        </w:rPr>
        <w:t>Compatibility</w:t>
      </w:r>
    </w:p>
    <w:p>
      <w:pPr>
        <w:pStyle w:val="TextBody"/>
        <w:rPr>
          <w:color w:val="00000A"/>
          <w:sz w:val="23"/>
          <w:szCs w:val="23"/>
        </w:rPr>
      </w:pPr>
      <w:r>
        <w:rPr>
          <w:color w:val="00000A"/>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5"/>
        </w:numPr>
        <w:rPr/>
      </w:pPr>
      <w:r>
        <w:rPr>
          <w:sz w:val="23"/>
          <w:szCs w:val="23"/>
        </w:rPr>
        <w:t xml:space="preserve">Will the proposed standard comply with IEEE Std 802, IEEE Std 802.1AC and IEEE Std 802.1Q? </w:t>
      </w:r>
      <w:r>
        <w:rPr>
          <w:color w:val="FF0000"/>
          <w:sz w:val="23"/>
          <w:szCs w:val="23"/>
        </w:rPr>
        <w:t>Yes</w:t>
      </w:r>
      <w:r>
        <w:rPr>
          <w:iCs/>
          <w:color w:val="FF0000"/>
          <w:sz w:val="23"/>
          <w:szCs w:val="23"/>
          <w:lang w:eastAsia="ja-JP"/>
        </w:rPr>
        <w:t>.</w:t>
      </w:r>
    </w:p>
    <w:p>
      <w:pPr>
        <w:pStyle w:val="ListParagraph"/>
        <w:rPr>
          <w:iCs/>
          <w:color w:val="FF0000"/>
          <w:sz w:val="23"/>
          <w:szCs w:val="23"/>
          <w:lang w:eastAsia="ja-JP"/>
        </w:rPr>
      </w:pPr>
      <w:r>
        <w:rPr>
          <w:iCs/>
          <w:color w:val="FF0000"/>
          <w:sz w:val="23"/>
          <w:szCs w:val="23"/>
          <w:lang w:eastAsia="ja-JP"/>
        </w:rPr>
      </w:r>
    </w:p>
    <w:p>
      <w:pPr>
        <w:pStyle w:val="Normal"/>
        <w:ind w:left="630" w:hanging="270"/>
        <w:rPr/>
      </w:pPr>
      <w:r>
        <w:rPr>
          <w:sz w:val="23"/>
          <w:szCs w:val="23"/>
          <w:lang w:eastAsia="ja-JP"/>
        </w:rPr>
        <w:t>b)</w:t>
      </w:r>
      <w:r>
        <w:rPr>
          <w:sz w:val="23"/>
          <w:szCs w:val="23"/>
          <w:lang w:eastAsia="zh-CN"/>
        </w:rPr>
        <w:t xml:space="preserve"> If the answer to a) is no, supply the response from the IEEE 802.1 WG.</w:t>
      </w:r>
      <w:bookmarkStart w:id="8" w:name="__RefHeading__9708_1012863564"/>
      <w:bookmarkEnd w:id="8"/>
      <w:r>
        <w:rPr>
          <w:sz w:val="23"/>
          <w:szCs w:val="23"/>
          <w:lang w:eastAsia="zh-CN"/>
        </w:rPr>
        <w:br/>
      </w:r>
    </w:p>
    <w:p>
      <w:pPr>
        <w:pStyle w:val="LetteredList1"/>
        <w:numPr>
          <w:ilvl w:val="2"/>
          <w:numId w:val="1"/>
        </w:numPr>
        <w:spacing w:before="245" w:after="115"/>
        <w:rPr>
          <w:sz w:val="23"/>
          <w:szCs w:val="23"/>
        </w:rPr>
      </w:pPr>
      <w:r>
        <w:rPr>
          <w:sz w:val="23"/>
          <w:szCs w:val="23"/>
        </w:rPr>
        <w:t xml:space="preserve">Distinct Identity </w:t>
      </w:r>
    </w:p>
    <w:p>
      <w:pPr>
        <w:pStyle w:val="LetteredList1"/>
        <w:tabs>
          <w:tab w:val="left" w:pos="0" w:leader="none"/>
          <w:tab w:val="left" w:pos="720" w:leader="none"/>
        </w:tabs>
        <w:spacing w:before="245" w:after="115"/>
        <w:ind w:left="0" w:hanging="0"/>
        <w:rPr>
          <w:sz w:val="23"/>
          <w:szCs w:val="23"/>
        </w:rPr>
      </w:pPr>
      <w:r>
        <w:rPr>
          <w:sz w:val="23"/>
          <w:szCs w:val="23"/>
        </w:rPr>
        <w:t>Each proposed IEEE 802 LMSC standard shall provide evidence of a distinct identity. Identify standards and standards projects with similar scopes and for each one describe why the proposed project is substantially different.</w:t>
      </w:r>
    </w:p>
    <w:p>
      <w:pPr>
        <w:pStyle w:val="TextBody"/>
        <w:ind w:left="480" w:hanging="0"/>
        <w:rPr/>
      </w:pPr>
      <w:r>
        <w:rPr>
          <w:iCs/>
          <w:color w:val="FF0000"/>
          <w:sz w:val="23"/>
          <w:szCs w:val="23"/>
          <w:lang w:val="en-GB"/>
        </w:rPr>
        <w:t xml:space="preserve">IEEE Std 802.15.9 was developed specifically to optimally address the KMP needs of IoT networks and is broadly used in that application. It remains unique in that regard. The security KMP extensions serve to meet current user demand and to help increase the competitive edge of the 802.15.4 standard.  </w:t>
      </w:r>
      <w:r>
        <w:rPr>
          <w:iCs/>
          <w:color w:val="FF0000"/>
          <w:sz w:val="23"/>
          <w:szCs w:val="23"/>
        </w:rPr>
        <w:t>The security KMP extensions will be unique from features in the existing standard which does not address key lengths other than 128-bits or security algorithm selection.</w:t>
      </w:r>
    </w:p>
    <w:p>
      <w:pPr>
        <w:pStyle w:val="Heading3"/>
        <w:numPr>
          <w:ilvl w:val="2"/>
          <w:numId w:val="1"/>
        </w:numPr>
        <w:suppressAutoHyphens w:val="true"/>
        <w:spacing w:before="245" w:after="115"/>
        <w:rPr>
          <w:rFonts w:ascii="Times New Roman" w:hAnsi="Times New Roman"/>
          <w:sz w:val="23"/>
          <w:szCs w:val="23"/>
        </w:rPr>
      </w:pPr>
      <w:bookmarkStart w:id="9" w:name="__RefHeading__9710_1012863564"/>
      <w:bookmarkEnd w:id="9"/>
      <w:r>
        <w:rPr>
          <w:rFonts w:ascii="Times New Roman" w:hAnsi="Times New Roman"/>
          <w:sz w:val="23"/>
          <w:szCs w:val="23"/>
        </w:rPr>
        <w:t>Technical Feasibility</w:t>
      </w:r>
    </w:p>
    <w:p>
      <w:pPr>
        <w:pStyle w:val="TextBody"/>
        <w:rPr>
          <w:color w:val="00000A"/>
          <w:sz w:val="23"/>
          <w:szCs w:val="23"/>
        </w:rPr>
      </w:pPr>
      <w:r>
        <w:rPr>
          <w:color w:val="00000A"/>
          <w:sz w:val="23"/>
          <w:szCs w:val="23"/>
        </w:rPr>
        <w:t>Each proposed IEEE 802 LMSC standard shall provide evidence that the project is technically feasible within the time frame of the project. At a minimum, address the following items to demonstrate technical feasibility:</w:t>
      </w:r>
    </w:p>
    <w:p>
      <w:pPr>
        <w:pStyle w:val="LetteredList1"/>
        <w:numPr>
          <w:ilvl w:val="0"/>
          <w:numId w:val="6"/>
        </w:numPr>
        <w:rPr>
          <w:sz w:val="23"/>
          <w:szCs w:val="23"/>
        </w:rPr>
      </w:pPr>
      <w:r>
        <w:rPr>
          <w:sz w:val="23"/>
          <w:szCs w:val="23"/>
        </w:rPr>
        <w:t xml:space="preserve">Demonstrated system feasibility. </w:t>
      </w:r>
    </w:p>
    <w:p>
      <w:pPr>
        <w:pStyle w:val="LetteredList1"/>
        <w:tabs>
          <w:tab w:val="left" w:pos="0" w:leader="none"/>
          <w:tab w:val="left" w:pos="720" w:leader="none"/>
        </w:tabs>
        <w:ind w:left="720" w:hanging="0"/>
        <w:rPr/>
      </w:pPr>
      <w:r>
        <w:rPr>
          <w:iCs/>
          <w:color w:val="FF0000"/>
          <w:sz w:val="23"/>
          <w:szCs w:val="23"/>
          <w:lang w:val="en-GB"/>
        </w:rPr>
        <w:t xml:space="preserve">IEEE 802.15.9 provides encapsulation of existing, mature key management protocols to address the requirements of National Institute of Standards and Technology (NIST) </w:t>
      </w:r>
      <w:r>
        <w:rPr>
          <w:bCs/>
          <w:color w:val="FF0000"/>
          <w:sz w:val="23"/>
          <w:szCs w:val="23"/>
          <w:u w:val="none"/>
        </w:rPr>
        <w:t>Special Publication</w:t>
      </w:r>
      <w:r>
        <w:rPr>
          <w:bCs/>
          <w:color w:val="FF0000"/>
          <w:sz w:val="23"/>
          <w:szCs w:val="23"/>
        </w:rPr>
        <w:t xml:space="preserve"> (</w:t>
      </w:r>
      <w:r>
        <w:rPr>
          <w:iCs/>
          <w:color w:val="FF0000"/>
          <w:sz w:val="23"/>
          <w:szCs w:val="23"/>
          <w:lang w:val="en-GB"/>
        </w:rPr>
        <w:t>SP) 800-57 part 1 for IEEE 802.15.4 devices.</w:t>
      </w:r>
    </w:p>
    <w:p>
      <w:pPr>
        <w:pStyle w:val="LetteredList1"/>
        <w:numPr>
          <w:ilvl w:val="0"/>
          <w:numId w:val="6"/>
        </w:numPr>
        <w:rPr>
          <w:sz w:val="23"/>
          <w:szCs w:val="23"/>
        </w:rPr>
      </w:pPr>
      <w:r>
        <w:rPr>
          <w:sz w:val="23"/>
          <w:szCs w:val="23"/>
        </w:rPr>
        <w:t>Proven similar technology via testing, modeling, simulation, etc.</w:t>
      </w:r>
    </w:p>
    <w:p>
      <w:pPr>
        <w:pStyle w:val="PlainText"/>
        <w:ind w:left="720" w:hanging="0"/>
        <w:rPr/>
      </w:pPr>
      <w:r>
        <w:rPr>
          <w:rFonts w:ascii="Times New Roman" w:hAnsi="Times New Roman"/>
          <w:color w:val="FF0000"/>
          <w:sz w:val="23"/>
          <w:szCs w:val="23"/>
        </w:rPr>
        <w:t>The IEEE Recommended Practice 802.15.9 provides an encapsulation for existing key management protocols like IEEE 802.1x for IEEE 802.15.4 devices.  The addition of session</w:t>
      </w:r>
      <w:bookmarkStart w:id="10" w:name="_GoBack"/>
      <w:bookmarkEnd w:id="10"/>
      <w:r>
        <w:rPr>
          <w:rFonts w:ascii="Times New Roman" w:hAnsi="Times New Roman"/>
          <w:color w:val="FF0000"/>
          <w:sz w:val="23"/>
          <w:szCs w:val="23"/>
        </w:rPr>
        <w:t xml:space="preserve"> key derivation text for security keys of different sizes (support IEEE 802.15.4y), broadcast/multicast key generation and security algorithm selection (again supporting IEEE 802.15.4y) will permit additional support of existing security key management protocols. </w:t>
      </w:r>
    </w:p>
    <w:p>
      <w:pPr>
        <w:pStyle w:val="Heading3"/>
        <w:numPr>
          <w:ilvl w:val="2"/>
          <w:numId w:val="1"/>
        </w:numPr>
        <w:suppressAutoHyphens w:val="true"/>
        <w:spacing w:before="245" w:after="115"/>
        <w:rPr>
          <w:rFonts w:ascii="Times New Roman" w:hAnsi="Times New Roman"/>
          <w:sz w:val="23"/>
          <w:szCs w:val="23"/>
        </w:rPr>
      </w:pPr>
      <w:r>
        <w:rPr>
          <w:rFonts w:ascii="Times New Roman" w:hAnsi="Times New Roman"/>
          <w:sz w:val="23"/>
          <w:szCs w:val="23"/>
        </w:rPr>
        <w:t>Economic Feasibility</w:t>
      </w:r>
    </w:p>
    <w:p>
      <w:pPr>
        <w:pStyle w:val="TextBody"/>
        <w:rPr>
          <w:color w:val="00000A"/>
          <w:sz w:val="23"/>
          <w:szCs w:val="23"/>
        </w:rPr>
      </w:pPr>
      <w:r>
        <w:rPr>
          <w:color w:val="00000A"/>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LetteredList1"/>
        <w:numPr>
          <w:ilvl w:val="0"/>
          <w:numId w:val="7"/>
        </w:numPr>
        <w:rPr>
          <w:sz w:val="23"/>
          <w:szCs w:val="23"/>
        </w:rPr>
      </w:pPr>
      <w:r>
        <w:rPr>
          <w:sz w:val="23"/>
          <w:szCs w:val="23"/>
        </w:rPr>
        <w:t>Balanced costs (infrastructure versus attached stations).</w:t>
      </w:r>
    </w:p>
    <w:p>
      <w:pPr>
        <w:pStyle w:val="LetteredList1"/>
        <w:tabs>
          <w:tab w:val="left" w:pos="0" w:leader="none"/>
          <w:tab w:val="left" w:pos="720" w:leader="none"/>
        </w:tabs>
        <w:ind w:left="720" w:hanging="0"/>
        <w:rPr/>
      </w:pPr>
      <w:r>
        <w:rPr>
          <w:color w:val="FF0000"/>
          <w:sz w:val="23"/>
          <w:szCs w:val="23"/>
          <w:lang w:eastAsia="ja-JP"/>
        </w:rPr>
        <w:t xml:space="preserve">Implementing the IEEE 802.15.9 will be a firmware implementation on today’s faster and already cheaper devices.  </w:t>
      </w:r>
      <w:r>
        <w:rPr>
          <w:color w:val="FF0000"/>
          <w:sz w:val="23"/>
          <w:szCs w:val="23"/>
          <w:lang w:val="sk-SK" w:eastAsia="ja-JP"/>
        </w:rPr>
        <w:t>The proposed project does not affect the balance of costs between the infrastructure and attached stations.</w:t>
      </w:r>
    </w:p>
    <w:p>
      <w:pPr>
        <w:pStyle w:val="LetteredList1"/>
        <w:numPr>
          <w:ilvl w:val="0"/>
          <w:numId w:val="7"/>
        </w:numPr>
        <w:tabs>
          <w:tab w:val="left" w:pos="0" w:leader="none"/>
          <w:tab w:val="left" w:pos="720" w:leader="none"/>
        </w:tabs>
        <w:rPr>
          <w:sz w:val="23"/>
          <w:szCs w:val="23"/>
        </w:rPr>
      </w:pPr>
      <w:r>
        <w:rPr>
          <w:sz w:val="23"/>
          <w:szCs w:val="23"/>
        </w:rPr>
        <w:t>Known cost factors.</w:t>
      </w:r>
    </w:p>
    <w:p>
      <w:pPr>
        <w:pStyle w:val="PlainText"/>
        <w:tabs>
          <w:tab w:val="left" w:pos="360" w:leader="none"/>
        </w:tabs>
        <w:ind w:left="720" w:hanging="0"/>
        <w:rPr>
          <w:color w:val="FF0000"/>
          <w:sz w:val="23"/>
          <w:szCs w:val="23"/>
        </w:rPr>
      </w:pPr>
      <w:r>
        <w:rPr>
          <w:rFonts w:ascii="Times New Roman" w:hAnsi="Times New Roman"/>
          <w:color w:val="FF0000"/>
          <w:sz w:val="23"/>
          <w:szCs w:val="23"/>
        </w:rPr>
        <w:t>Devices of similar functionality are in high volume shipment today, so cost factors are well known and acceptable</w:t>
      </w:r>
    </w:p>
    <w:p>
      <w:pPr>
        <w:pStyle w:val="LetteredList1"/>
        <w:numPr>
          <w:ilvl w:val="0"/>
          <w:numId w:val="7"/>
        </w:numPr>
        <w:rPr>
          <w:sz w:val="23"/>
          <w:szCs w:val="23"/>
        </w:rPr>
      </w:pPr>
      <w:r>
        <w:rPr>
          <w:sz w:val="23"/>
          <w:szCs w:val="23"/>
        </w:rPr>
        <w:t>Consideration of installation costs.</w:t>
      </w:r>
    </w:p>
    <w:p>
      <w:pPr>
        <w:pStyle w:val="PlainText"/>
        <w:tabs>
          <w:tab w:val="left" w:pos="360" w:leader="none"/>
        </w:tabs>
        <w:ind w:left="720" w:hanging="0"/>
        <w:rPr>
          <w:color w:val="FF0000"/>
          <w:sz w:val="23"/>
          <w:szCs w:val="23"/>
        </w:rPr>
      </w:pPr>
      <w:r>
        <w:rPr>
          <w:rFonts w:ascii="Times New Roman" w:hAnsi="Times New Roman"/>
          <w:color w:val="FF0000"/>
          <w:sz w:val="23"/>
          <w:szCs w:val="23"/>
        </w:rPr>
        <w:t>No special manufacturing requirements for use of these devices is needed.</w:t>
      </w:r>
    </w:p>
    <w:p>
      <w:pPr>
        <w:pStyle w:val="LetteredList1"/>
        <w:numPr>
          <w:ilvl w:val="0"/>
          <w:numId w:val="7"/>
        </w:numPr>
        <w:rPr>
          <w:sz w:val="23"/>
          <w:szCs w:val="23"/>
        </w:rPr>
      </w:pPr>
      <w:r>
        <w:rPr>
          <w:sz w:val="23"/>
          <w:szCs w:val="23"/>
        </w:rPr>
        <w:t>Consideration of operational costs (e.g., energy consumption).</w:t>
      </w:r>
    </w:p>
    <w:p>
      <w:pPr>
        <w:pStyle w:val="Normal"/>
        <w:widowControl w:val="false"/>
        <w:ind w:left="720" w:hanging="0"/>
        <w:rPr>
          <w:color w:val="FF0000"/>
          <w:sz w:val="23"/>
          <w:szCs w:val="23"/>
          <w:lang w:eastAsia="ja-JP"/>
        </w:rPr>
      </w:pPr>
      <w:r>
        <w:rPr>
          <w:color w:val="FF0000"/>
          <w:sz w:val="23"/>
          <w:szCs w:val="23"/>
          <w:lang w:eastAsia="ja-JP"/>
        </w:rPr>
        <w:t>These are low energy consumption components which are part of a larger product. Additionally, the cost of the increased overhead of the IEEE 802.15.9 is significantly outweighed by the benefits it provides to the use of IEEE Std 802.15.4 devices in various internet protocol applications.</w:t>
      </w:r>
    </w:p>
    <w:p>
      <w:pPr>
        <w:pStyle w:val="LetteredList1"/>
        <w:numPr>
          <w:ilvl w:val="0"/>
          <w:numId w:val="7"/>
        </w:numPr>
        <w:rPr>
          <w:sz w:val="23"/>
          <w:szCs w:val="23"/>
        </w:rPr>
      </w:pPr>
      <w:r>
        <w:rPr>
          <w:sz w:val="23"/>
          <w:szCs w:val="23"/>
        </w:rPr>
        <w:t>Other areas, as appropriate.</w:t>
      </w:r>
    </w:p>
    <w:p>
      <w:pPr>
        <w:pStyle w:val="PlainText"/>
        <w:keepNext/>
        <w:tabs>
          <w:tab w:val="left" w:pos="360" w:leader="none"/>
        </w:tabs>
        <w:rPr>
          <w:color w:val="FF0000"/>
          <w:sz w:val="23"/>
          <w:szCs w:val="23"/>
          <w:lang w:eastAsia="ja-JP"/>
        </w:rPr>
      </w:pPr>
      <w:r>
        <w:rPr>
          <w:color w:val="FF0000"/>
          <w:sz w:val="23"/>
          <w:szCs w:val="23"/>
          <w:lang w:eastAsia="ja-JP"/>
        </w:rPr>
      </w:r>
    </w:p>
    <w:p>
      <w:pPr>
        <w:pStyle w:val="Normal"/>
        <w:widowControl w:val="false"/>
        <w:rPr/>
      </w:pPr>
      <w:r>
        <w:rPr/>
      </w:r>
    </w:p>
    <w:sectPr>
      <w:headerReference w:type="default" r:id="rId4"/>
      <w:footerReference w:type="default" r:id="rId5"/>
      <w:type w:val="nextPage"/>
      <w:pgSz w:w="12240" w:h="15840"/>
      <w:pgMar w:left="1440" w:right="1440" w:header="1296" w:top="1800" w:footer="1296"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ew York">
    <w:charset w:val="00"/>
    <w:family w:val="roman"/>
    <w:pitch w:val="variable"/>
  </w:font>
  <w:font w:name="Arial">
    <w:charset w:val="00"/>
    <w:family w:val="roman"/>
    <w:pitch w:val="variable"/>
  </w:font>
  <w:font w:name="Times">
    <w:altName w:val="Times New Roman"/>
    <w:charset w:val="00"/>
    <w:family w:val="roman"/>
    <w:pitch w:val="variable"/>
  </w:font>
  <w:font w:name="Courier New">
    <w:charset w:val="00"/>
    <w:family w:val="roman"/>
    <w:pitch w:val="variable"/>
  </w:font>
  <w:font w:name="Tahoma">
    <w:charset w:val="00"/>
    <w:family w:val="roman"/>
    <w:pitch w:val="variable"/>
  </w:font>
  <w:font w:name="Palatino">
    <w:charset w:val="00"/>
    <w:family w:val="roman"/>
    <w:pitch w:val="variable"/>
  </w:font>
  <w:font w:name="New Century Schlbk">
    <w:charset w:val="00"/>
    <w:family w:val="roman"/>
    <w:pitch w:val="variable"/>
  </w:font>
  <w:font w:name="MS PGothic">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A"/>
      </w:pBdr>
      <w:tabs>
        <w:tab w:val="center" w:pos="4320" w:leader="none"/>
        <w:tab w:val="center" w:pos="4680" w:leader="none"/>
        <w:tab w:val="right" w:pos="8640" w:leader="none"/>
        <w:tab w:val="right" w:pos="9360" w:leader="none"/>
      </w:tabs>
      <w:spacing w:before="240" w:after="0"/>
      <w:rPr/>
    </w:pPr>
    <w:r>
      <w:rPr>
        <w:lang w:val="de-DE"/>
      </w:rPr>
      <w:t>Submission</w:t>
      <w:tab/>
      <w:t xml:space="preserve">Page </w:t>
    </w:r>
    <w:r>
      <w:rPr>
        <w:lang w:val="de-DE"/>
      </w:rPr>
      <w:fldChar w:fldCharType="begin"/>
    </w:r>
    <w:r>
      <w:instrText> PAGE </w:instrText>
    </w:r>
    <w:r>
      <w:fldChar w:fldCharType="separate"/>
    </w:r>
    <w:r>
      <w:t>1</w:t>
    </w:r>
    <w:r>
      <w:fldChar w:fldCharType="end"/>
    </w:r>
    <w:r>
      <w:rPr>
        <w:lang w:val="de-DE"/>
      </w:rPr>
      <w:t xml:space="preserve"> </w:t>
      <w:tab/>
      <w:tab/>
      <w:t>Tero Kivinen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val="false"/>
      <w:pBdr>
        <w:top w:val="single" w:sz="6" w:space="0" w:color="00000A"/>
      </w:pBdr>
      <w:tabs>
        <w:tab w:val="center" w:pos="4320" w:leader="none"/>
        <w:tab w:val="center" w:pos="4680" w:leader="none"/>
        <w:tab w:val="right" w:pos="8640" w:leader="none"/>
        <w:tab w:val="right" w:pos="9360" w:leader="none"/>
      </w:tabs>
      <w:spacing w:before="240" w:after="0"/>
      <w:rPr/>
    </w:pPr>
    <w:r>
      <w:rPr>
        <w:lang w:val="de-DE"/>
      </w:rPr>
      <w:t>Submission</w:t>
      <w:tab/>
      <w:t xml:space="preserve">Page </w:t>
    </w:r>
    <w:r>
      <w:rPr>
        <w:lang w:val="de-DE"/>
      </w:rPr>
      <w:fldChar w:fldCharType="begin"/>
    </w:r>
    <w:r>
      <w:instrText> PAGE </w:instrText>
    </w:r>
    <w:r>
      <w:fldChar w:fldCharType="separate"/>
    </w:r>
    <w:r>
      <w:t>4</w:t>
    </w:r>
    <w:r>
      <w:fldChar w:fldCharType="end"/>
    </w:r>
    <w:r>
      <w:rPr>
        <w:lang w:val="de-DE"/>
      </w:rPr>
      <w:tab/>
      <w:tab/>
      <w:t>Tero Kivinen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A"/>
      </w:pBdr>
      <w:tabs>
        <w:tab w:val="center" w:pos="4320" w:leader="none"/>
        <w:tab w:val="right" w:pos="8640" w:leader="none"/>
        <w:tab w:val="right" w:pos="9270" w:leader="none"/>
      </w:tabs>
      <w:spacing w:before="0" w:after="360"/>
      <w:jc w:val="both"/>
      <w:rPr/>
    </w:pPr>
    <w:r>
      <w:rPr>
        <w:b/>
        <w:sz w:val="28"/>
        <w:lang w:eastAsia="ja-JP"/>
      </w:rPr>
      <w:t>May</w:t>
    </w:r>
    <w:r>
      <w:rPr>
        <w:b/>
        <w:sz w:val="28"/>
      </w:rPr>
      <w:t>, 2019</w:t>
    </w:r>
    <w:r>
      <w:rPr>
        <w:b/>
        <w:sz w:val="28"/>
        <w:lang w:val="de-DE"/>
      </w:rPr>
      <w:tab/>
      <w:tab/>
      <w:t xml:space="preserve">doc. </w:t>
    </w:r>
    <w:bookmarkStart w:id="0" w:name="__DdeLink__385_2070121203"/>
    <w:r>
      <w:rPr>
        <w:b/>
        <w:sz w:val="28"/>
        <w:lang w:val="de-DE"/>
      </w:rPr>
      <w:t>15-19-0</w:t>
    </w:r>
    <w:r>
      <w:rPr>
        <w:b/>
        <w:sz w:val="28"/>
        <w:lang w:val="de-DE"/>
      </w:rPr>
      <w:t>216</w:t>
    </w:r>
    <w:r>
      <w:rPr>
        <w:b/>
        <w:sz w:val="28"/>
        <w:lang w:val="de-DE"/>
      </w:rPr>
      <w:t>-0</w:t>
    </w:r>
    <w:bookmarkEnd w:id="0"/>
    <w:r>
      <w:rPr>
        <w:b/>
        <w:sz w:val="28"/>
        <w:lang w:val="de-DE"/>
      </w:rPr>
      <w:t>0</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pBdr>
        <w:bottom w:val="single" w:sz="6" w:space="0" w:color="00000A"/>
      </w:pBdr>
      <w:tabs>
        <w:tab w:val="center" w:pos="4320" w:leader="none"/>
        <w:tab w:val="right" w:pos="8640" w:leader="none"/>
        <w:tab w:val="right" w:pos="9270" w:leader="none"/>
      </w:tabs>
      <w:spacing w:before="0" w:after="360"/>
      <w:jc w:val="both"/>
      <w:rPr/>
    </w:pPr>
    <w:r>
      <w:rPr>
        <w:b/>
        <w:sz w:val="28"/>
        <w:lang w:eastAsia="ja-JP"/>
      </w:rPr>
      <w:t>May</w:t>
    </w:r>
    <w:r>
      <w:rPr>
        <w:b/>
        <w:sz w:val="28"/>
      </w:rPr>
      <w:t>, 2019</w:t>
    </w:r>
    <w:r>
      <w:rPr>
        <w:b/>
        <w:sz w:val="28"/>
        <w:lang w:val="de-DE"/>
      </w:rPr>
      <w:tab/>
      <w:tab/>
      <w:t>doc.  15-19-0</w:t>
    </w:r>
    <w:r>
      <w:rPr>
        <w:b/>
        <w:sz w:val="28"/>
        <w:lang w:val="de-DE"/>
      </w:rPr>
      <w:t>216</w:t>
    </w:r>
    <w:r>
      <w:rPr>
        <w:b/>
        <w:sz w:val="28"/>
        <w:lang w:val="de-DE"/>
      </w:rPr>
      <w:t>-0</w:t>
    </w:r>
    <w:r>
      <w:rPr>
        <w:b/>
        <w:sz w:val="28"/>
        <w:lang w:val="de-DE"/>
      </w:rPr>
      <w:t>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1."/>
      <w:lvlJc w:val="left"/>
      <w:pPr>
        <w:ind w:left="0" w:hanging="0"/>
      </w:pPr>
    </w:lvl>
    <w:lvl w:ilvl="1">
      <w:start w:val="1"/>
      <w:numFmt w:val="decimal"/>
      <w:suff w:val="space"/>
      <w:lvlText w:val="%1.%2"/>
      <w:lvlJc w:val="left"/>
      <w:pPr>
        <w:ind w:left="0" w:hanging="0"/>
      </w:pPr>
    </w:lvl>
    <w:lvl w:ilvl="2">
      <w:start w:val="1"/>
      <w:numFmt w:val="decimal"/>
      <w:suff w:val="space"/>
      <w:lvlText w:val="%1.%2.%3"/>
      <w:lvlJc w:val="left"/>
      <w:pPr>
        <w:ind w:left="0" w:hanging="0"/>
      </w:pPr>
    </w:lvl>
    <w:lvl w:ilvl="3">
      <w:start w:val="1"/>
      <w:numFmt w:val="decimal"/>
      <w:suff w:val="space"/>
      <w:lvlText w:val="%1.%2.%3.%4"/>
      <w:lvlJc w:val="left"/>
      <w:pPr>
        <w:ind w:left="0" w:hanging="0"/>
      </w:pPr>
    </w:lvl>
    <w:lvl w:ilvl="4">
      <w:start w:val="1"/>
      <w:numFmt w:val="decimal"/>
      <w:suff w:val="space"/>
      <w:lvlText w:val="%1.%2.%3.%4.%5"/>
      <w:lvlJc w:val="left"/>
      <w:pPr>
        <w:ind w:left="0" w:hanging="0"/>
      </w:pPr>
    </w:lvl>
    <w:lvl w:ilvl="5">
      <w:start w:val="1"/>
      <w:numFmt w:val="decimal"/>
      <w:suff w:val="space"/>
      <w:lvlText w:val="%1.%2.%3.%4.%5.%6"/>
      <w:lvlJc w:val="left"/>
      <w:pPr>
        <w:ind w:left="0" w:hanging="0"/>
      </w:pPr>
    </w:lvl>
    <w:lvl w:ilvl="6">
      <w:start w:val="1"/>
      <w:numFmt w:val="decimal"/>
      <w:lvlText w:val="%1.%2.%3.%4.%5.%6.%7"/>
      <w:lvlJc w:val="left"/>
      <w:pPr>
        <w:ind w:left="0" w:hanging="0"/>
      </w:pPr>
    </w:lvl>
    <w:lvl w:ilvl="7">
      <w:start w:val="1"/>
      <w:numFmt w:val="decimal"/>
      <w:lvlText w:val="%1.%2.%3.%4.%5.%6.%7.%8"/>
      <w:lvlJc w:val="left"/>
      <w:pPr>
        <w:ind w:left="0" w:hanging="0"/>
      </w:pPr>
    </w:lvl>
    <w:lvl w:ilvl="8">
      <w:start w:val="1"/>
      <w:numFmt w:val="decimal"/>
      <w:lvlText w:val="%1.%2.%3.%4.%5.%6.%7.%8.%9"/>
      <w:lvlJc w:val="left"/>
      <w:pPr>
        <w:ind w:left="0" w:hanging="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8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ＭＳ 明朝" w:cs="Times New Roman" w:eastAsiaTheme="minorEastAsia"/>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7a412b"/>
    <w:pPr>
      <w:widowControl/>
      <w:bidi w:val="0"/>
      <w:jc w:val="left"/>
    </w:pPr>
    <w:rPr>
      <w:rFonts w:ascii="Times New Roman" w:hAnsi="Times New Roman" w:eastAsia="ＭＳ 明朝" w:cs="Times New Roman" w:eastAsiaTheme="minorEastAsia"/>
      <w:color w:val="00000A"/>
      <w:sz w:val="24"/>
      <w:szCs w:val="20"/>
      <w:lang w:val="en-US" w:eastAsia="en-US" w:bidi="ar-SA"/>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leader="none"/>
      </w:tabs>
      <w:spacing w:before="240" w:after="60"/>
      <w:outlineLvl w:val="2"/>
    </w:pPr>
    <w:rPr>
      <w:rFonts w:ascii="Arial" w:hAnsi="Arial"/>
      <w:sz w:val="26"/>
    </w:rPr>
  </w:style>
  <w:style w:type="paragraph" w:styleId="Heading4">
    <w:name w:val="Heading 4"/>
    <w:basedOn w:val="Normal"/>
    <w:next w:val="Normal"/>
    <w:qFormat/>
    <w:rsid w:val="007a412b"/>
    <w:pPr>
      <w:ind w:left="360" w:hanging="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7a412b"/>
    <w:rPr/>
  </w:style>
  <w:style w:type="character" w:styleId="PlainTextChar" w:customStyle="1">
    <w:name w:val="Plain Text Char"/>
    <w:link w:val="PlainText"/>
    <w:uiPriority w:val="99"/>
    <w:qFormat/>
    <w:rsid w:val="00927e73"/>
    <w:rPr>
      <w:rFonts w:ascii="Courier New" w:hAnsi="Courier New" w:eastAsia="MS Mincho"/>
    </w:rPr>
  </w:style>
  <w:style w:type="character" w:styleId="InternetLink">
    <w:name w:val="Internet Link"/>
    <w:uiPriority w:val="99"/>
    <w:unhideWhenUsed/>
    <w:rsid w:val="002b4c8f"/>
    <w:rPr>
      <w:color w:val="0000FF"/>
      <w:u w:val="single"/>
    </w:rPr>
  </w:style>
  <w:style w:type="character" w:styleId="Highlight" w:customStyle="1">
    <w:name w:val="highlight"/>
    <w:basedOn w:val="DefaultParagraphFont"/>
    <w:qFormat/>
    <w:rsid w:val="00661bf0"/>
    <w:rPr/>
  </w:style>
  <w:style w:type="character" w:styleId="BalloonTextChar" w:customStyle="1">
    <w:name w:val="Balloon Text Char"/>
    <w:link w:val="BalloonText"/>
    <w:uiPriority w:val="99"/>
    <w:semiHidden/>
    <w:qFormat/>
    <w:rsid w:val="00107f7e"/>
    <w:rPr>
      <w:rFonts w:ascii="Tahoma" w:hAnsi="Tahoma" w:cs="Tahoma"/>
      <w:sz w:val="16"/>
      <w:szCs w:val="16"/>
    </w:rPr>
  </w:style>
  <w:style w:type="character" w:styleId="Annotationreference">
    <w:name w:val="annotation reference"/>
    <w:basedOn w:val="DefaultParagraphFont"/>
    <w:uiPriority w:val="99"/>
    <w:semiHidden/>
    <w:unhideWhenUsed/>
    <w:qFormat/>
    <w:rsid w:val="00ca15d7"/>
    <w:rPr>
      <w:sz w:val="16"/>
      <w:szCs w:val="16"/>
    </w:rPr>
  </w:style>
  <w:style w:type="character" w:styleId="CommentTextChar" w:customStyle="1">
    <w:name w:val="Comment Text Char"/>
    <w:basedOn w:val="DefaultParagraphFont"/>
    <w:link w:val="CommentText"/>
    <w:uiPriority w:val="99"/>
    <w:semiHidden/>
    <w:qFormat/>
    <w:rsid w:val="00ca15d7"/>
    <w:rPr>
      <w:rFonts w:ascii="Times New Roman" w:hAnsi="Times New Roman"/>
    </w:rPr>
  </w:style>
  <w:style w:type="character" w:styleId="CommentSubjectChar" w:customStyle="1">
    <w:name w:val="Comment Subject Char"/>
    <w:basedOn w:val="CommentTextChar"/>
    <w:link w:val="CommentSubject"/>
    <w:uiPriority w:val="99"/>
    <w:semiHidden/>
    <w:qFormat/>
    <w:rsid w:val="00ca15d7"/>
    <w:rPr>
      <w:rFonts w:ascii="Times New Roman" w:hAnsi="Times New Roman"/>
      <w:b/>
      <w:bCs/>
    </w:rPr>
  </w:style>
  <w:style w:type="paragraph" w:styleId="Heading" w:customStyle="1">
    <w:name w:val="Heading"/>
    <w:basedOn w:val="Normal"/>
    <w:next w:val="TextBody"/>
    <w:qFormat/>
    <w:rsid w:val="005d6451"/>
    <w:pPr>
      <w:suppressAutoHyphens w:val="true"/>
      <w:spacing w:before="240" w:after="60"/>
      <w:jc w:val="center"/>
    </w:pPr>
    <w:rPr>
      <w:b/>
      <w:sz w:val="36"/>
      <w:lang w:eastAsia="zh-CN"/>
    </w:rPr>
  </w:style>
  <w:style w:type="paragraph" w:styleId="TextBody">
    <w:name w:val="Body Text"/>
    <w:basedOn w:val="Normal"/>
    <w:semiHidden/>
    <w:rsid w:val="007a412b"/>
    <w:pPr/>
    <w:rPr>
      <w:color w:val="000000"/>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leader="none"/>
        <w:tab w:val="right" w:pos="8640" w:leader="none"/>
      </w:tabs>
    </w:pPr>
    <w:rPr/>
  </w:style>
  <w:style w:type="paragraph" w:styleId="Header">
    <w:name w:val="Header"/>
    <w:basedOn w:val="Normal"/>
    <w:semiHidden/>
    <w:rsid w:val="007a412b"/>
    <w:pPr>
      <w:tabs>
        <w:tab w:val="center" w:pos="4320" w:leader="none"/>
        <w:tab w:val="right" w:pos="8640" w:leader="none"/>
      </w:tabs>
    </w:pPr>
    <w:rPr/>
  </w:style>
  <w:style w:type="paragraph" w:styleId="BitHeading" w:customStyle="1">
    <w:name w:val="Bit Heading"/>
    <w:basedOn w:val="Normal"/>
    <w:qFormat/>
    <w:rsid w:val="007a412b"/>
    <w:pPr>
      <w:spacing w:before="120" w:after="0"/>
      <w:jc w:val="both"/>
    </w:pPr>
    <w:rPr>
      <w:rFonts w:ascii="Palatino" w:hAnsi="Palatino"/>
      <w:i/>
    </w:rPr>
  </w:style>
  <w:style w:type="paragraph" w:styleId="BlockParagraph" w:customStyle="1">
    <w:name w:val="BlockParagraph"/>
    <w:basedOn w:val="Normal"/>
    <w:qFormat/>
    <w:rsid w:val="007a412b"/>
    <w:pPr>
      <w:spacing w:before="120" w:after="0"/>
    </w:pPr>
    <w:rPr>
      <w:rFonts w:ascii="Palatino" w:hAnsi="Palatino"/>
    </w:rPr>
  </w:style>
  <w:style w:type="paragraph" w:styleId="Definition" w:customStyle="1">
    <w:name w:val="Definition"/>
    <w:basedOn w:val="Normal"/>
    <w:qFormat/>
    <w:rsid w:val="007a412b"/>
    <w:pPr>
      <w:spacing w:before="0" w:after="200"/>
      <w:ind w:right="-720" w:hanging="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styleId="Covertext" w:customStyle="1">
    <w:name w:val="cover text"/>
    <w:basedOn w:val="Normal"/>
    <w:qFormat/>
    <w:rsid w:val="007a412b"/>
    <w:pPr>
      <w:spacing w:before="120" w:after="120"/>
    </w:pPr>
    <w:rPr/>
  </w:style>
  <w:style w:type="paragraph" w:styleId="PlainText">
    <w:name w:val="Plain Text"/>
    <w:basedOn w:val="Normal"/>
    <w:link w:val="PlainTextChar"/>
    <w:uiPriority w:val="99"/>
    <w:qFormat/>
    <w:rsid w:val="00927e73"/>
    <w:pPr/>
    <w:rPr>
      <w:rFonts w:ascii="Courier New" w:hAnsi="Courier New" w:eastAsia="MS Mincho"/>
      <w:sz w:val="20"/>
    </w:rPr>
  </w:style>
  <w:style w:type="paragraph" w:styleId="BalloonText">
    <w:name w:val="Balloon Text"/>
    <w:basedOn w:val="Normal"/>
    <w:link w:val="BalloonTextChar"/>
    <w:uiPriority w:val="99"/>
    <w:semiHidden/>
    <w:unhideWhenUsed/>
    <w:qFormat/>
    <w:rsid w:val="00107f7e"/>
    <w:pPr/>
    <w:rPr>
      <w:rFonts w:ascii="Tahoma" w:hAnsi="Tahoma" w:cs="Tahoma"/>
      <w:sz w:val="16"/>
      <w:szCs w:val="16"/>
    </w:rPr>
  </w:style>
  <w:style w:type="paragraph" w:styleId="ListParagraph">
    <w:name w:val="List Paragraph"/>
    <w:basedOn w:val="Normal"/>
    <w:uiPriority w:val="34"/>
    <w:qFormat/>
    <w:rsid w:val="00be70d3"/>
    <w:pPr>
      <w:spacing w:before="0" w:after="0"/>
      <w:ind w:left="720" w:hanging="0"/>
      <w:contextualSpacing/>
    </w:pPr>
    <w:rPr/>
  </w:style>
  <w:style w:type="paragraph" w:styleId="Annotationtext">
    <w:name w:val="annotation text"/>
    <w:basedOn w:val="Normal"/>
    <w:link w:val="CommentTextChar"/>
    <w:uiPriority w:val="99"/>
    <w:semiHidden/>
    <w:unhideWhenUsed/>
    <w:qFormat/>
    <w:rsid w:val="00ca15d7"/>
    <w:pPr/>
    <w:rPr>
      <w:sz w:val="20"/>
    </w:rPr>
  </w:style>
  <w:style w:type="paragraph" w:styleId="Annotationsubject">
    <w:name w:val="annotation subject"/>
    <w:basedOn w:val="Annotationtext"/>
    <w:link w:val="CommentSubjectChar"/>
    <w:uiPriority w:val="99"/>
    <w:semiHidden/>
    <w:unhideWhenUsed/>
    <w:qFormat/>
    <w:rsid w:val="00ca15d7"/>
    <w:pPr/>
    <w:rPr>
      <w:b/>
      <w:bCs/>
    </w:rPr>
  </w:style>
  <w:style w:type="paragraph" w:styleId="LetteredList1" w:customStyle="1">
    <w:name w:val="Lettered List 1"/>
    <w:basedOn w:val="Normal"/>
    <w:qFormat/>
    <w:rsid w:val="005d6451"/>
    <w:pPr>
      <w:tabs>
        <w:tab w:val="left" w:pos="0" w:leader="none"/>
        <w:tab w:val="left" w:pos="720" w:leader="none"/>
      </w:tabs>
      <w:suppressAutoHyphens w:val="true"/>
      <w:ind w:left="720" w:hanging="720"/>
    </w:pPr>
    <w:rPr>
      <w:lang w:eastAsia="zh-CN"/>
    </w:rPr>
  </w:style>
  <w:style w:type="paragraph" w:styleId="Revision">
    <w:name w:val="Revision"/>
    <w:uiPriority w:val="99"/>
    <w:semiHidden/>
    <w:qFormat/>
    <w:rsid w:val="00a11505"/>
    <w:pPr>
      <w:widowControl/>
      <w:bidi w:val="0"/>
      <w:jc w:val="left"/>
    </w:pPr>
    <w:rPr>
      <w:rFonts w:ascii="Times New Roman" w:hAnsi="Times New Roman" w:eastAsia="ＭＳ 明朝" w:cs="Times New Roman" w:eastAsiaTheme="minorEastAsia"/>
      <w:color w:val="00000A"/>
      <w:sz w:val="24"/>
      <w:szCs w:val="20"/>
      <w:lang w:val="en-US" w:eastAsia="en-US" w:bidi="ar-SA"/>
    </w:rPr>
  </w:style>
  <w:style w:type="paragraph" w:styleId="NormalWeb">
    <w:name w:val="Normal (Web)"/>
    <w:basedOn w:val="Normal"/>
    <w:uiPriority w:val="99"/>
    <w:semiHidden/>
    <w:unhideWhenUsed/>
    <w:qFormat/>
    <w:rsid w:val="00163034"/>
    <w:pPr>
      <w:spacing w:beforeAutospacing="1" w:afterAutospacing="1"/>
    </w:pPr>
    <w:rPr>
      <w:rFonts w:ascii="MS PGothic" w:hAnsi="MS PGothic" w:eastAsia="MS PGothic" w:cs="MS PGothic"/>
      <w:szCs w:val="24"/>
      <w:lang w:eastAsia="ja-JP"/>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1FE7-AAA1-844C-8FF4-869A3462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C:\Users\kuerner\Documents\Ablage\IEEE802_Meetings\General Docs\IEEE-P802_15.dot</Template>
  <TotalTime>1</TotalTime>
  <Application>LibreOffice/5.2.7.2$Linux_X86_64 LibreOffice_project/20m0$Build-2</Application>
  <Pages>4</Pages>
  <Words>1035</Words>
  <Characters>5751</Characters>
  <CharactersWithSpaces>6725</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2019-05-15T08:10:17Z</dcterms:created>
  <dc:creator>Tero Kivinen</dc:creator>
  <dc:description>15-19-0216-00</dc:description>
  <dc:language>en-US</dc:language>
  <cp:lastModifiedBy>Tero Kivinen</cp:lastModifiedBy>
  <dcterms:modified xsi:type="dcterms:W3CDTF">2019-05-15T08:10:28Z</dcterms:modified>
  <cp:revision>2</cp:revision>
  <dc:subject/>
  <dc:title>IEEE 802.15.9rev Draft CSD</dc:title>
</cp:coreProperties>
</file>