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41F63" w14:textId="77777777" w:rsidR="00F74C65" w:rsidRDefault="00F74C65" w:rsidP="00F74C65">
      <w:pPr>
        <w:jc w:val="center"/>
        <w:rPr>
          <w:b/>
          <w:sz w:val="28"/>
        </w:rPr>
      </w:pPr>
      <w:r>
        <w:rPr>
          <w:b/>
          <w:sz w:val="28"/>
        </w:rPr>
        <w:t>IEEE P802.15</w:t>
      </w:r>
      <w:bookmarkStart w:id="0" w:name="_GoBack"/>
      <w:bookmarkEnd w:id="0"/>
    </w:p>
    <w:p w14:paraId="27B4E64B" w14:textId="77777777" w:rsidR="00F74C65" w:rsidRDefault="00F74C65" w:rsidP="00F74C65">
      <w:pPr>
        <w:jc w:val="center"/>
        <w:rPr>
          <w:b/>
          <w:sz w:val="28"/>
        </w:rPr>
      </w:pPr>
      <w:r>
        <w:rPr>
          <w:b/>
          <w:sz w:val="28"/>
        </w:rPr>
        <w:t>Wireless Personal Area Networks</w:t>
      </w:r>
    </w:p>
    <w:p w14:paraId="61F3901A" w14:textId="77777777" w:rsidR="00F74C65" w:rsidRDefault="00F74C65" w:rsidP="00F74C65">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74C65" w:rsidRPr="002F0C01" w14:paraId="1692EC42" w14:textId="77777777" w:rsidTr="001B72E7">
        <w:tc>
          <w:tcPr>
            <w:tcW w:w="1260" w:type="dxa"/>
            <w:tcBorders>
              <w:top w:val="single" w:sz="6" w:space="0" w:color="auto"/>
            </w:tcBorders>
          </w:tcPr>
          <w:p w14:paraId="57EC32E0" w14:textId="77777777" w:rsidR="00F74C65" w:rsidRDefault="00F74C65" w:rsidP="001B72E7">
            <w:pPr>
              <w:pStyle w:val="covertext"/>
            </w:pPr>
            <w:r>
              <w:t>Project</w:t>
            </w:r>
          </w:p>
        </w:tc>
        <w:tc>
          <w:tcPr>
            <w:tcW w:w="8190" w:type="dxa"/>
            <w:gridSpan w:val="2"/>
            <w:tcBorders>
              <w:top w:val="single" w:sz="6" w:space="0" w:color="auto"/>
            </w:tcBorders>
          </w:tcPr>
          <w:p w14:paraId="1B6897C4" w14:textId="77777777" w:rsidR="00F74C65" w:rsidRDefault="00F74C65" w:rsidP="001B72E7">
            <w:pPr>
              <w:pStyle w:val="covertext"/>
            </w:pPr>
            <w:r>
              <w:t>IEEE P802.15 Working Group for Wireless Personal Area Networks (WPANs)</w:t>
            </w:r>
          </w:p>
        </w:tc>
      </w:tr>
      <w:tr w:rsidR="00F74C65" w:rsidRPr="002F0C01" w14:paraId="607BDC25" w14:textId="77777777" w:rsidTr="001B72E7">
        <w:tc>
          <w:tcPr>
            <w:tcW w:w="1260" w:type="dxa"/>
            <w:tcBorders>
              <w:top w:val="single" w:sz="6" w:space="0" w:color="auto"/>
            </w:tcBorders>
          </w:tcPr>
          <w:p w14:paraId="1D7E6058" w14:textId="77777777" w:rsidR="00F74C65" w:rsidRDefault="00F74C65" w:rsidP="001B72E7">
            <w:pPr>
              <w:pStyle w:val="covertext"/>
            </w:pPr>
            <w:r>
              <w:t>Title</w:t>
            </w:r>
          </w:p>
        </w:tc>
        <w:tc>
          <w:tcPr>
            <w:tcW w:w="8190" w:type="dxa"/>
            <w:gridSpan w:val="2"/>
            <w:tcBorders>
              <w:top w:val="single" w:sz="6" w:space="0" w:color="auto"/>
            </w:tcBorders>
          </w:tcPr>
          <w:p w14:paraId="430C1E91" w14:textId="77777777" w:rsidR="00F74C65" w:rsidRDefault="00F74C65" w:rsidP="00F74C65">
            <w:pPr>
              <w:pStyle w:val="covertext"/>
            </w:pPr>
            <w:r>
              <w:t>IEEE P802.15-19-0143-00-004z</w:t>
            </w:r>
          </w:p>
          <w:p w14:paraId="42FD866E" w14:textId="77777777" w:rsidR="00F74C65" w:rsidRDefault="00F74C65" w:rsidP="00F74C65">
            <w:pPr>
              <w:pStyle w:val="covertext"/>
            </w:pPr>
            <w:r>
              <w:t>RLAN and UWB systems Coexistence Study</w:t>
            </w:r>
          </w:p>
          <w:p w14:paraId="1442C492" w14:textId="131AF711" w:rsidR="00F74C65" w:rsidRDefault="00F74C65" w:rsidP="00F74C65">
            <w:pPr>
              <w:pStyle w:val="covertext"/>
            </w:pPr>
            <w:r>
              <w:t xml:space="preserve">Dries </w:t>
            </w:r>
            <w:proofErr w:type="spellStart"/>
            <w:r>
              <w:t>Neirynck</w:t>
            </w:r>
            <w:proofErr w:type="spellEnd"/>
            <w:r>
              <w:t xml:space="preserve"> &lt;dries.neirynck@decawave.com&gt;</w:t>
            </w:r>
          </w:p>
        </w:tc>
      </w:tr>
      <w:tr w:rsidR="00F74C65" w:rsidRPr="002F0C01" w14:paraId="42255B4E" w14:textId="77777777" w:rsidTr="001B72E7">
        <w:tc>
          <w:tcPr>
            <w:tcW w:w="1260" w:type="dxa"/>
            <w:tcBorders>
              <w:top w:val="single" w:sz="6" w:space="0" w:color="auto"/>
            </w:tcBorders>
          </w:tcPr>
          <w:p w14:paraId="0AB95FBF" w14:textId="77777777" w:rsidR="00F74C65" w:rsidRDefault="00F74C65" w:rsidP="001B72E7">
            <w:pPr>
              <w:pStyle w:val="covertext"/>
            </w:pPr>
            <w:r>
              <w:t>Date Submitted</w:t>
            </w:r>
          </w:p>
        </w:tc>
        <w:tc>
          <w:tcPr>
            <w:tcW w:w="8190" w:type="dxa"/>
            <w:gridSpan w:val="2"/>
            <w:tcBorders>
              <w:top w:val="single" w:sz="6" w:space="0" w:color="auto"/>
            </w:tcBorders>
          </w:tcPr>
          <w:p w14:paraId="049ACFDF" w14:textId="77777777" w:rsidR="00F74C65" w:rsidRDefault="00F74C65" w:rsidP="001B72E7">
            <w:pPr>
              <w:pStyle w:val="covertext"/>
            </w:pPr>
            <w:r>
              <w:t>November 2018</w:t>
            </w:r>
          </w:p>
        </w:tc>
      </w:tr>
      <w:tr w:rsidR="00F74C65" w:rsidRPr="002F0C01" w14:paraId="693DA6AD" w14:textId="77777777" w:rsidTr="001B72E7">
        <w:tc>
          <w:tcPr>
            <w:tcW w:w="1260" w:type="dxa"/>
            <w:tcBorders>
              <w:top w:val="single" w:sz="4" w:space="0" w:color="auto"/>
              <w:bottom w:val="single" w:sz="4" w:space="0" w:color="auto"/>
            </w:tcBorders>
          </w:tcPr>
          <w:p w14:paraId="2E2C8924" w14:textId="77777777" w:rsidR="00F74C65" w:rsidRDefault="00F74C65" w:rsidP="001B72E7">
            <w:pPr>
              <w:pStyle w:val="covertext"/>
            </w:pPr>
            <w:r>
              <w:t>Source</w:t>
            </w:r>
          </w:p>
        </w:tc>
        <w:tc>
          <w:tcPr>
            <w:tcW w:w="4050" w:type="dxa"/>
            <w:tcBorders>
              <w:top w:val="single" w:sz="4" w:space="0" w:color="auto"/>
              <w:bottom w:val="single" w:sz="4" w:space="0" w:color="auto"/>
            </w:tcBorders>
          </w:tcPr>
          <w:p w14:paraId="7D9600B1" w14:textId="77777777" w:rsidR="00F74C65" w:rsidRDefault="00F74C65" w:rsidP="001B72E7">
            <w:pPr>
              <w:pStyle w:val="covertext"/>
              <w:spacing w:before="0" w:after="0"/>
            </w:pPr>
            <w:r>
              <w:t>Benjamin Rolfe</w:t>
            </w:r>
          </w:p>
          <w:p w14:paraId="7EA5859A" w14:textId="77777777" w:rsidR="00F74C65" w:rsidRDefault="00F74C65" w:rsidP="001B72E7">
            <w:pPr>
              <w:pStyle w:val="covertext"/>
              <w:spacing w:before="0" w:after="0"/>
            </w:pPr>
            <w:r>
              <w:t>Blind Creek Associates</w:t>
            </w:r>
          </w:p>
          <w:p w14:paraId="2F03562A" w14:textId="77777777" w:rsidR="00F74C65" w:rsidRDefault="00F74C65" w:rsidP="001B72E7">
            <w:pPr>
              <w:pStyle w:val="covertext"/>
              <w:spacing w:before="0" w:after="0"/>
            </w:pPr>
            <w:r>
              <w:t>Los Gatos, CA</w:t>
            </w:r>
          </w:p>
        </w:tc>
        <w:tc>
          <w:tcPr>
            <w:tcW w:w="4140" w:type="dxa"/>
            <w:tcBorders>
              <w:top w:val="single" w:sz="4" w:space="0" w:color="auto"/>
              <w:bottom w:val="single" w:sz="4" w:space="0" w:color="auto"/>
            </w:tcBorders>
          </w:tcPr>
          <w:p w14:paraId="2E0D4E6B" w14:textId="77777777" w:rsidR="00F74C65" w:rsidRDefault="00F74C65" w:rsidP="001B72E7">
            <w:pPr>
              <w:pStyle w:val="covertext"/>
              <w:tabs>
                <w:tab w:val="left" w:pos="1152"/>
              </w:tabs>
              <w:spacing w:before="0" w:after="0"/>
            </w:pPr>
            <w:r>
              <w:t>Voice:</w:t>
            </w:r>
            <w:r>
              <w:tab/>
              <w:t>+1 408 395 7207</w:t>
            </w:r>
          </w:p>
          <w:p w14:paraId="4F862B72" w14:textId="77777777" w:rsidR="00F74C65" w:rsidRDefault="00F74C65" w:rsidP="001B72E7">
            <w:pPr>
              <w:pStyle w:val="covertext"/>
              <w:tabs>
                <w:tab w:val="left" w:pos="1152"/>
              </w:tabs>
              <w:spacing w:before="0" w:after="0"/>
              <w:rPr>
                <w:sz w:val="18"/>
              </w:rPr>
            </w:pPr>
            <w:r>
              <w:t>Fax:</w:t>
            </w:r>
            <w:r>
              <w:tab/>
              <w:t>Deprecated</w:t>
            </w:r>
            <w:r>
              <w:br/>
              <w:t>E-mail:</w:t>
            </w:r>
            <w:r>
              <w:tab/>
              <w:t>[</w:t>
            </w:r>
            <w:proofErr w:type="spellStart"/>
            <w:r>
              <w:t>ben.rolfe</w:t>
            </w:r>
            <w:proofErr w:type="spellEnd"/>
            <w:r>
              <w:t xml:space="preserve"> @ ieee.org]</w:t>
            </w:r>
          </w:p>
        </w:tc>
      </w:tr>
      <w:tr w:rsidR="00F74C65" w:rsidRPr="002F0C01" w14:paraId="7A44ED0B" w14:textId="77777777" w:rsidTr="001B72E7">
        <w:tc>
          <w:tcPr>
            <w:tcW w:w="1260" w:type="dxa"/>
            <w:tcBorders>
              <w:top w:val="single" w:sz="6" w:space="0" w:color="auto"/>
            </w:tcBorders>
          </w:tcPr>
          <w:p w14:paraId="7D303B1F" w14:textId="77777777" w:rsidR="00F74C65" w:rsidRDefault="00F74C65" w:rsidP="001B72E7">
            <w:pPr>
              <w:pStyle w:val="covertext"/>
            </w:pPr>
            <w:r>
              <w:t>Re:</w:t>
            </w:r>
          </w:p>
        </w:tc>
        <w:tc>
          <w:tcPr>
            <w:tcW w:w="8190" w:type="dxa"/>
            <w:gridSpan w:val="2"/>
            <w:tcBorders>
              <w:top w:val="single" w:sz="6" w:space="0" w:color="auto"/>
            </w:tcBorders>
          </w:tcPr>
          <w:p w14:paraId="3E591344" w14:textId="77777777" w:rsidR="00F74C65" w:rsidRPr="00042A51" w:rsidRDefault="00F74C65" w:rsidP="001B72E7">
            <w:pPr>
              <w:pStyle w:val="covertext"/>
            </w:pPr>
            <w:r>
              <w:t xml:space="preserve">Analyze the coexistence of 802.15.4z and other 802 wireless systems </w:t>
            </w:r>
          </w:p>
        </w:tc>
      </w:tr>
      <w:tr w:rsidR="00F74C65" w:rsidRPr="002F0C01" w14:paraId="69EE7EE3" w14:textId="77777777" w:rsidTr="001B72E7">
        <w:tc>
          <w:tcPr>
            <w:tcW w:w="1260" w:type="dxa"/>
            <w:tcBorders>
              <w:top w:val="single" w:sz="6" w:space="0" w:color="auto"/>
            </w:tcBorders>
          </w:tcPr>
          <w:p w14:paraId="4146BAEE" w14:textId="77777777" w:rsidR="00F74C65" w:rsidRDefault="00F74C65" w:rsidP="001B72E7">
            <w:pPr>
              <w:pStyle w:val="covertext"/>
            </w:pPr>
            <w:r>
              <w:t>Abstract</w:t>
            </w:r>
          </w:p>
        </w:tc>
        <w:tc>
          <w:tcPr>
            <w:tcW w:w="8190" w:type="dxa"/>
            <w:gridSpan w:val="2"/>
            <w:tcBorders>
              <w:top w:val="single" w:sz="6" w:space="0" w:color="auto"/>
            </w:tcBorders>
          </w:tcPr>
          <w:p w14:paraId="517E00B8" w14:textId="77777777" w:rsidR="00F74C65" w:rsidRDefault="00F74C65" w:rsidP="001B72E7">
            <w:pPr>
              <w:pStyle w:val="covertext"/>
            </w:pPr>
            <w:r>
              <w:t>IEEE 802.15.4 Coexistence Document</w:t>
            </w:r>
          </w:p>
        </w:tc>
      </w:tr>
      <w:tr w:rsidR="00F74C65" w:rsidRPr="002F0C01" w14:paraId="166B344B" w14:textId="77777777" w:rsidTr="001B72E7">
        <w:tc>
          <w:tcPr>
            <w:tcW w:w="1260" w:type="dxa"/>
            <w:tcBorders>
              <w:top w:val="single" w:sz="6" w:space="0" w:color="auto"/>
            </w:tcBorders>
          </w:tcPr>
          <w:p w14:paraId="7D86C7D1" w14:textId="77777777" w:rsidR="00F74C65" w:rsidRDefault="00F74C65" w:rsidP="001B72E7">
            <w:pPr>
              <w:pStyle w:val="covertext"/>
            </w:pPr>
            <w:r>
              <w:t>Purpose</w:t>
            </w:r>
          </w:p>
        </w:tc>
        <w:tc>
          <w:tcPr>
            <w:tcW w:w="8190" w:type="dxa"/>
            <w:gridSpan w:val="2"/>
            <w:tcBorders>
              <w:top w:val="single" w:sz="6" w:space="0" w:color="auto"/>
            </w:tcBorders>
          </w:tcPr>
          <w:p w14:paraId="36AC98B5" w14:textId="77777777" w:rsidR="00F74C65" w:rsidRDefault="00F74C65" w:rsidP="001B72E7">
            <w:pPr>
              <w:pStyle w:val="covertext"/>
            </w:pPr>
            <w:r>
              <w:t>Document coexistence analysis</w:t>
            </w:r>
          </w:p>
        </w:tc>
      </w:tr>
      <w:tr w:rsidR="00F74C65" w:rsidRPr="002F0C01" w14:paraId="7C073ADD" w14:textId="77777777" w:rsidTr="001B72E7">
        <w:tc>
          <w:tcPr>
            <w:tcW w:w="1260" w:type="dxa"/>
            <w:tcBorders>
              <w:top w:val="single" w:sz="6" w:space="0" w:color="auto"/>
              <w:bottom w:val="single" w:sz="6" w:space="0" w:color="auto"/>
            </w:tcBorders>
          </w:tcPr>
          <w:p w14:paraId="29C1E13D" w14:textId="77777777" w:rsidR="00F74C65" w:rsidRDefault="00F74C65" w:rsidP="001B72E7">
            <w:pPr>
              <w:pStyle w:val="covertext"/>
            </w:pPr>
            <w:r>
              <w:t>Notice</w:t>
            </w:r>
          </w:p>
        </w:tc>
        <w:tc>
          <w:tcPr>
            <w:tcW w:w="8190" w:type="dxa"/>
            <w:gridSpan w:val="2"/>
            <w:tcBorders>
              <w:top w:val="single" w:sz="6" w:space="0" w:color="auto"/>
              <w:bottom w:val="single" w:sz="6" w:space="0" w:color="auto"/>
            </w:tcBorders>
          </w:tcPr>
          <w:p w14:paraId="0DEA9949" w14:textId="77777777" w:rsidR="00F74C65" w:rsidRDefault="00F74C65" w:rsidP="001B72E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74C65" w:rsidRPr="002F0C01" w14:paraId="277C4586" w14:textId="77777777" w:rsidTr="001B72E7">
        <w:tc>
          <w:tcPr>
            <w:tcW w:w="1260" w:type="dxa"/>
            <w:tcBorders>
              <w:top w:val="single" w:sz="6" w:space="0" w:color="auto"/>
              <w:bottom w:val="single" w:sz="6" w:space="0" w:color="auto"/>
            </w:tcBorders>
          </w:tcPr>
          <w:p w14:paraId="3C6A3D13" w14:textId="77777777" w:rsidR="00F74C65" w:rsidRDefault="00F74C65" w:rsidP="001B72E7">
            <w:pPr>
              <w:pStyle w:val="covertext"/>
            </w:pPr>
            <w:r>
              <w:t>Release</w:t>
            </w:r>
          </w:p>
        </w:tc>
        <w:tc>
          <w:tcPr>
            <w:tcW w:w="8190" w:type="dxa"/>
            <w:gridSpan w:val="2"/>
            <w:tcBorders>
              <w:top w:val="single" w:sz="6" w:space="0" w:color="auto"/>
              <w:bottom w:val="single" w:sz="6" w:space="0" w:color="auto"/>
            </w:tcBorders>
          </w:tcPr>
          <w:p w14:paraId="52B5E76E" w14:textId="77777777" w:rsidR="00F74C65" w:rsidRDefault="00F74C65" w:rsidP="001B72E7">
            <w:pPr>
              <w:pStyle w:val="covertext"/>
            </w:pPr>
            <w:r>
              <w:t>The contributor acknowledges and accepts that this contribution becomes the property of IEEE and may be made publicly available by P802.15.</w:t>
            </w:r>
          </w:p>
        </w:tc>
      </w:tr>
    </w:tbl>
    <w:p w14:paraId="6583E1FF" w14:textId="77777777" w:rsidR="00F74C65" w:rsidRPr="007556B0" w:rsidRDefault="00F74C65" w:rsidP="00F74C65">
      <w:pPr>
        <w:widowControl w:val="0"/>
        <w:spacing w:before="120"/>
        <w:rPr>
          <w:rFonts w:ascii="Arial" w:hAnsi="Arial" w:cs="Arial"/>
          <w:sz w:val="16"/>
          <w:szCs w:val="16"/>
        </w:rPr>
      </w:pPr>
    </w:p>
    <w:p w14:paraId="0F81D5F2" w14:textId="77777777" w:rsidR="00F74C65" w:rsidRDefault="00F74C65" w:rsidP="00F74C65">
      <w:r>
        <w:br/>
      </w:r>
    </w:p>
    <w:p w14:paraId="0AF415F1" w14:textId="77777777" w:rsidR="00F74C65" w:rsidRDefault="00F74C65">
      <w:pPr>
        <w:rPr>
          <w:rFonts w:asciiTheme="majorHAnsi" w:eastAsiaTheme="majorEastAsia" w:hAnsiTheme="majorHAnsi" w:cstheme="majorBidi"/>
          <w:b/>
          <w:bCs/>
          <w:color w:val="365F91" w:themeColor="accent1" w:themeShade="BF"/>
          <w:sz w:val="28"/>
          <w:szCs w:val="28"/>
        </w:rPr>
      </w:pPr>
      <w:r>
        <w:br w:type="page"/>
      </w:r>
    </w:p>
    <w:p w14:paraId="01FC1364" w14:textId="78AC743C" w:rsidR="00D77063" w:rsidRDefault="00214B49" w:rsidP="002D32D6">
      <w:pPr>
        <w:pStyle w:val="Heading1"/>
      </w:pPr>
      <w:r>
        <w:t>Introduction</w:t>
      </w:r>
    </w:p>
    <w:p w14:paraId="3E809DB3" w14:textId="77777777" w:rsidR="00214B49" w:rsidRDefault="00214B49">
      <w:r>
        <w:t>This contribution considers the impact of the potential introduction of RLAN systems in the 6 GHz band on UWB systems.</w:t>
      </w:r>
    </w:p>
    <w:p w14:paraId="672EA29C" w14:textId="3FB79F2A" w:rsidR="00214B49" w:rsidRDefault="00214B49">
      <w:r>
        <w:t xml:space="preserve">The RLAN deployment assumptions </w:t>
      </w:r>
      <w:r w:rsidR="00FB4A83">
        <w:t xml:space="preserve">are based on those listed </w:t>
      </w:r>
      <w:r>
        <w:t>in the RKF study. However, as many of these assumptions</w:t>
      </w:r>
      <w:r w:rsidR="00FB4A83">
        <w:t>, in particular with regards to market share, duty cycle and transmit power control,</w:t>
      </w:r>
      <w:r>
        <w:t xml:space="preserve"> are not included in the regulations as currently proposed, alternative set</w:t>
      </w:r>
      <w:r w:rsidR="00FB4A83">
        <w:t>s</w:t>
      </w:r>
      <w:r>
        <w:t xml:space="preserve"> of assumptions </w:t>
      </w:r>
      <w:r w:rsidR="00FB4A83">
        <w:t xml:space="preserve">are </w:t>
      </w:r>
      <w:r>
        <w:t>also evaluated.</w:t>
      </w:r>
    </w:p>
    <w:p w14:paraId="03212F90" w14:textId="77777777" w:rsidR="00214B49" w:rsidRDefault="00214B49"/>
    <w:p w14:paraId="2B2A6894" w14:textId="77777777" w:rsidR="00214B49" w:rsidRDefault="00214B49" w:rsidP="002D32D6">
      <w:pPr>
        <w:pStyle w:val="Heading1"/>
      </w:pPr>
      <w:r>
        <w:t>RLAN deployment assumptions</w:t>
      </w:r>
    </w:p>
    <w:p w14:paraId="14FAB144" w14:textId="3F64825E" w:rsidR="00455185" w:rsidRPr="00455185" w:rsidRDefault="00455185" w:rsidP="00455185">
      <w:pPr>
        <w:pStyle w:val="Heading2"/>
      </w:pPr>
      <w:r>
        <w:t>RFK</w:t>
      </w:r>
      <w:r w:rsidR="00FB4A83">
        <w:t>-like</w:t>
      </w:r>
      <w:r>
        <w:t xml:space="preserve"> assumptions</w:t>
      </w:r>
    </w:p>
    <w:p w14:paraId="6D1FCC25" w14:textId="707941B9" w:rsidR="00FB4A83" w:rsidRDefault="00214B49" w:rsidP="00214B49">
      <w:r>
        <w:t>In first instance, the RLAN deployment characteristics from the RKF study (</w:t>
      </w:r>
      <w:hyperlink r:id="rId8" w:history="1">
        <w:r w:rsidRPr="00892F4A">
          <w:rPr>
            <w:rStyle w:val="Hyperlink"/>
          </w:rPr>
          <w:t>https://s3.amazonaws.com/rkfengineering-web/6USC+Report+Release+-+24Jan2018.pdf</w:t>
        </w:r>
      </w:hyperlink>
      <w:r>
        <w:t>) are followed.</w:t>
      </w:r>
      <w:r w:rsidR="00A60C83">
        <w:t xml:space="preserve"> </w:t>
      </w:r>
      <w:r w:rsidR="00FB4A83">
        <w:t>However, whereas the RKF study appears to have a time horizon of 2025 and therefore considers a market share of 45% for 6 GHz enabled RLAN, compatibility studies should give confidence to existing users much longer in the future and a market share of 95% 6 GHz enabled RLAN is therefore assumed. A further small modification takes into account that the current regulations don’t allow transmissions at 4 W.</w:t>
      </w:r>
    </w:p>
    <w:p w14:paraId="706F2A5C" w14:textId="0DEA35D4" w:rsidR="00A60C83" w:rsidRDefault="00A60C83" w:rsidP="00214B49">
      <w:r>
        <w:t>For completeness, the relevant assumptions are listed below.</w:t>
      </w:r>
    </w:p>
    <w:p w14:paraId="73B8EF26" w14:textId="77777777" w:rsidR="00214B49" w:rsidRDefault="00A60C83" w:rsidP="00214B49">
      <w:r>
        <w:t>E</w:t>
      </w:r>
      <w:r w:rsidR="00214B49">
        <w:t>ach person is assumed to have 10 RLAN devices. Ten percent are high activity devices, with a duty cycle of 0.44%, while the remaining ninety percent of devices are low activity devices with a duty cycle of 0.00022%.</w:t>
      </w:r>
    </w:p>
    <w:p w14:paraId="18BB7C05" w14:textId="6AFB91AC" w:rsidR="00214B49" w:rsidRDefault="00214B49" w:rsidP="00214B49">
      <w:r>
        <w:t>A</w:t>
      </w:r>
      <w:r w:rsidR="00FB4A83">
        <w:t>s discussed above, and unlike the RKF study, 9</w:t>
      </w:r>
      <w:r>
        <w:t xml:space="preserve">5% of RLAN devices </w:t>
      </w:r>
      <w:r w:rsidR="00FB4A83">
        <w:t>are assumed to</w:t>
      </w:r>
      <w:r>
        <w:t xml:space="preserve"> 6 GHz enabled. Based on the ratio of available bandwidth, 68% of those </w:t>
      </w:r>
      <w:r w:rsidR="00FB4A83">
        <w:t xml:space="preserve">devices </w:t>
      </w:r>
      <w:r>
        <w:t xml:space="preserve">is assumed to be </w:t>
      </w:r>
      <w:r w:rsidR="00FB4A83">
        <w:t xml:space="preserve">actually operating </w:t>
      </w:r>
      <w:r>
        <w:t>in the 6 GHz band.</w:t>
      </w:r>
    </w:p>
    <w:p w14:paraId="6B917EFD" w14:textId="77777777" w:rsidR="00214B49" w:rsidRDefault="00214B49">
      <w:r>
        <w:t>Only 2% of the devices operate outdoors, with the remaining 98% used indoors.</w:t>
      </w:r>
    </w:p>
    <w:p w14:paraId="47C1B26F" w14:textId="1F44BA84" w:rsidR="00A60C83" w:rsidRDefault="00A60C83">
      <w:r>
        <w:t>The RLAN power distribution was modified slightly to take into account that the proposed rules don't allow 4 W transmissions. It was therefore assumed that these transmissions will also take place at 1</w:t>
      </w:r>
      <w:r w:rsidR="00FB4A83">
        <w:t> </w:t>
      </w:r>
      <w:r>
        <w:t>W. Based on table 3-7 and 3-8 of the original RKF report, the power distributions then become:</w:t>
      </w:r>
    </w:p>
    <w:tbl>
      <w:tblPr>
        <w:tblStyle w:val="TableGrid"/>
        <w:tblW w:w="0" w:type="auto"/>
        <w:tblLook w:val="04A0" w:firstRow="1" w:lastRow="0" w:firstColumn="1" w:lastColumn="0" w:noHBand="0" w:noVBand="1"/>
      </w:tblPr>
      <w:tblGrid>
        <w:gridCol w:w="1296"/>
        <w:gridCol w:w="1421"/>
        <w:gridCol w:w="875"/>
        <w:gridCol w:w="924"/>
        <w:gridCol w:w="924"/>
        <w:gridCol w:w="924"/>
        <w:gridCol w:w="924"/>
      </w:tblGrid>
      <w:tr w:rsidR="00A60C83" w:rsidRPr="00A60C83" w14:paraId="5954896C" w14:textId="77777777" w:rsidTr="00FA7B52">
        <w:tc>
          <w:tcPr>
            <w:tcW w:w="1296" w:type="dxa"/>
          </w:tcPr>
          <w:p w14:paraId="6CE73658" w14:textId="77777777" w:rsidR="00A60C83" w:rsidRPr="00A60C83" w:rsidRDefault="00A60C83">
            <w:pPr>
              <w:rPr>
                <w:b/>
              </w:rPr>
            </w:pPr>
            <w:r w:rsidRPr="00A60C83">
              <w:rPr>
                <w:b/>
              </w:rPr>
              <w:t>EIRP (mW)</w:t>
            </w:r>
          </w:p>
        </w:tc>
        <w:tc>
          <w:tcPr>
            <w:tcW w:w="1421" w:type="dxa"/>
          </w:tcPr>
          <w:p w14:paraId="7D1CCEFE" w14:textId="77777777" w:rsidR="00A60C83" w:rsidRPr="00A60C83" w:rsidRDefault="00A60C83" w:rsidP="00A60C83">
            <w:pPr>
              <w:jc w:val="center"/>
              <w:rPr>
                <w:b/>
              </w:rPr>
            </w:pPr>
            <w:r w:rsidRPr="00A60C83">
              <w:rPr>
                <w:b/>
              </w:rPr>
              <w:t>1000</w:t>
            </w:r>
          </w:p>
        </w:tc>
        <w:tc>
          <w:tcPr>
            <w:tcW w:w="875" w:type="dxa"/>
          </w:tcPr>
          <w:p w14:paraId="553DDE62" w14:textId="77777777" w:rsidR="00A60C83" w:rsidRPr="00A60C83" w:rsidRDefault="00A60C83" w:rsidP="00A60C83">
            <w:pPr>
              <w:jc w:val="center"/>
              <w:rPr>
                <w:b/>
              </w:rPr>
            </w:pPr>
            <w:r w:rsidRPr="00A60C83">
              <w:rPr>
                <w:b/>
              </w:rPr>
              <w:t>250</w:t>
            </w:r>
          </w:p>
        </w:tc>
        <w:tc>
          <w:tcPr>
            <w:tcW w:w="924" w:type="dxa"/>
          </w:tcPr>
          <w:p w14:paraId="41893609" w14:textId="77777777" w:rsidR="00A60C83" w:rsidRPr="00A60C83" w:rsidRDefault="00A60C83" w:rsidP="00A60C83">
            <w:pPr>
              <w:jc w:val="center"/>
              <w:rPr>
                <w:b/>
              </w:rPr>
            </w:pPr>
            <w:r w:rsidRPr="00A60C83">
              <w:rPr>
                <w:b/>
              </w:rPr>
              <w:t>100</w:t>
            </w:r>
          </w:p>
        </w:tc>
        <w:tc>
          <w:tcPr>
            <w:tcW w:w="924" w:type="dxa"/>
          </w:tcPr>
          <w:p w14:paraId="47EAC857" w14:textId="77777777" w:rsidR="00A60C83" w:rsidRPr="00A60C83" w:rsidRDefault="00A60C83" w:rsidP="00A60C83">
            <w:pPr>
              <w:jc w:val="center"/>
              <w:rPr>
                <w:b/>
              </w:rPr>
            </w:pPr>
            <w:r w:rsidRPr="00A60C83">
              <w:rPr>
                <w:b/>
              </w:rPr>
              <w:t>50</w:t>
            </w:r>
          </w:p>
        </w:tc>
        <w:tc>
          <w:tcPr>
            <w:tcW w:w="924" w:type="dxa"/>
          </w:tcPr>
          <w:p w14:paraId="15149FFA" w14:textId="77777777" w:rsidR="00A60C83" w:rsidRPr="00A60C83" w:rsidRDefault="00A60C83" w:rsidP="00A60C83">
            <w:pPr>
              <w:jc w:val="center"/>
              <w:rPr>
                <w:b/>
              </w:rPr>
            </w:pPr>
            <w:r w:rsidRPr="00A60C83">
              <w:rPr>
                <w:b/>
              </w:rPr>
              <w:t>13</w:t>
            </w:r>
          </w:p>
        </w:tc>
        <w:tc>
          <w:tcPr>
            <w:tcW w:w="924" w:type="dxa"/>
          </w:tcPr>
          <w:p w14:paraId="534A02A6" w14:textId="77777777" w:rsidR="00A60C83" w:rsidRPr="00A60C83" w:rsidRDefault="00A60C83" w:rsidP="00A60C83">
            <w:pPr>
              <w:jc w:val="center"/>
              <w:rPr>
                <w:b/>
              </w:rPr>
            </w:pPr>
            <w:r w:rsidRPr="00A60C83">
              <w:rPr>
                <w:b/>
              </w:rPr>
              <w:t>1</w:t>
            </w:r>
          </w:p>
        </w:tc>
      </w:tr>
      <w:tr w:rsidR="00A60C83" w14:paraId="1D9FCA10" w14:textId="77777777" w:rsidTr="00FA7B52">
        <w:tc>
          <w:tcPr>
            <w:tcW w:w="1296" w:type="dxa"/>
          </w:tcPr>
          <w:p w14:paraId="1B28DC63" w14:textId="77777777" w:rsidR="00A60C83" w:rsidRPr="00A60C83" w:rsidRDefault="00A60C83">
            <w:pPr>
              <w:rPr>
                <w:b/>
              </w:rPr>
            </w:pPr>
            <w:r w:rsidRPr="00A60C83">
              <w:rPr>
                <w:b/>
              </w:rPr>
              <w:t>Indoor</w:t>
            </w:r>
          </w:p>
        </w:tc>
        <w:tc>
          <w:tcPr>
            <w:tcW w:w="1421" w:type="dxa"/>
          </w:tcPr>
          <w:p w14:paraId="099B87E0" w14:textId="77777777" w:rsidR="00A60C83" w:rsidRDefault="00A60C83" w:rsidP="00A60C83">
            <w:pPr>
              <w:jc w:val="center"/>
            </w:pPr>
            <w:r>
              <w:t>0.67%+042%</w:t>
            </w:r>
          </w:p>
        </w:tc>
        <w:tc>
          <w:tcPr>
            <w:tcW w:w="875" w:type="dxa"/>
          </w:tcPr>
          <w:p w14:paraId="2EB861E9" w14:textId="77777777" w:rsidR="00A60C83" w:rsidRDefault="00A60C83" w:rsidP="00A60C83">
            <w:pPr>
              <w:jc w:val="center"/>
            </w:pPr>
            <w:r>
              <w:t>10.39%</w:t>
            </w:r>
          </w:p>
        </w:tc>
        <w:tc>
          <w:tcPr>
            <w:tcW w:w="924" w:type="dxa"/>
          </w:tcPr>
          <w:p w14:paraId="7290F0B2" w14:textId="77777777" w:rsidR="00A60C83" w:rsidRDefault="00A60C83" w:rsidP="00A60C83">
            <w:pPr>
              <w:jc w:val="center"/>
            </w:pPr>
            <w:r>
              <w:t>6.49%</w:t>
            </w:r>
          </w:p>
        </w:tc>
        <w:tc>
          <w:tcPr>
            <w:tcW w:w="924" w:type="dxa"/>
          </w:tcPr>
          <w:p w14:paraId="3D6EE0B0" w14:textId="77777777" w:rsidR="00A60C83" w:rsidRDefault="00A60C83" w:rsidP="00A60C83">
            <w:pPr>
              <w:jc w:val="center"/>
            </w:pPr>
            <w:r>
              <w:t>24.64%</w:t>
            </w:r>
          </w:p>
        </w:tc>
        <w:tc>
          <w:tcPr>
            <w:tcW w:w="924" w:type="dxa"/>
          </w:tcPr>
          <w:p w14:paraId="61AE9BDF" w14:textId="77777777" w:rsidR="00A60C83" w:rsidRDefault="00A60C83" w:rsidP="00A60C83">
            <w:pPr>
              <w:jc w:val="center"/>
            </w:pPr>
            <w:r>
              <w:t>51.84%</w:t>
            </w:r>
          </w:p>
        </w:tc>
        <w:tc>
          <w:tcPr>
            <w:tcW w:w="924" w:type="dxa"/>
          </w:tcPr>
          <w:p w14:paraId="029EB559" w14:textId="77777777" w:rsidR="00A60C83" w:rsidRDefault="00A60C83" w:rsidP="00A60C83">
            <w:pPr>
              <w:jc w:val="center"/>
            </w:pPr>
            <w:r>
              <w:t>5.56%</w:t>
            </w:r>
          </w:p>
        </w:tc>
      </w:tr>
      <w:tr w:rsidR="00A60C83" w14:paraId="1BE06E0D" w14:textId="77777777" w:rsidTr="00FA7B52">
        <w:tc>
          <w:tcPr>
            <w:tcW w:w="1296" w:type="dxa"/>
          </w:tcPr>
          <w:p w14:paraId="16177A2B" w14:textId="77777777" w:rsidR="00A60C83" w:rsidRPr="00A60C83" w:rsidRDefault="00A60C83">
            <w:pPr>
              <w:rPr>
                <w:b/>
              </w:rPr>
            </w:pPr>
            <w:r w:rsidRPr="00A60C83">
              <w:rPr>
                <w:b/>
              </w:rPr>
              <w:t>Outdoor</w:t>
            </w:r>
          </w:p>
        </w:tc>
        <w:tc>
          <w:tcPr>
            <w:tcW w:w="1421" w:type="dxa"/>
          </w:tcPr>
          <w:p w14:paraId="1DB69080" w14:textId="77777777" w:rsidR="00A60C83" w:rsidRDefault="00A60C83" w:rsidP="00A60C83">
            <w:pPr>
              <w:jc w:val="center"/>
            </w:pPr>
            <w:r>
              <w:t>2.83%+2.02%</w:t>
            </w:r>
          </w:p>
        </w:tc>
        <w:tc>
          <w:tcPr>
            <w:tcW w:w="875" w:type="dxa"/>
          </w:tcPr>
          <w:p w14:paraId="7FD23FE9" w14:textId="77777777" w:rsidR="00A60C83" w:rsidRDefault="00A60C83" w:rsidP="00A60C83">
            <w:pPr>
              <w:jc w:val="center"/>
            </w:pPr>
            <w:r>
              <w:t>9.45%</w:t>
            </w:r>
          </w:p>
        </w:tc>
        <w:tc>
          <w:tcPr>
            <w:tcW w:w="924" w:type="dxa"/>
          </w:tcPr>
          <w:p w14:paraId="3FEABD70" w14:textId="77777777" w:rsidR="00A60C83" w:rsidRDefault="00A60C83" w:rsidP="00A60C83">
            <w:pPr>
              <w:jc w:val="center"/>
            </w:pPr>
            <w:r>
              <w:t>9%</w:t>
            </w:r>
          </w:p>
        </w:tc>
        <w:tc>
          <w:tcPr>
            <w:tcW w:w="924" w:type="dxa"/>
          </w:tcPr>
          <w:p w14:paraId="2B724BD4" w14:textId="77777777" w:rsidR="00A60C83" w:rsidRDefault="00A60C83" w:rsidP="00A60C83">
            <w:pPr>
              <w:jc w:val="center"/>
            </w:pPr>
            <w:r>
              <w:t>32.13%</w:t>
            </w:r>
          </w:p>
        </w:tc>
        <w:tc>
          <w:tcPr>
            <w:tcW w:w="924" w:type="dxa"/>
          </w:tcPr>
          <w:p w14:paraId="5AD3CB32" w14:textId="77777777" w:rsidR="00A60C83" w:rsidRDefault="00A60C83" w:rsidP="00A60C83">
            <w:pPr>
              <w:jc w:val="center"/>
            </w:pPr>
            <w:r>
              <w:t>41.99%</w:t>
            </w:r>
          </w:p>
        </w:tc>
        <w:tc>
          <w:tcPr>
            <w:tcW w:w="924" w:type="dxa"/>
          </w:tcPr>
          <w:p w14:paraId="0A272C70" w14:textId="77777777" w:rsidR="00A60C83" w:rsidRDefault="00A60C83" w:rsidP="00A60C83">
            <w:pPr>
              <w:jc w:val="center"/>
            </w:pPr>
            <w:r>
              <w:t>2.58%</w:t>
            </w:r>
          </w:p>
        </w:tc>
      </w:tr>
    </w:tbl>
    <w:p w14:paraId="0BEAA664" w14:textId="4BC8FA6D" w:rsidR="00214B49" w:rsidRDefault="00214B49"/>
    <w:p w14:paraId="783BFD9D" w14:textId="1C7E0EA2" w:rsidR="000F4034" w:rsidRDefault="000F4034">
      <w:r>
        <w:t>In the frequency bands where the regulations don’t allow 1000 mW transmissions, it is assumed these will take place at 250 mW instead.</w:t>
      </w:r>
    </w:p>
    <w:p w14:paraId="43FE109C" w14:textId="77777777" w:rsidR="002D32D6" w:rsidRDefault="002D32D6">
      <w:r>
        <w:lastRenderedPageBreak/>
        <w:t>The RFK study assumes the RLAN devices will operate in compliance with IEEE 802.11</w:t>
      </w:r>
      <w:r w:rsidR="00455185">
        <w:t xml:space="preserve"> in bandwidths of 20, 40, 80 and 160 </w:t>
      </w:r>
      <w:proofErr w:type="spellStart"/>
      <w:r w:rsidR="00455185">
        <w:t>MHz.</w:t>
      </w:r>
      <w:proofErr w:type="spellEnd"/>
      <w:r w:rsidR="00455185">
        <w:t xml:space="preserve"> The probability of a certain bandwidth being used is given in table 3-9 in the RFK report, which is reproduced here for completeness:</w:t>
      </w:r>
    </w:p>
    <w:tbl>
      <w:tblPr>
        <w:tblStyle w:val="TableGrid"/>
        <w:tblW w:w="0" w:type="auto"/>
        <w:tblLook w:val="04A0" w:firstRow="1" w:lastRow="0" w:firstColumn="1" w:lastColumn="0" w:noHBand="0" w:noVBand="1"/>
      </w:tblPr>
      <w:tblGrid>
        <w:gridCol w:w="1848"/>
        <w:gridCol w:w="1848"/>
        <w:gridCol w:w="1848"/>
        <w:gridCol w:w="1849"/>
        <w:gridCol w:w="1849"/>
      </w:tblGrid>
      <w:tr w:rsidR="00455185" w:rsidRPr="00455185" w14:paraId="5F369821" w14:textId="77777777" w:rsidTr="00455185">
        <w:tc>
          <w:tcPr>
            <w:tcW w:w="1848" w:type="dxa"/>
          </w:tcPr>
          <w:p w14:paraId="04D0190D" w14:textId="77777777" w:rsidR="00455185" w:rsidRPr="00455185" w:rsidRDefault="00455185">
            <w:pPr>
              <w:rPr>
                <w:b/>
              </w:rPr>
            </w:pPr>
            <w:r w:rsidRPr="00455185">
              <w:rPr>
                <w:b/>
              </w:rPr>
              <w:t>Bandwidth</w:t>
            </w:r>
          </w:p>
        </w:tc>
        <w:tc>
          <w:tcPr>
            <w:tcW w:w="1848" w:type="dxa"/>
          </w:tcPr>
          <w:p w14:paraId="3E5DBC2C" w14:textId="77777777" w:rsidR="00455185" w:rsidRPr="00455185" w:rsidRDefault="00455185" w:rsidP="00455185">
            <w:pPr>
              <w:jc w:val="center"/>
              <w:rPr>
                <w:b/>
              </w:rPr>
            </w:pPr>
            <w:r w:rsidRPr="00455185">
              <w:rPr>
                <w:b/>
              </w:rPr>
              <w:t>20 MHz</w:t>
            </w:r>
          </w:p>
        </w:tc>
        <w:tc>
          <w:tcPr>
            <w:tcW w:w="1848" w:type="dxa"/>
          </w:tcPr>
          <w:p w14:paraId="2D08C385" w14:textId="77777777" w:rsidR="00455185" w:rsidRPr="00455185" w:rsidRDefault="00455185" w:rsidP="00455185">
            <w:pPr>
              <w:jc w:val="center"/>
              <w:rPr>
                <w:b/>
              </w:rPr>
            </w:pPr>
            <w:r w:rsidRPr="00455185">
              <w:rPr>
                <w:b/>
              </w:rPr>
              <w:t>40 MHz</w:t>
            </w:r>
          </w:p>
        </w:tc>
        <w:tc>
          <w:tcPr>
            <w:tcW w:w="1849" w:type="dxa"/>
          </w:tcPr>
          <w:p w14:paraId="44418F7F" w14:textId="77777777" w:rsidR="00455185" w:rsidRPr="00455185" w:rsidRDefault="00455185" w:rsidP="00455185">
            <w:pPr>
              <w:jc w:val="center"/>
              <w:rPr>
                <w:b/>
              </w:rPr>
            </w:pPr>
            <w:r w:rsidRPr="00455185">
              <w:rPr>
                <w:b/>
              </w:rPr>
              <w:t>80 MHz</w:t>
            </w:r>
          </w:p>
        </w:tc>
        <w:tc>
          <w:tcPr>
            <w:tcW w:w="1849" w:type="dxa"/>
          </w:tcPr>
          <w:p w14:paraId="222ACE3C" w14:textId="77777777" w:rsidR="00455185" w:rsidRPr="00455185" w:rsidRDefault="00455185" w:rsidP="00455185">
            <w:pPr>
              <w:jc w:val="center"/>
              <w:rPr>
                <w:b/>
              </w:rPr>
            </w:pPr>
            <w:r w:rsidRPr="00455185">
              <w:rPr>
                <w:b/>
              </w:rPr>
              <w:t>160 MHz</w:t>
            </w:r>
          </w:p>
        </w:tc>
      </w:tr>
      <w:tr w:rsidR="00455185" w14:paraId="02AA00D7" w14:textId="77777777" w:rsidTr="00455185">
        <w:tc>
          <w:tcPr>
            <w:tcW w:w="1848" w:type="dxa"/>
          </w:tcPr>
          <w:p w14:paraId="4C771D01" w14:textId="77777777" w:rsidR="00455185" w:rsidRPr="00455185" w:rsidRDefault="00455185">
            <w:pPr>
              <w:rPr>
                <w:b/>
              </w:rPr>
            </w:pPr>
            <w:r w:rsidRPr="00455185">
              <w:rPr>
                <w:b/>
              </w:rPr>
              <w:t>Percentage</w:t>
            </w:r>
          </w:p>
        </w:tc>
        <w:tc>
          <w:tcPr>
            <w:tcW w:w="1848" w:type="dxa"/>
          </w:tcPr>
          <w:p w14:paraId="10A0823D" w14:textId="77777777" w:rsidR="00455185" w:rsidRDefault="00455185" w:rsidP="00455185">
            <w:pPr>
              <w:jc w:val="center"/>
            </w:pPr>
            <w:r>
              <w:t>10%</w:t>
            </w:r>
          </w:p>
        </w:tc>
        <w:tc>
          <w:tcPr>
            <w:tcW w:w="1848" w:type="dxa"/>
          </w:tcPr>
          <w:p w14:paraId="78B10D96" w14:textId="77777777" w:rsidR="00455185" w:rsidRDefault="00455185" w:rsidP="00455185">
            <w:pPr>
              <w:jc w:val="center"/>
            </w:pPr>
            <w:r>
              <w:t>10%</w:t>
            </w:r>
          </w:p>
        </w:tc>
        <w:tc>
          <w:tcPr>
            <w:tcW w:w="1849" w:type="dxa"/>
          </w:tcPr>
          <w:p w14:paraId="3B6332DF" w14:textId="77777777" w:rsidR="00455185" w:rsidRDefault="00455185" w:rsidP="00455185">
            <w:pPr>
              <w:jc w:val="center"/>
            </w:pPr>
            <w:r>
              <w:t>50%</w:t>
            </w:r>
          </w:p>
        </w:tc>
        <w:tc>
          <w:tcPr>
            <w:tcW w:w="1849" w:type="dxa"/>
          </w:tcPr>
          <w:p w14:paraId="67A366C2" w14:textId="77777777" w:rsidR="00455185" w:rsidRDefault="00455185" w:rsidP="00455185">
            <w:pPr>
              <w:jc w:val="center"/>
            </w:pPr>
            <w:r>
              <w:t>30%</w:t>
            </w:r>
          </w:p>
        </w:tc>
      </w:tr>
    </w:tbl>
    <w:p w14:paraId="4EEEDBD8" w14:textId="77777777" w:rsidR="00455185" w:rsidRDefault="00455185"/>
    <w:p w14:paraId="3C74DFF6" w14:textId="77777777" w:rsidR="00455185" w:rsidRDefault="00455185" w:rsidP="00455185">
      <w:pPr>
        <w:pStyle w:val="Heading2"/>
      </w:pPr>
      <w:r>
        <w:t>Other assumptions</w:t>
      </w:r>
    </w:p>
    <w:p w14:paraId="6FFC11FF" w14:textId="0533EF90" w:rsidR="008750ED" w:rsidRDefault="00455185" w:rsidP="00455185">
      <w:r>
        <w:t xml:space="preserve">While the RKF assumptions are based on current IEEE 802.11 deployment scenarios, other RLAN systems and deployment scenarios are possible under the proposed regulations. </w:t>
      </w:r>
      <w:r w:rsidR="008750ED">
        <w:t>In particular, the regulations don’t restrict transmit power and duty cycle.</w:t>
      </w:r>
    </w:p>
    <w:p w14:paraId="347A26C7" w14:textId="2133D143" w:rsidR="00130F06" w:rsidRDefault="00AC6B91" w:rsidP="00455185">
      <w:r>
        <w:t>The indoor/outdoor ratio and bandwidth distribution of the RKF studies have been preserved. It is currently not known whether these are representative of future applications. For example, one could easily imagine that augmented reality applications are more likely to be used outdoors and that as spectrum demand and modulation efficiency increases, the smaller bandwidths will become more popular. However, all other RLAN deployment assumptions, including the number of high and low activity devices per person, are not changed.</w:t>
      </w:r>
    </w:p>
    <w:p w14:paraId="233671B2" w14:textId="4CA63ED3" w:rsidR="008750ED" w:rsidRDefault="008750ED" w:rsidP="00130F06">
      <w:pPr>
        <w:pStyle w:val="Heading3"/>
      </w:pPr>
      <w:r>
        <w:t>No transmit power control</w:t>
      </w:r>
    </w:p>
    <w:p w14:paraId="2CB0FB32" w14:textId="550A9E8B" w:rsidR="00130F06" w:rsidRDefault="008750ED" w:rsidP="00130F06">
      <w:r>
        <w:t>The proposed regulations don't require transmit power control and certainly can't specify the distribution assumed in the RKF study. The regulations can’t require system to comply with any version of the IEEE 802.11 standards either</w:t>
      </w:r>
      <w:r w:rsidR="000F4034">
        <w:t xml:space="preserve"> and even those systems often don’t use transmit power control. The transmit power distribution proposed in the RKF study is therefore highly questionable. As an alternative, in order to study the impact of transmit power control, the following alternative power distribution is therefore also considered and contrasted to the RKF-like results:</w:t>
      </w:r>
      <w:r w:rsidR="00130F06" w:rsidRPr="00130F06">
        <w:t xml:space="preserve"> </w:t>
      </w:r>
    </w:p>
    <w:tbl>
      <w:tblPr>
        <w:tblStyle w:val="TableGrid"/>
        <w:tblW w:w="0" w:type="auto"/>
        <w:tblLook w:val="04A0" w:firstRow="1" w:lastRow="0" w:firstColumn="1" w:lastColumn="0" w:noHBand="0" w:noVBand="1"/>
      </w:tblPr>
      <w:tblGrid>
        <w:gridCol w:w="1296"/>
        <w:gridCol w:w="1421"/>
        <w:gridCol w:w="875"/>
        <w:gridCol w:w="924"/>
        <w:gridCol w:w="924"/>
        <w:gridCol w:w="924"/>
        <w:gridCol w:w="924"/>
      </w:tblGrid>
      <w:tr w:rsidR="00130F06" w:rsidRPr="00A60C83" w14:paraId="4B944F2B" w14:textId="77777777" w:rsidTr="003B2506">
        <w:tc>
          <w:tcPr>
            <w:tcW w:w="1296" w:type="dxa"/>
          </w:tcPr>
          <w:p w14:paraId="1CA172A0" w14:textId="77777777" w:rsidR="00130F06" w:rsidRPr="00A60C83" w:rsidRDefault="00130F06" w:rsidP="003B2506">
            <w:pPr>
              <w:rPr>
                <w:b/>
              </w:rPr>
            </w:pPr>
            <w:r w:rsidRPr="00A60C83">
              <w:rPr>
                <w:b/>
              </w:rPr>
              <w:t>EIRP (mW)</w:t>
            </w:r>
          </w:p>
        </w:tc>
        <w:tc>
          <w:tcPr>
            <w:tcW w:w="1421" w:type="dxa"/>
          </w:tcPr>
          <w:p w14:paraId="78B731B6" w14:textId="77777777" w:rsidR="00130F06" w:rsidRPr="00A60C83" w:rsidRDefault="00130F06" w:rsidP="003B2506">
            <w:pPr>
              <w:jc w:val="center"/>
              <w:rPr>
                <w:b/>
              </w:rPr>
            </w:pPr>
            <w:r w:rsidRPr="00A60C83">
              <w:rPr>
                <w:b/>
              </w:rPr>
              <w:t>1000</w:t>
            </w:r>
          </w:p>
        </w:tc>
        <w:tc>
          <w:tcPr>
            <w:tcW w:w="875" w:type="dxa"/>
          </w:tcPr>
          <w:p w14:paraId="26FB038D" w14:textId="77777777" w:rsidR="00130F06" w:rsidRPr="00A60C83" w:rsidRDefault="00130F06" w:rsidP="003B2506">
            <w:pPr>
              <w:jc w:val="center"/>
              <w:rPr>
                <w:b/>
              </w:rPr>
            </w:pPr>
            <w:r w:rsidRPr="00A60C83">
              <w:rPr>
                <w:b/>
              </w:rPr>
              <w:t>250</w:t>
            </w:r>
          </w:p>
        </w:tc>
        <w:tc>
          <w:tcPr>
            <w:tcW w:w="924" w:type="dxa"/>
          </w:tcPr>
          <w:p w14:paraId="06C3EDCD" w14:textId="77777777" w:rsidR="00130F06" w:rsidRPr="00A60C83" w:rsidRDefault="00130F06" w:rsidP="003B2506">
            <w:pPr>
              <w:jc w:val="center"/>
              <w:rPr>
                <w:b/>
              </w:rPr>
            </w:pPr>
            <w:r w:rsidRPr="00A60C83">
              <w:rPr>
                <w:b/>
              </w:rPr>
              <w:t>100</w:t>
            </w:r>
          </w:p>
        </w:tc>
        <w:tc>
          <w:tcPr>
            <w:tcW w:w="924" w:type="dxa"/>
          </w:tcPr>
          <w:p w14:paraId="25868014" w14:textId="77777777" w:rsidR="00130F06" w:rsidRPr="00A60C83" w:rsidRDefault="00130F06" w:rsidP="003B2506">
            <w:pPr>
              <w:jc w:val="center"/>
              <w:rPr>
                <w:b/>
              </w:rPr>
            </w:pPr>
            <w:r w:rsidRPr="00A60C83">
              <w:rPr>
                <w:b/>
              </w:rPr>
              <w:t>50</w:t>
            </w:r>
          </w:p>
        </w:tc>
        <w:tc>
          <w:tcPr>
            <w:tcW w:w="924" w:type="dxa"/>
          </w:tcPr>
          <w:p w14:paraId="33EC585B" w14:textId="77777777" w:rsidR="00130F06" w:rsidRPr="00A60C83" w:rsidRDefault="00130F06" w:rsidP="003B2506">
            <w:pPr>
              <w:jc w:val="center"/>
              <w:rPr>
                <w:b/>
              </w:rPr>
            </w:pPr>
            <w:r w:rsidRPr="00A60C83">
              <w:rPr>
                <w:b/>
              </w:rPr>
              <w:t>13</w:t>
            </w:r>
          </w:p>
        </w:tc>
        <w:tc>
          <w:tcPr>
            <w:tcW w:w="924" w:type="dxa"/>
          </w:tcPr>
          <w:p w14:paraId="0D0673C7" w14:textId="77777777" w:rsidR="00130F06" w:rsidRPr="00A60C83" w:rsidRDefault="00130F06" w:rsidP="003B2506">
            <w:pPr>
              <w:jc w:val="center"/>
              <w:rPr>
                <w:b/>
              </w:rPr>
            </w:pPr>
            <w:r w:rsidRPr="00A60C83">
              <w:rPr>
                <w:b/>
              </w:rPr>
              <w:t>1</w:t>
            </w:r>
          </w:p>
        </w:tc>
      </w:tr>
      <w:tr w:rsidR="00130F06" w14:paraId="2E31DDB9" w14:textId="77777777" w:rsidTr="003B2506">
        <w:tc>
          <w:tcPr>
            <w:tcW w:w="1296" w:type="dxa"/>
          </w:tcPr>
          <w:p w14:paraId="13ADEF1A" w14:textId="77777777" w:rsidR="00130F06" w:rsidRPr="00A60C83" w:rsidRDefault="00130F06" w:rsidP="003B2506">
            <w:pPr>
              <w:rPr>
                <w:b/>
              </w:rPr>
            </w:pPr>
            <w:r w:rsidRPr="00A60C83">
              <w:rPr>
                <w:b/>
              </w:rPr>
              <w:t>Indoor</w:t>
            </w:r>
          </w:p>
        </w:tc>
        <w:tc>
          <w:tcPr>
            <w:tcW w:w="1421" w:type="dxa"/>
          </w:tcPr>
          <w:p w14:paraId="12BA810E" w14:textId="70729233" w:rsidR="00130F06" w:rsidRDefault="00130F06" w:rsidP="003B2506">
            <w:pPr>
              <w:jc w:val="center"/>
            </w:pPr>
            <w:r>
              <w:t>90%</w:t>
            </w:r>
          </w:p>
        </w:tc>
        <w:tc>
          <w:tcPr>
            <w:tcW w:w="875" w:type="dxa"/>
          </w:tcPr>
          <w:p w14:paraId="17F5A9F0" w14:textId="71858DAF" w:rsidR="00130F06" w:rsidRDefault="00130F06" w:rsidP="003B2506">
            <w:pPr>
              <w:jc w:val="center"/>
            </w:pPr>
            <w:r>
              <w:t>2%</w:t>
            </w:r>
          </w:p>
        </w:tc>
        <w:tc>
          <w:tcPr>
            <w:tcW w:w="924" w:type="dxa"/>
          </w:tcPr>
          <w:p w14:paraId="46852A56" w14:textId="535A3685" w:rsidR="00130F06" w:rsidRDefault="00130F06" w:rsidP="003B2506">
            <w:pPr>
              <w:jc w:val="center"/>
            </w:pPr>
            <w:r>
              <w:t>2%</w:t>
            </w:r>
          </w:p>
        </w:tc>
        <w:tc>
          <w:tcPr>
            <w:tcW w:w="924" w:type="dxa"/>
          </w:tcPr>
          <w:p w14:paraId="7DB61063" w14:textId="0E32606B" w:rsidR="00130F06" w:rsidRDefault="00130F06" w:rsidP="003B2506">
            <w:pPr>
              <w:jc w:val="center"/>
            </w:pPr>
            <w:r>
              <w:t>2%</w:t>
            </w:r>
          </w:p>
        </w:tc>
        <w:tc>
          <w:tcPr>
            <w:tcW w:w="924" w:type="dxa"/>
          </w:tcPr>
          <w:p w14:paraId="4C9F9C6D" w14:textId="79170F59" w:rsidR="00130F06" w:rsidRDefault="00130F06" w:rsidP="003B2506">
            <w:pPr>
              <w:jc w:val="center"/>
            </w:pPr>
            <w:r>
              <w:t>2%</w:t>
            </w:r>
          </w:p>
        </w:tc>
        <w:tc>
          <w:tcPr>
            <w:tcW w:w="924" w:type="dxa"/>
          </w:tcPr>
          <w:p w14:paraId="2240E22F" w14:textId="4BA2031B" w:rsidR="00130F06" w:rsidRDefault="00130F06" w:rsidP="003B2506">
            <w:pPr>
              <w:jc w:val="center"/>
            </w:pPr>
            <w:r>
              <w:t>2%</w:t>
            </w:r>
          </w:p>
        </w:tc>
      </w:tr>
      <w:tr w:rsidR="00130F06" w14:paraId="7DCAB484" w14:textId="77777777" w:rsidTr="003B2506">
        <w:tc>
          <w:tcPr>
            <w:tcW w:w="1296" w:type="dxa"/>
          </w:tcPr>
          <w:p w14:paraId="4A13C1F9" w14:textId="77777777" w:rsidR="00130F06" w:rsidRPr="00A60C83" w:rsidRDefault="00130F06" w:rsidP="003B2506">
            <w:pPr>
              <w:rPr>
                <w:b/>
              </w:rPr>
            </w:pPr>
            <w:r w:rsidRPr="00A60C83">
              <w:rPr>
                <w:b/>
              </w:rPr>
              <w:t>Outdoor</w:t>
            </w:r>
          </w:p>
        </w:tc>
        <w:tc>
          <w:tcPr>
            <w:tcW w:w="1421" w:type="dxa"/>
          </w:tcPr>
          <w:p w14:paraId="73053709" w14:textId="5DEDD941" w:rsidR="00130F06" w:rsidRDefault="00130F06" w:rsidP="003B2506">
            <w:pPr>
              <w:jc w:val="center"/>
            </w:pPr>
            <w:r>
              <w:t>90%</w:t>
            </w:r>
          </w:p>
        </w:tc>
        <w:tc>
          <w:tcPr>
            <w:tcW w:w="875" w:type="dxa"/>
          </w:tcPr>
          <w:p w14:paraId="2A1D3C59" w14:textId="73AE2B9F" w:rsidR="00130F06" w:rsidRDefault="00130F06" w:rsidP="003B2506">
            <w:pPr>
              <w:jc w:val="center"/>
            </w:pPr>
            <w:r>
              <w:t>2%</w:t>
            </w:r>
          </w:p>
        </w:tc>
        <w:tc>
          <w:tcPr>
            <w:tcW w:w="924" w:type="dxa"/>
          </w:tcPr>
          <w:p w14:paraId="3EA0E159" w14:textId="1776D0DC" w:rsidR="00130F06" w:rsidRDefault="00130F06" w:rsidP="003B2506">
            <w:pPr>
              <w:jc w:val="center"/>
            </w:pPr>
            <w:r>
              <w:t>2%</w:t>
            </w:r>
          </w:p>
        </w:tc>
        <w:tc>
          <w:tcPr>
            <w:tcW w:w="924" w:type="dxa"/>
          </w:tcPr>
          <w:p w14:paraId="3CF1E3F5" w14:textId="729204D9" w:rsidR="00130F06" w:rsidRDefault="00130F06" w:rsidP="003B2506">
            <w:pPr>
              <w:jc w:val="center"/>
            </w:pPr>
            <w:r>
              <w:t>2%</w:t>
            </w:r>
          </w:p>
        </w:tc>
        <w:tc>
          <w:tcPr>
            <w:tcW w:w="924" w:type="dxa"/>
          </w:tcPr>
          <w:p w14:paraId="26C2F291" w14:textId="2FA31F42" w:rsidR="00130F06" w:rsidRDefault="00130F06" w:rsidP="003B2506">
            <w:pPr>
              <w:jc w:val="center"/>
            </w:pPr>
            <w:r>
              <w:t>2%</w:t>
            </w:r>
          </w:p>
        </w:tc>
        <w:tc>
          <w:tcPr>
            <w:tcW w:w="924" w:type="dxa"/>
          </w:tcPr>
          <w:p w14:paraId="1FE05FDF" w14:textId="14598757" w:rsidR="00130F06" w:rsidRDefault="00130F06" w:rsidP="003B2506">
            <w:pPr>
              <w:jc w:val="center"/>
            </w:pPr>
            <w:r>
              <w:t>2%</w:t>
            </w:r>
          </w:p>
        </w:tc>
      </w:tr>
    </w:tbl>
    <w:p w14:paraId="647C293B" w14:textId="77777777" w:rsidR="00130F06" w:rsidRDefault="00130F06" w:rsidP="00130F06"/>
    <w:p w14:paraId="0A46B140" w14:textId="3CE5BF28" w:rsidR="00130F06" w:rsidRDefault="00130F06" w:rsidP="00130F06">
      <w:r>
        <w:t>In the frequency bands where the regulations don’t allow 1000 mW transmissions, it is assumed these will take place at 250 mW instead.</w:t>
      </w:r>
    </w:p>
    <w:p w14:paraId="54E33693" w14:textId="6DBA840F" w:rsidR="00130F06" w:rsidRDefault="00130F06" w:rsidP="00130F06">
      <w:r>
        <w:t>All other RLAN deployment assumptions, in particular with regards to the bandwidth distribution and number of high and low activity devices per person are not changed.</w:t>
      </w:r>
    </w:p>
    <w:p w14:paraId="27691861" w14:textId="483C7E84" w:rsidR="00130F06" w:rsidRDefault="00130F06" w:rsidP="00130F06">
      <w:pPr>
        <w:pStyle w:val="Heading3"/>
      </w:pPr>
      <w:r>
        <w:t>Increased duty cycle</w:t>
      </w:r>
    </w:p>
    <w:p w14:paraId="7F8BEB39" w14:textId="220F8156" w:rsidR="00455185" w:rsidRDefault="00130F06" w:rsidP="00455185">
      <w:r>
        <w:t xml:space="preserve">The proposed regulations don’t contain any restrictions on the duty cycle of the RLAN access points. To evaluate the influence of duty cycle on interference to existing users, an alternative deployment scenario in which </w:t>
      </w:r>
      <w:r w:rsidR="00455185">
        <w:t>high activity devices are assumed to have 5% duty cycle, while low activity devices have a 1% duty cycle</w:t>
      </w:r>
      <w:r>
        <w:t xml:space="preserve"> is also considered</w:t>
      </w:r>
      <w:r w:rsidR="00455185">
        <w:t>.</w:t>
      </w:r>
    </w:p>
    <w:p w14:paraId="47E17FDB" w14:textId="1F59B8BA" w:rsidR="00604945" w:rsidRDefault="00604945" w:rsidP="00604945">
      <w:pPr>
        <w:pStyle w:val="Heading3"/>
      </w:pPr>
      <w:r>
        <w:lastRenderedPageBreak/>
        <w:t>Combining no TPC and increased duty cycle</w:t>
      </w:r>
    </w:p>
    <w:p w14:paraId="06222CD7" w14:textId="19A68122" w:rsidR="00FA7B52" w:rsidRDefault="00604945" w:rsidP="00455185">
      <w:r>
        <w:t>While the previous two alternative deployment scenarios allow evaluation of the relative merits of duty cycle restrictions and transmit power control, neither are currently included in the regulations and a combination of both therefore represents the most realistic deployment assumption.</w:t>
      </w:r>
    </w:p>
    <w:p w14:paraId="681EE2B5" w14:textId="77777777" w:rsidR="00FA7B52" w:rsidRDefault="00AA36E1" w:rsidP="00AA36E1">
      <w:pPr>
        <w:pStyle w:val="Heading1"/>
      </w:pPr>
      <w:r>
        <w:t>Sharing studies</w:t>
      </w:r>
    </w:p>
    <w:p w14:paraId="03EC3936" w14:textId="35E8AA40" w:rsidR="00AA36E1" w:rsidRDefault="00AA36E1" w:rsidP="00AA36E1">
      <w:pPr>
        <w:pStyle w:val="Heading2"/>
      </w:pPr>
      <w:r>
        <w:t>Single interferer</w:t>
      </w:r>
    </w:p>
    <w:p w14:paraId="39D82F91" w14:textId="4FBD687C" w:rsidR="00743455" w:rsidRDefault="00D6071E" w:rsidP="00743455">
      <w:r>
        <w:t xml:space="preserve">In this section, the effect of the proposed RLAN transmissions on an UWB receiver is evaluated using a minimum coupling loss study. More detailed Monte Carlo simulations are performed in the next sections but in order to </w:t>
      </w:r>
      <w:r w:rsidR="003B2445">
        <w:t>perform those an initial appreciation of the interference potential of the RLAN systems is helpful.</w:t>
      </w:r>
    </w:p>
    <w:p w14:paraId="305E4F3D" w14:textId="15D6665A" w:rsidR="003B2445" w:rsidRDefault="003B2445" w:rsidP="00743455">
      <w:r>
        <w:t>The UWB victim is assumed to have a 500 MHz bandwidth, centred on 6.5 GHz. The RLAN system transmits in-band, with an EIRP of either 250 or 1000 mW. The propagation between the two systems is assumed to be free space.</w:t>
      </w:r>
    </w:p>
    <w:p w14:paraId="539C75DE" w14:textId="0F950561" w:rsidR="003B2445" w:rsidRPr="00367DEF" w:rsidRDefault="003B2445" w:rsidP="003B2445">
      <w:r>
        <w:t>The I/N ratios shown in the figure below highlight that the RLAN system interferes over huge distances. An I/N ratio of 0 dB is only reach at a separation distance of 1.3 km for 250 mW and 2.6 km for 1000 mW transmissions. Close up, the I/N ratios at 1 metre separation reach 62 and 68 dB respectively.</w:t>
      </w:r>
    </w:p>
    <w:p w14:paraId="0922CC56" w14:textId="72E5D398" w:rsidR="004F274D" w:rsidRPr="00AA36E1" w:rsidRDefault="003B2445" w:rsidP="00AA36E1">
      <w:r w:rsidRPr="003B2445">
        <w:rPr>
          <w:noProof/>
          <w:lang w:val="en-US"/>
        </w:rPr>
        <w:drawing>
          <wp:inline distT="0" distB="0" distL="0" distR="0" wp14:anchorId="4DA353E2" wp14:editId="1D7D81B6">
            <wp:extent cx="5327650" cy="39916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7650" cy="3991610"/>
                    </a:xfrm>
                    <a:prstGeom prst="rect">
                      <a:avLst/>
                    </a:prstGeom>
                    <a:noFill/>
                    <a:ln>
                      <a:noFill/>
                    </a:ln>
                  </pic:spPr>
                </pic:pic>
              </a:graphicData>
            </a:graphic>
          </wp:inline>
        </w:drawing>
      </w:r>
    </w:p>
    <w:p w14:paraId="5331D1AD" w14:textId="77777777" w:rsidR="002874CE" w:rsidRPr="00E43454" w:rsidRDefault="002874CE" w:rsidP="002874CE">
      <w:pPr>
        <w:pStyle w:val="Heading2"/>
      </w:pPr>
      <w:r>
        <w:lastRenderedPageBreak/>
        <w:t>Apartment block</w:t>
      </w:r>
    </w:p>
    <w:p w14:paraId="3945C479" w14:textId="1DF32D80" w:rsidR="002874CE" w:rsidRDefault="002874CE" w:rsidP="002874CE">
      <w:r>
        <w:t>In this section, the aggregate interference of RLAN transmitters on UWB systems is evaluated using Monte Carlo simulations for an apartment block scenario.</w:t>
      </w:r>
    </w:p>
    <w:p w14:paraId="15254CBD" w14:textId="55A12AB1" w:rsidR="002874CE" w:rsidRDefault="002874CE" w:rsidP="002874CE">
      <w:r>
        <w:t>The individual apartments are assumed to occupy an area of 10 by 8 metres. On average, there are 3 occupants per apartment. The apartment block consists of 10 floors, each 3.5 metres high, with two times ten apartments back to back.</w:t>
      </w:r>
    </w:p>
    <w:p w14:paraId="1AD131E5" w14:textId="6BB92F3C" w:rsidR="002874CE" w:rsidRDefault="002874CE" w:rsidP="002874CE">
      <w:r>
        <w:t xml:space="preserve">For every iteration, the UWB receiver is randomly located within the building. Similarly, RLAN transmitters are randomly spread throughout the building according to the </w:t>
      </w:r>
      <w:r w:rsidR="00731399">
        <w:t xml:space="preserve">various </w:t>
      </w:r>
      <w:r>
        <w:t>deployment assumptions discussed above. The total RLAN interfering power at the UWB receiver is calculated using the indoor path loss model from IEEE 802.11ax channel model B (IEEE 802.11-14/0882r4), as was agreed with the RLAN community within CEPT</w:t>
      </w:r>
      <w:r w:rsidR="00731399">
        <w:t xml:space="preserve"> ECC</w:t>
      </w:r>
      <w:r>
        <w:t xml:space="preserve"> SE45. Following the model, a wall penetration loss of 5 dB is used. </w:t>
      </w:r>
      <w:r w:rsidR="00AB66FD">
        <w:t>Only RLAN transmitters that overlap with the UWB bandwidth are considered. This conservative assumption implies physically impossible brick-wall filtering in the UWB receiver and infinite out-of-band suppression in the RLAN transmitters.</w:t>
      </w:r>
    </w:p>
    <w:p w14:paraId="11668C15" w14:textId="0371088D" w:rsidR="002874CE" w:rsidRDefault="002874CE" w:rsidP="002874CE">
      <w:r>
        <w:t>Every curve in the figure below is the result of half a million iterations of the Monte Carlo simulation.</w:t>
      </w:r>
    </w:p>
    <w:p w14:paraId="67CC342C" w14:textId="77777777" w:rsidR="002874CE" w:rsidRDefault="002874CE" w:rsidP="002874CE"/>
    <w:p w14:paraId="448F1BA4" w14:textId="0D4FC6F1" w:rsidR="002874CE" w:rsidRDefault="00731399" w:rsidP="002874CE">
      <w:r w:rsidRPr="00731399">
        <w:rPr>
          <w:noProof/>
          <w:lang w:val="en-US"/>
        </w:rPr>
        <w:drawing>
          <wp:inline distT="0" distB="0" distL="0" distR="0" wp14:anchorId="795803E1" wp14:editId="73927188">
            <wp:extent cx="5325745" cy="3989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5745" cy="3989070"/>
                    </a:xfrm>
                    <a:prstGeom prst="rect">
                      <a:avLst/>
                    </a:prstGeom>
                    <a:noFill/>
                    <a:ln>
                      <a:noFill/>
                    </a:ln>
                  </pic:spPr>
                </pic:pic>
              </a:graphicData>
            </a:graphic>
          </wp:inline>
        </w:drawing>
      </w:r>
    </w:p>
    <w:p w14:paraId="488FD488" w14:textId="5E4E8707" w:rsidR="004A7CA3" w:rsidRPr="006C11A3" w:rsidRDefault="004A7CA3" w:rsidP="002874CE"/>
    <w:p w14:paraId="35083C34" w14:textId="34B33CB9" w:rsidR="004A7CA3" w:rsidRDefault="004A7CA3" w:rsidP="004A7CA3">
      <w:pPr>
        <w:pStyle w:val="Caption"/>
        <w:keepNext/>
      </w:pPr>
      <w:r>
        <w:t xml:space="preserve">Table </w:t>
      </w:r>
      <w:r w:rsidR="00B365DC">
        <w:rPr>
          <w:noProof/>
        </w:rPr>
        <w:fldChar w:fldCharType="begin"/>
      </w:r>
      <w:r w:rsidR="00B365DC">
        <w:rPr>
          <w:noProof/>
        </w:rPr>
        <w:instrText xml:space="preserve"> SEQ Table \* ARABIC </w:instrText>
      </w:r>
      <w:r w:rsidR="00B365DC">
        <w:rPr>
          <w:noProof/>
        </w:rPr>
        <w:fldChar w:fldCharType="separate"/>
      </w:r>
      <w:r w:rsidR="00DB6FCA">
        <w:rPr>
          <w:noProof/>
        </w:rPr>
        <w:t>1</w:t>
      </w:r>
      <w:r w:rsidR="00B365DC">
        <w:rPr>
          <w:noProof/>
        </w:rPr>
        <w:fldChar w:fldCharType="end"/>
      </w:r>
      <w:r>
        <w:t xml:space="preserve">: </w:t>
      </w:r>
      <w:r w:rsidRPr="004A7CA3">
        <w:t>Numerical results 500 MHz UWB bandwidth</w:t>
      </w:r>
      <w:r w:rsidR="00DB6FCA">
        <w:t xml:space="preserve"> apartment block scenario</w:t>
      </w:r>
    </w:p>
    <w:tbl>
      <w:tblPr>
        <w:tblStyle w:val="TableGrid"/>
        <w:tblW w:w="0" w:type="auto"/>
        <w:tblLook w:val="04A0" w:firstRow="1" w:lastRow="0" w:firstColumn="1" w:lastColumn="0" w:noHBand="0" w:noVBand="1"/>
      </w:tblPr>
      <w:tblGrid>
        <w:gridCol w:w="1848"/>
        <w:gridCol w:w="1848"/>
        <w:gridCol w:w="1848"/>
        <w:gridCol w:w="1849"/>
        <w:gridCol w:w="1849"/>
      </w:tblGrid>
      <w:tr w:rsidR="00474379" w:rsidRPr="004A7CA3" w14:paraId="6DA6A91E" w14:textId="77777777" w:rsidTr="003B2506">
        <w:tc>
          <w:tcPr>
            <w:tcW w:w="1848" w:type="dxa"/>
          </w:tcPr>
          <w:p w14:paraId="389F1400" w14:textId="77777777" w:rsidR="00474379" w:rsidRPr="004A7CA3" w:rsidRDefault="00474379" w:rsidP="003B2506">
            <w:pPr>
              <w:rPr>
                <w:b/>
              </w:rPr>
            </w:pPr>
            <w:r w:rsidRPr="004A7CA3">
              <w:rPr>
                <w:b/>
              </w:rPr>
              <w:t>I/N (dB)</w:t>
            </w:r>
          </w:p>
        </w:tc>
        <w:tc>
          <w:tcPr>
            <w:tcW w:w="1848" w:type="dxa"/>
          </w:tcPr>
          <w:p w14:paraId="49CF094F" w14:textId="77777777" w:rsidR="00474379" w:rsidRPr="004A7CA3" w:rsidRDefault="00474379" w:rsidP="003B2506">
            <w:pPr>
              <w:rPr>
                <w:b/>
              </w:rPr>
            </w:pPr>
            <w:r w:rsidRPr="004A7CA3">
              <w:rPr>
                <w:b/>
              </w:rPr>
              <w:t>RFK-like</w:t>
            </w:r>
            <w:r>
              <w:rPr>
                <w:b/>
              </w:rPr>
              <w:t xml:space="preserve"> scenario</w:t>
            </w:r>
          </w:p>
        </w:tc>
        <w:tc>
          <w:tcPr>
            <w:tcW w:w="1848" w:type="dxa"/>
          </w:tcPr>
          <w:p w14:paraId="26A4F637" w14:textId="77777777" w:rsidR="00474379" w:rsidRPr="004A7CA3" w:rsidRDefault="00474379" w:rsidP="003B2506">
            <w:pPr>
              <w:rPr>
                <w:b/>
              </w:rPr>
            </w:pPr>
            <w:r w:rsidRPr="004A7CA3">
              <w:rPr>
                <w:b/>
              </w:rPr>
              <w:t>Increased Duty Cycle</w:t>
            </w:r>
          </w:p>
        </w:tc>
        <w:tc>
          <w:tcPr>
            <w:tcW w:w="1849" w:type="dxa"/>
          </w:tcPr>
          <w:p w14:paraId="21865FA5" w14:textId="77777777" w:rsidR="00474379" w:rsidRPr="004A7CA3" w:rsidRDefault="00474379" w:rsidP="003B2506">
            <w:pPr>
              <w:rPr>
                <w:b/>
              </w:rPr>
            </w:pPr>
            <w:r w:rsidRPr="004A7CA3">
              <w:rPr>
                <w:b/>
              </w:rPr>
              <w:t>No Transmit Power Control</w:t>
            </w:r>
          </w:p>
        </w:tc>
        <w:tc>
          <w:tcPr>
            <w:tcW w:w="1849" w:type="dxa"/>
          </w:tcPr>
          <w:p w14:paraId="3B0FF13E" w14:textId="77777777" w:rsidR="00474379" w:rsidRPr="004A7CA3" w:rsidRDefault="00474379" w:rsidP="003B2506">
            <w:pPr>
              <w:rPr>
                <w:b/>
              </w:rPr>
            </w:pPr>
            <w:r w:rsidRPr="004A7CA3">
              <w:rPr>
                <w:b/>
              </w:rPr>
              <w:t>Combination</w:t>
            </w:r>
            <w:r>
              <w:rPr>
                <w:b/>
              </w:rPr>
              <w:t xml:space="preserve"> scenario</w:t>
            </w:r>
          </w:p>
        </w:tc>
      </w:tr>
      <w:tr w:rsidR="004A7CA3" w:rsidRPr="004A7CA3" w14:paraId="0A1DE896" w14:textId="77777777" w:rsidTr="004A7CA3">
        <w:tc>
          <w:tcPr>
            <w:tcW w:w="1848" w:type="dxa"/>
          </w:tcPr>
          <w:p w14:paraId="216AD452" w14:textId="77777777" w:rsidR="004A7CA3" w:rsidRPr="004A7CA3" w:rsidRDefault="004A7CA3" w:rsidP="0055009D">
            <w:r w:rsidRPr="004A7CA3">
              <w:t>-10</w:t>
            </w:r>
          </w:p>
        </w:tc>
        <w:tc>
          <w:tcPr>
            <w:tcW w:w="1848" w:type="dxa"/>
          </w:tcPr>
          <w:p w14:paraId="1A60046A" w14:textId="77777777" w:rsidR="004A7CA3" w:rsidRPr="004A7CA3" w:rsidRDefault="004A7CA3" w:rsidP="0055009D">
            <w:r w:rsidRPr="004A7CA3">
              <w:t>0.626%</w:t>
            </w:r>
          </w:p>
        </w:tc>
        <w:tc>
          <w:tcPr>
            <w:tcW w:w="1848" w:type="dxa"/>
          </w:tcPr>
          <w:p w14:paraId="709619F1" w14:textId="77777777" w:rsidR="004A7CA3" w:rsidRPr="004A7CA3" w:rsidRDefault="004A7CA3" w:rsidP="0055009D">
            <w:r w:rsidRPr="004A7CA3">
              <w:t>15.667%</w:t>
            </w:r>
          </w:p>
        </w:tc>
        <w:tc>
          <w:tcPr>
            <w:tcW w:w="1849" w:type="dxa"/>
          </w:tcPr>
          <w:p w14:paraId="496E1EAC" w14:textId="77777777" w:rsidR="004A7CA3" w:rsidRPr="004A7CA3" w:rsidRDefault="004A7CA3" w:rsidP="0055009D">
            <w:r w:rsidRPr="004A7CA3">
              <w:t>1.044%</w:t>
            </w:r>
          </w:p>
        </w:tc>
        <w:tc>
          <w:tcPr>
            <w:tcW w:w="1849" w:type="dxa"/>
          </w:tcPr>
          <w:p w14:paraId="209B8A86" w14:textId="77777777" w:rsidR="004A7CA3" w:rsidRPr="004A7CA3" w:rsidRDefault="004A7CA3" w:rsidP="0055009D">
            <w:r w:rsidRPr="004A7CA3">
              <w:t>24.862%</w:t>
            </w:r>
          </w:p>
        </w:tc>
      </w:tr>
      <w:tr w:rsidR="004A7CA3" w:rsidRPr="004A7CA3" w14:paraId="6513AE85" w14:textId="77777777" w:rsidTr="004A7CA3">
        <w:tc>
          <w:tcPr>
            <w:tcW w:w="1848" w:type="dxa"/>
          </w:tcPr>
          <w:p w14:paraId="387074EB" w14:textId="77777777" w:rsidR="004A7CA3" w:rsidRPr="004A7CA3" w:rsidRDefault="004A7CA3" w:rsidP="0055009D">
            <w:r w:rsidRPr="004A7CA3">
              <w:t>0</w:t>
            </w:r>
          </w:p>
        </w:tc>
        <w:tc>
          <w:tcPr>
            <w:tcW w:w="1848" w:type="dxa"/>
          </w:tcPr>
          <w:p w14:paraId="4D423E93" w14:textId="77777777" w:rsidR="004A7CA3" w:rsidRPr="004A7CA3" w:rsidRDefault="004A7CA3" w:rsidP="0055009D">
            <w:r w:rsidRPr="004A7CA3">
              <w:t>0.416%</w:t>
            </w:r>
          </w:p>
        </w:tc>
        <w:tc>
          <w:tcPr>
            <w:tcW w:w="1848" w:type="dxa"/>
          </w:tcPr>
          <w:p w14:paraId="01677A21" w14:textId="77777777" w:rsidR="004A7CA3" w:rsidRPr="004A7CA3" w:rsidRDefault="004A7CA3" w:rsidP="0055009D">
            <w:r w:rsidRPr="004A7CA3">
              <w:t>10.537%</w:t>
            </w:r>
          </w:p>
        </w:tc>
        <w:tc>
          <w:tcPr>
            <w:tcW w:w="1849" w:type="dxa"/>
          </w:tcPr>
          <w:p w14:paraId="79C4E69A" w14:textId="77777777" w:rsidR="004A7CA3" w:rsidRPr="004A7CA3" w:rsidRDefault="004A7CA3" w:rsidP="0055009D">
            <w:r w:rsidRPr="004A7CA3">
              <w:t>0.710%</w:t>
            </w:r>
          </w:p>
        </w:tc>
        <w:tc>
          <w:tcPr>
            <w:tcW w:w="1849" w:type="dxa"/>
          </w:tcPr>
          <w:p w14:paraId="11CF9F01" w14:textId="77777777" w:rsidR="004A7CA3" w:rsidRPr="004A7CA3" w:rsidRDefault="004A7CA3" w:rsidP="0055009D">
            <w:r w:rsidRPr="004A7CA3">
              <w:t>17.662%</w:t>
            </w:r>
          </w:p>
        </w:tc>
      </w:tr>
      <w:tr w:rsidR="004A7CA3" w:rsidRPr="004A7CA3" w14:paraId="41002DB2" w14:textId="77777777" w:rsidTr="004A7CA3">
        <w:tc>
          <w:tcPr>
            <w:tcW w:w="1848" w:type="dxa"/>
          </w:tcPr>
          <w:p w14:paraId="3F1B1742" w14:textId="77777777" w:rsidR="004A7CA3" w:rsidRPr="004A7CA3" w:rsidRDefault="004A7CA3" w:rsidP="0055009D">
            <w:r w:rsidRPr="004A7CA3">
              <w:t>10</w:t>
            </w:r>
          </w:p>
        </w:tc>
        <w:tc>
          <w:tcPr>
            <w:tcW w:w="1848" w:type="dxa"/>
          </w:tcPr>
          <w:p w14:paraId="0D580AE2" w14:textId="77777777" w:rsidR="004A7CA3" w:rsidRPr="004A7CA3" w:rsidRDefault="004A7CA3" w:rsidP="0055009D">
            <w:r w:rsidRPr="004A7CA3">
              <w:t>0.267%</w:t>
            </w:r>
          </w:p>
        </w:tc>
        <w:tc>
          <w:tcPr>
            <w:tcW w:w="1848" w:type="dxa"/>
          </w:tcPr>
          <w:p w14:paraId="05A633A8" w14:textId="77777777" w:rsidR="004A7CA3" w:rsidRPr="004A7CA3" w:rsidRDefault="004A7CA3" w:rsidP="0055009D">
            <w:r w:rsidRPr="004A7CA3">
              <w:t>6.776%</w:t>
            </w:r>
          </w:p>
        </w:tc>
        <w:tc>
          <w:tcPr>
            <w:tcW w:w="1849" w:type="dxa"/>
          </w:tcPr>
          <w:p w14:paraId="5418664F" w14:textId="77777777" w:rsidR="004A7CA3" w:rsidRPr="004A7CA3" w:rsidRDefault="004A7CA3" w:rsidP="0055009D">
            <w:r w:rsidRPr="004A7CA3">
              <w:t>0.471%</w:t>
            </w:r>
          </w:p>
        </w:tc>
        <w:tc>
          <w:tcPr>
            <w:tcW w:w="1849" w:type="dxa"/>
          </w:tcPr>
          <w:p w14:paraId="4719B9F8" w14:textId="77777777" w:rsidR="004A7CA3" w:rsidRPr="004A7CA3" w:rsidRDefault="004A7CA3" w:rsidP="0055009D">
            <w:r w:rsidRPr="004A7CA3">
              <w:t>12.031%</w:t>
            </w:r>
          </w:p>
        </w:tc>
      </w:tr>
      <w:tr w:rsidR="004A7CA3" w:rsidRPr="004A7CA3" w14:paraId="1D20104A" w14:textId="77777777" w:rsidTr="004A7CA3">
        <w:tc>
          <w:tcPr>
            <w:tcW w:w="1848" w:type="dxa"/>
          </w:tcPr>
          <w:p w14:paraId="3EE5CDE5" w14:textId="77777777" w:rsidR="004A7CA3" w:rsidRPr="004A7CA3" w:rsidRDefault="004A7CA3" w:rsidP="0055009D">
            <w:r w:rsidRPr="004A7CA3">
              <w:t>20</w:t>
            </w:r>
          </w:p>
        </w:tc>
        <w:tc>
          <w:tcPr>
            <w:tcW w:w="1848" w:type="dxa"/>
          </w:tcPr>
          <w:p w14:paraId="1118A7EE" w14:textId="77777777" w:rsidR="004A7CA3" w:rsidRPr="004A7CA3" w:rsidRDefault="004A7CA3" w:rsidP="0055009D">
            <w:r w:rsidRPr="004A7CA3">
              <w:t>0.157%</w:t>
            </w:r>
          </w:p>
        </w:tc>
        <w:tc>
          <w:tcPr>
            <w:tcW w:w="1848" w:type="dxa"/>
          </w:tcPr>
          <w:p w14:paraId="79EF11DA" w14:textId="77777777" w:rsidR="004A7CA3" w:rsidRPr="004A7CA3" w:rsidRDefault="004A7CA3" w:rsidP="0055009D">
            <w:r w:rsidRPr="004A7CA3">
              <w:t>3.954%</w:t>
            </w:r>
          </w:p>
        </w:tc>
        <w:tc>
          <w:tcPr>
            <w:tcW w:w="1849" w:type="dxa"/>
          </w:tcPr>
          <w:p w14:paraId="638CC178" w14:textId="77777777" w:rsidR="004A7CA3" w:rsidRPr="004A7CA3" w:rsidRDefault="004A7CA3" w:rsidP="0055009D">
            <w:r w:rsidRPr="004A7CA3">
              <w:t>0.309%</w:t>
            </w:r>
          </w:p>
        </w:tc>
        <w:tc>
          <w:tcPr>
            <w:tcW w:w="1849" w:type="dxa"/>
          </w:tcPr>
          <w:p w14:paraId="29E6FA60" w14:textId="77777777" w:rsidR="004A7CA3" w:rsidRPr="004A7CA3" w:rsidRDefault="004A7CA3" w:rsidP="0055009D">
            <w:r w:rsidRPr="004A7CA3">
              <w:t>7.836%</w:t>
            </w:r>
          </w:p>
        </w:tc>
      </w:tr>
      <w:tr w:rsidR="004A7CA3" w:rsidRPr="004A7CA3" w14:paraId="1691D588" w14:textId="77777777" w:rsidTr="004A7CA3">
        <w:tc>
          <w:tcPr>
            <w:tcW w:w="1848" w:type="dxa"/>
          </w:tcPr>
          <w:p w14:paraId="721DB16F" w14:textId="77777777" w:rsidR="004A7CA3" w:rsidRPr="004A7CA3" w:rsidRDefault="004A7CA3" w:rsidP="0055009D">
            <w:r w:rsidRPr="004A7CA3">
              <w:t>30</w:t>
            </w:r>
          </w:p>
        </w:tc>
        <w:tc>
          <w:tcPr>
            <w:tcW w:w="1848" w:type="dxa"/>
          </w:tcPr>
          <w:p w14:paraId="782CE542" w14:textId="77777777" w:rsidR="004A7CA3" w:rsidRPr="004A7CA3" w:rsidRDefault="004A7CA3" w:rsidP="0055009D">
            <w:r w:rsidRPr="004A7CA3">
              <w:t>0.079%</w:t>
            </w:r>
          </w:p>
        </w:tc>
        <w:tc>
          <w:tcPr>
            <w:tcW w:w="1848" w:type="dxa"/>
          </w:tcPr>
          <w:p w14:paraId="6D641194" w14:textId="77777777" w:rsidR="004A7CA3" w:rsidRPr="004A7CA3" w:rsidRDefault="004A7CA3" w:rsidP="0055009D">
            <w:r w:rsidRPr="004A7CA3">
              <w:t>2.041%</w:t>
            </w:r>
          </w:p>
        </w:tc>
        <w:tc>
          <w:tcPr>
            <w:tcW w:w="1849" w:type="dxa"/>
          </w:tcPr>
          <w:p w14:paraId="33035DAB" w14:textId="77777777" w:rsidR="004A7CA3" w:rsidRPr="004A7CA3" w:rsidRDefault="004A7CA3" w:rsidP="0055009D">
            <w:r w:rsidRPr="004A7CA3">
              <w:t>0.183%</w:t>
            </w:r>
          </w:p>
        </w:tc>
        <w:tc>
          <w:tcPr>
            <w:tcW w:w="1849" w:type="dxa"/>
          </w:tcPr>
          <w:p w14:paraId="232D2930" w14:textId="77777777" w:rsidR="004A7CA3" w:rsidRPr="004A7CA3" w:rsidRDefault="004A7CA3" w:rsidP="0055009D">
            <w:r w:rsidRPr="004A7CA3">
              <w:t>4.814%</w:t>
            </w:r>
          </w:p>
        </w:tc>
      </w:tr>
      <w:tr w:rsidR="004A7CA3" w:rsidRPr="004A7CA3" w14:paraId="3840380A" w14:textId="77777777" w:rsidTr="004A7CA3">
        <w:tc>
          <w:tcPr>
            <w:tcW w:w="1848" w:type="dxa"/>
          </w:tcPr>
          <w:p w14:paraId="73B973A2" w14:textId="77777777" w:rsidR="004A7CA3" w:rsidRPr="004A7CA3" w:rsidRDefault="004A7CA3" w:rsidP="0055009D">
            <w:r w:rsidRPr="004A7CA3">
              <w:t>40</w:t>
            </w:r>
          </w:p>
        </w:tc>
        <w:tc>
          <w:tcPr>
            <w:tcW w:w="1848" w:type="dxa"/>
          </w:tcPr>
          <w:p w14:paraId="2C95F4A8" w14:textId="77777777" w:rsidR="004A7CA3" w:rsidRPr="004A7CA3" w:rsidRDefault="004A7CA3" w:rsidP="0055009D">
            <w:r w:rsidRPr="004A7CA3">
              <w:t>0.035%</w:t>
            </w:r>
          </w:p>
        </w:tc>
        <w:tc>
          <w:tcPr>
            <w:tcW w:w="1848" w:type="dxa"/>
          </w:tcPr>
          <w:p w14:paraId="0FD78C9A" w14:textId="77777777" w:rsidR="004A7CA3" w:rsidRPr="004A7CA3" w:rsidRDefault="004A7CA3" w:rsidP="0055009D">
            <w:r w:rsidRPr="004A7CA3">
              <w:t>0.889%</w:t>
            </w:r>
          </w:p>
        </w:tc>
        <w:tc>
          <w:tcPr>
            <w:tcW w:w="1849" w:type="dxa"/>
          </w:tcPr>
          <w:p w14:paraId="5B39B2EE" w14:textId="77777777" w:rsidR="004A7CA3" w:rsidRPr="004A7CA3" w:rsidRDefault="004A7CA3" w:rsidP="0055009D">
            <w:r w:rsidRPr="004A7CA3">
              <w:t>0.098%</w:t>
            </w:r>
          </w:p>
        </w:tc>
        <w:tc>
          <w:tcPr>
            <w:tcW w:w="1849" w:type="dxa"/>
          </w:tcPr>
          <w:p w14:paraId="4F923D23" w14:textId="77777777" w:rsidR="004A7CA3" w:rsidRPr="004A7CA3" w:rsidRDefault="004A7CA3" w:rsidP="0055009D">
            <w:r w:rsidRPr="004A7CA3">
              <w:t>2.531%</w:t>
            </w:r>
          </w:p>
        </w:tc>
      </w:tr>
    </w:tbl>
    <w:p w14:paraId="74A0B128" w14:textId="77777777" w:rsidR="004A7CA3" w:rsidRDefault="004A7CA3" w:rsidP="004A7CA3"/>
    <w:p w14:paraId="0A73CFFC" w14:textId="000C12B1" w:rsidR="004A7CA3" w:rsidRDefault="004A7CA3" w:rsidP="004A7CA3">
      <w:pPr>
        <w:pStyle w:val="Caption"/>
        <w:keepNext/>
      </w:pPr>
      <w:r>
        <w:t xml:space="preserve">Table </w:t>
      </w:r>
      <w:r w:rsidR="00B365DC">
        <w:rPr>
          <w:noProof/>
        </w:rPr>
        <w:fldChar w:fldCharType="begin"/>
      </w:r>
      <w:r w:rsidR="00B365DC">
        <w:rPr>
          <w:noProof/>
        </w:rPr>
        <w:instrText xml:space="preserve"> SEQ Table \* ARABIC </w:instrText>
      </w:r>
      <w:r w:rsidR="00B365DC">
        <w:rPr>
          <w:noProof/>
        </w:rPr>
        <w:fldChar w:fldCharType="separate"/>
      </w:r>
      <w:r w:rsidR="00DB6FCA">
        <w:rPr>
          <w:noProof/>
        </w:rPr>
        <w:t>2</w:t>
      </w:r>
      <w:r w:rsidR="00B365DC">
        <w:rPr>
          <w:noProof/>
        </w:rPr>
        <w:fldChar w:fldCharType="end"/>
      </w:r>
      <w:r>
        <w:t>: Numerical results 1 GHz UWB bandwidth</w:t>
      </w:r>
      <w:r w:rsidR="00DB6FCA">
        <w:t xml:space="preserve"> apartment block scenario</w:t>
      </w:r>
    </w:p>
    <w:tbl>
      <w:tblPr>
        <w:tblStyle w:val="TableGrid"/>
        <w:tblW w:w="0" w:type="auto"/>
        <w:tblLook w:val="04A0" w:firstRow="1" w:lastRow="0" w:firstColumn="1" w:lastColumn="0" w:noHBand="0" w:noVBand="1"/>
      </w:tblPr>
      <w:tblGrid>
        <w:gridCol w:w="1848"/>
        <w:gridCol w:w="1848"/>
        <w:gridCol w:w="1848"/>
        <w:gridCol w:w="1849"/>
        <w:gridCol w:w="1849"/>
      </w:tblGrid>
      <w:tr w:rsidR="00474379" w:rsidRPr="004A7CA3" w14:paraId="4827C436" w14:textId="77777777" w:rsidTr="003B2506">
        <w:tc>
          <w:tcPr>
            <w:tcW w:w="1848" w:type="dxa"/>
          </w:tcPr>
          <w:p w14:paraId="206D1057" w14:textId="77777777" w:rsidR="00474379" w:rsidRPr="004A7CA3" w:rsidRDefault="00474379" w:rsidP="003B2506">
            <w:pPr>
              <w:rPr>
                <w:b/>
              </w:rPr>
            </w:pPr>
            <w:r w:rsidRPr="004A7CA3">
              <w:rPr>
                <w:b/>
              </w:rPr>
              <w:t>I/N (dB)</w:t>
            </w:r>
          </w:p>
        </w:tc>
        <w:tc>
          <w:tcPr>
            <w:tcW w:w="1848" w:type="dxa"/>
          </w:tcPr>
          <w:p w14:paraId="1318A177" w14:textId="77777777" w:rsidR="00474379" w:rsidRPr="004A7CA3" w:rsidRDefault="00474379" w:rsidP="003B2506">
            <w:pPr>
              <w:rPr>
                <w:b/>
              </w:rPr>
            </w:pPr>
            <w:r w:rsidRPr="004A7CA3">
              <w:rPr>
                <w:b/>
              </w:rPr>
              <w:t>RFK-like</w:t>
            </w:r>
            <w:r>
              <w:rPr>
                <w:b/>
              </w:rPr>
              <w:t xml:space="preserve"> scenario</w:t>
            </w:r>
          </w:p>
        </w:tc>
        <w:tc>
          <w:tcPr>
            <w:tcW w:w="1848" w:type="dxa"/>
          </w:tcPr>
          <w:p w14:paraId="32F70D20" w14:textId="77777777" w:rsidR="00474379" w:rsidRPr="004A7CA3" w:rsidRDefault="00474379" w:rsidP="003B2506">
            <w:pPr>
              <w:rPr>
                <w:b/>
              </w:rPr>
            </w:pPr>
            <w:r w:rsidRPr="004A7CA3">
              <w:rPr>
                <w:b/>
              </w:rPr>
              <w:t>Increased Duty Cycle</w:t>
            </w:r>
          </w:p>
        </w:tc>
        <w:tc>
          <w:tcPr>
            <w:tcW w:w="1849" w:type="dxa"/>
          </w:tcPr>
          <w:p w14:paraId="4ABF559F" w14:textId="77777777" w:rsidR="00474379" w:rsidRPr="004A7CA3" w:rsidRDefault="00474379" w:rsidP="003B2506">
            <w:pPr>
              <w:rPr>
                <w:b/>
              </w:rPr>
            </w:pPr>
            <w:r w:rsidRPr="004A7CA3">
              <w:rPr>
                <w:b/>
              </w:rPr>
              <w:t>No Transmit Power Control</w:t>
            </w:r>
          </w:p>
        </w:tc>
        <w:tc>
          <w:tcPr>
            <w:tcW w:w="1849" w:type="dxa"/>
          </w:tcPr>
          <w:p w14:paraId="29449C2A" w14:textId="77777777" w:rsidR="00474379" w:rsidRPr="004A7CA3" w:rsidRDefault="00474379" w:rsidP="003B2506">
            <w:pPr>
              <w:rPr>
                <w:b/>
              </w:rPr>
            </w:pPr>
            <w:r w:rsidRPr="004A7CA3">
              <w:rPr>
                <w:b/>
              </w:rPr>
              <w:t>Combination</w:t>
            </w:r>
            <w:r>
              <w:rPr>
                <w:b/>
              </w:rPr>
              <w:t xml:space="preserve"> scenario</w:t>
            </w:r>
          </w:p>
        </w:tc>
      </w:tr>
      <w:tr w:rsidR="004A7CA3" w:rsidRPr="004A7CA3" w14:paraId="0BBACC65" w14:textId="77777777" w:rsidTr="004A7CA3">
        <w:tc>
          <w:tcPr>
            <w:tcW w:w="1848" w:type="dxa"/>
          </w:tcPr>
          <w:p w14:paraId="13E2995E" w14:textId="77777777" w:rsidR="004A7CA3" w:rsidRPr="004A7CA3" w:rsidRDefault="004A7CA3" w:rsidP="00F01FB3">
            <w:r w:rsidRPr="004A7CA3">
              <w:t>-10</w:t>
            </w:r>
          </w:p>
        </w:tc>
        <w:tc>
          <w:tcPr>
            <w:tcW w:w="1848" w:type="dxa"/>
          </w:tcPr>
          <w:p w14:paraId="7722722D" w14:textId="77777777" w:rsidR="004A7CA3" w:rsidRPr="004A7CA3" w:rsidRDefault="004A7CA3" w:rsidP="00F01FB3">
            <w:r w:rsidRPr="004A7CA3">
              <w:t>1.009%</w:t>
            </w:r>
          </w:p>
        </w:tc>
        <w:tc>
          <w:tcPr>
            <w:tcW w:w="1848" w:type="dxa"/>
          </w:tcPr>
          <w:p w14:paraId="7F83300A" w14:textId="77777777" w:rsidR="004A7CA3" w:rsidRPr="004A7CA3" w:rsidRDefault="004A7CA3" w:rsidP="00F01FB3">
            <w:r w:rsidRPr="004A7CA3">
              <w:t>23.954%</w:t>
            </w:r>
          </w:p>
        </w:tc>
        <w:tc>
          <w:tcPr>
            <w:tcW w:w="1849" w:type="dxa"/>
          </w:tcPr>
          <w:p w14:paraId="66D6EE09" w14:textId="77777777" w:rsidR="004A7CA3" w:rsidRPr="004A7CA3" w:rsidRDefault="004A7CA3" w:rsidP="00F01FB3">
            <w:r w:rsidRPr="004A7CA3">
              <w:t>1.679%</w:t>
            </w:r>
          </w:p>
        </w:tc>
        <w:tc>
          <w:tcPr>
            <w:tcW w:w="1849" w:type="dxa"/>
          </w:tcPr>
          <w:p w14:paraId="5E76B997" w14:textId="77777777" w:rsidR="004A7CA3" w:rsidRPr="004A7CA3" w:rsidRDefault="004A7CA3" w:rsidP="00F01FB3">
            <w:r w:rsidRPr="004A7CA3">
              <w:t>36.859%</w:t>
            </w:r>
          </w:p>
        </w:tc>
      </w:tr>
      <w:tr w:rsidR="004A7CA3" w:rsidRPr="004A7CA3" w14:paraId="43545740" w14:textId="77777777" w:rsidTr="004A7CA3">
        <w:tc>
          <w:tcPr>
            <w:tcW w:w="1848" w:type="dxa"/>
          </w:tcPr>
          <w:p w14:paraId="183FFFCF" w14:textId="77777777" w:rsidR="004A7CA3" w:rsidRPr="004A7CA3" w:rsidRDefault="004A7CA3" w:rsidP="00F01FB3">
            <w:r w:rsidRPr="004A7CA3">
              <w:t>0</w:t>
            </w:r>
          </w:p>
        </w:tc>
        <w:tc>
          <w:tcPr>
            <w:tcW w:w="1848" w:type="dxa"/>
          </w:tcPr>
          <w:p w14:paraId="6A4555C1" w14:textId="77777777" w:rsidR="004A7CA3" w:rsidRPr="004A7CA3" w:rsidRDefault="004A7CA3" w:rsidP="00F01FB3">
            <w:r w:rsidRPr="004A7CA3">
              <w:t>0.652%</w:t>
            </w:r>
          </w:p>
        </w:tc>
        <w:tc>
          <w:tcPr>
            <w:tcW w:w="1848" w:type="dxa"/>
          </w:tcPr>
          <w:p w14:paraId="00F7B7BE" w14:textId="77777777" w:rsidR="004A7CA3" w:rsidRPr="004A7CA3" w:rsidRDefault="004A7CA3" w:rsidP="00F01FB3">
            <w:r w:rsidRPr="004A7CA3">
              <w:t>16.148%</w:t>
            </w:r>
          </w:p>
        </w:tc>
        <w:tc>
          <w:tcPr>
            <w:tcW w:w="1849" w:type="dxa"/>
          </w:tcPr>
          <w:p w14:paraId="3A509358" w14:textId="77777777" w:rsidR="004A7CA3" w:rsidRPr="004A7CA3" w:rsidRDefault="004A7CA3" w:rsidP="00F01FB3">
            <w:r w:rsidRPr="004A7CA3">
              <w:t>1.130%</w:t>
            </w:r>
          </w:p>
        </w:tc>
        <w:tc>
          <w:tcPr>
            <w:tcW w:w="1849" w:type="dxa"/>
          </w:tcPr>
          <w:p w14:paraId="40316DF6" w14:textId="77777777" w:rsidR="004A7CA3" w:rsidRPr="004A7CA3" w:rsidRDefault="004A7CA3" w:rsidP="00F01FB3">
            <w:r w:rsidRPr="004A7CA3">
              <w:t>26.539%</w:t>
            </w:r>
          </w:p>
        </w:tc>
      </w:tr>
      <w:tr w:rsidR="004A7CA3" w:rsidRPr="004A7CA3" w14:paraId="59617BF0" w14:textId="77777777" w:rsidTr="004A7CA3">
        <w:tc>
          <w:tcPr>
            <w:tcW w:w="1848" w:type="dxa"/>
          </w:tcPr>
          <w:p w14:paraId="15A406C6" w14:textId="77777777" w:rsidR="004A7CA3" w:rsidRPr="004A7CA3" w:rsidRDefault="004A7CA3" w:rsidP="00F01FB3">
            <w:r w:rsidRPr="004A7CA3">
              <w:t>10</w:t>
            </w:r>
          </w:p>
        </w:tc>
        <w:tc>
          <w:tcPr>
            <w:tcW w:w="1848" w:type="dxa"/>
          </w:tcPr>
          <w:p w14:paraId="50A48935" w14:textId="77777777" w:rsidR="004A7CA3" w:rsidRPr="004A7CA3" w:rsidRDefault="004A7CA3" w:rsidP="00F01FB3">
            <w:r w:rsidRPr="004A7CA3">
              <w:t>0.404%</w:t>
            </w:r>
          </w:p>
        </w:tc>
        <w:tc>
          <w:tcPr>
            <w:tcW w:w="1848" w:type="dxa"/>
          </w:tcPr>
          <w:p w14:paraId="5330A7B2" w14:textId="77777777" w:rsidR="004A7CA3" w:rsidRPr="004A7CA3" w:rsidRDefault="004A7CA3" w:rsidP="00F01FB3">
            <w:r w:rsidRPr="004A7CA3">
              <w:t>10.232%</w:t>
            </w:r>
          </w:p>
        </w:tc>
        <w:tc>
          <w:tcPr>
            <w:tcW w:w="1849" w:type="dxa"/>
          </w:tcPr>
          <w:p w14:paraId="0C9E31A8" w14:textId="77777777" w:rsidR="004A7CA3" w:rsidRPr="004A7CA3" w:rsidRDefault="004A7CA3" w:rsidP="00F01FB3">
            <w:r w:rsidRPr="004A7CA3">
              <w:t>0.739%</w:t>
            </w:r>
          </w:p>
        </w:tc>
        <w:tc>
          <w:tcPr>
            <w:tcW w:w="1849" w:type="dxa"/>
          </w:tcPr>
          <w:p w14:paraId="2BE3B347" w14:textId="77777777" w:rsidR="004A7CA3" w:rsidRPr="004A7CA3" w:rsidRDefault="004A7CA3" w:rsidP="00F01FB3">
            <w:r w:rsidRPr="004A7CA3">
              <w:t>18.110%</w:t>
            </w:r>
          </w:p>
        </w:tc>
      </w:tr>
      <w:tr w:rsidR="004A7CA3" w:rsidRPr="004A7CA3" w14:paraId="5CDF8A26" w14:textId="77777777" w:rsidTr="004A7CA3">
        <w:tc>
          <w:tcPr>
            <w:tcW w:w="1848" w:type="dxa"/>
          </w:tcPr>
          <w:p w14:paraId="0BDC9B87" w14:textId="77777777" w:rsidR="004A7CA3" w:rsidRPr="004A7CA3" w:rsidRDefault="004A7CA3" w:rsidP="00F01FB3">
            <w:r w:rsidRPr="004A7CA3">
              <w:t>20</w:t>
            </w:r>
          </w:p>
        </w:tc>
        <w:tc>
          <w:tcPr>
            <w:tcW w:w="1848" w:type="dxa"/>
          </w:tcPr>
          <w:p w14:paraId="29474EC1" w14:textId="77777777" w:rsidR="004A7CA3" w:rsidRPr="004A7CA3" w:rsidRDefault="004A7CA3" w:rsidP="00F01FB3">
            <w:r w:rsidRPr="004A7CA3">
              <w:t>0.224%</w:t>
            </w:r>
          </w:p>
        </w:tc>
        <w:tc>
          <w:tcPr>
            <w:tcW w:w="1848" w:type="dxa"/>
          </w:tcPr>
          <w:p w14:paraId="2FA50B3F" w14:textId="77777777" w:rsidR="004A7CA3" w:rsidRPr="004A7CA3" w:rsidRDefault="004A7CA3" w:rsidP="00F01FB3">
            <w:r w:rsidRPr="004A7CA3">
              <w:t>5.716%</w:t>
            </w:r>
          </w:p>
        </w:tc>
        <w:tc>
          <w:tcPr>
            <w:tcW w:w="1849" w:type="dxa"/>
          </w:tcPr>
          <w:p w14:paraId="69AD2E26" w14:textId="77777777" w:rsidR="004A7CA3" w:rsidRPr="004A7CA3" w:rsidRDefault="004A7CA3" w:rsidP="00F01FB3">
            <w:r w:rsidRPr="004A7CA3">
              <w:t>0.463%</w:t>
            </w:r>
          </w:p>
        </w:tc>
        <w:tc>
          <w:tcPr>
            <w:tcW w:w="1849" w:type="dxa"/>
          </w:tcPr>
          <w:p w14:paraId="33D065D6" w14:textId="77777777" w:rsidR="004A7CA3" w:rsidRPr="004A7CA3" w:rsidRDefault="004A7CA3" w:rsidP="00F01FB3">
            <w:r w:rsidRPr="004A7CA3">
              <w:t>11.712%</w:t>
            </w:r>
          </w:p>
        </w:tc>
      </w:tr>
      <w:tr w:rsidR="004A7CA3" w:rsidRPr="004A7CA3" w14:paraId="3C5ABCCD" w14:textId="77777777" w:rsidTr="004A7CA3">
        <w:tc>
          <w:tcPr>
            <w:tcW w:w="1848" w:type="dxa"/>
          </w:tcPr>
          <w:p w14:paraId="06C3B19E" w14:textId="77777777" w:rsidR="004A7CA3" w:rsidRPr="004A7CA3" w:rsidRDefault="004A7CA3" w:rsidP="00F01FB3">
            <w:r w:rsidRPr="004A7CA3">
              <w:t>30</w:t>
            </w:r>
          </w:p>
        </w:tc>
        <w:tc>
          <w:tcPr>
            <w:tcW w:w="1848" w:type="dxa"/>
          </w:tcPr>
          <w:p w14:paraId="1C81BDC3" w14:textId="77777777" w:rsidR="004A7CA3" w:rsidRPr="004A7CA3" w:rsidRDefault="004A7CA3" w:rsidP="00F01FB3">
            <w:r w:rsidRPr="004A7CA3">
              <w:t>0.105%</w:t>
            </w:r>
          </w:p>
        </w:tc>
        <w:tc>
          <w:tcPr>
            <w:tcW w:w="1848" w:type="dxa"/>
          </w:tcPr>
          <w:p w14:paraId="3859A0A1" w14:textId="77777777" w:rsidR="004A7CA3" w:rsidRPr="004A7CA3" w:rsidRDefault="004A7CA3" w:rsidP="00F01FB3">
            <w:r w:rsidRPr="004A7CA3">
              <w:t>2.843%</w:t>
            </w:r>
          </w:p>
        </w:tc>
        <w:tc>
          <w:tcPr>
            <w:tcW w:w="1849" w:type="dxa"/>
          </w:tcPr>
          <w:p w14:paraId="61742291" w14:textId="77777777" w:rsidR="004A7CA3" w:rsidRPr="004A7CA3" w:rsidRDefault="004A7CA3" w:rsidP="00F01FB3">
            <w:r w:rsidRPr="004A7CA3">
              <w:t>0.267%</w:t>
            </w:r>
          </w:p>
        </w:tc>
        <w:tc>
          <w:tcPr>
            <w:tcW w:w="1849" w:type="dxa"/>
          </w:tcPr>
          <w:p w14:paraId="3F5F0BF6" w14:textId="77777777" w:rsidR="004A7CA3" w:rsidRPr="004A7CA3" w:rsidRDefault="004A7CA3" w:rsidP="00F01FB3">
            <w:r w:rsidRPr="004A7CA3">
              <w:t>6.869%</w:t>
            </w:r>
          </w:p>
        </w:tc>
      </w:tr>
      <w:tr w:rsidR="004A7CA3" w:rsidRPr="004A7CA3" w14:paraId="7B051B9E" w14:textId="77777777" w:rsidTr="004A7CA3">
        <w:tc>
          <w:tcPr>
            <w:tcW w:w="1848" w:type="dxa"/>
          </w:tcPr>
          <w:p w14:paraId="0009D58D" w14:textId="77777777" w:rsidR="004A7CA3" w:rsidRPr="004A7CA3" w:rsidRDefault="004A7CA3" w:rsidP="00F01FB3">
            <w:r w:rsidRPr="004A7CA3">
              <w:t>40</w:t>
            </w:r>
          </w:p>
        </w:tc>
        <w:tc>
          <w:tcPr>
            <w:tcW w:w="1848" w:type="dxa"/>
          </w:tcPr>
          <w:p w14:paraId="145223DE" w14:textId="77777777" w:rsidR="004A7CA3" w:rsidRPr="004A7CA3" w:rsidRDefault="004A7CA3" w:rsidP="00F01FB3">
            <w:r w:rsidRPr="004A7CA3">
              <w:t>0.039%</w:t>
            </w:r>
          </w:p>
        </w:tc>
        <w:tc>
          <w:tcPr>
            <w:tcW w:w="1848" w:type="dxa"/>
          </w:tcPr>
          <w:p w14:paraId="2E36C47B" w14:textId="77777777" w:rsidR="004A7CA3" w:rsidRPr="004A7CA3" w:rsidRDefault="004A7CA3" w:rsidP="00F01FB3">
            <w:r w:rsidRPr="004A7CA3">
              <w:t>1.079%</w:t>
            </w:r>
          </w:p>
        </w:tc>
        <w:tc>
          <w:tcPr>
            <w:tcW w:w="1849" w:type="dxa"/>
          </w:tcPr>
          <w:p w14:paraId="061C7919" w14:textId="77777777" w:rsidR="004A7CA3" w:rsidRPr="004A7CA3" w:rsidRDefault="004A7CA3" w:rsidP="00F01FB3">
            <w:r w:rsidRPr="004A7CA3">
              <w:t>0.129%</w:t>
            </w:r>
          </w:p>
        </w:tc>
        <w:tc>
          <w:tcPr>
            <w:tcW w:w="1849" w:type="dxa"/>
          </w:tcPr>
          <w:p w14:paraId="0D5E7041" w14:textId="77777777" w:rsidR="004A7CA3" w:rsidRPr="004A7CA3" w:rsidRDefault="004A7CA3" w:rsidP="00F01FB3">
            <w:r w:rsidRPr="004A7CA3">
              <w:t>3.465%</w:t>
            </w:r>
          </w:p>
        </w:tc>
      </w:tr>
    </w:tbl>
    <w:p w14:paraId="1701ACDA" w14:textId="77777777" w:rsidR="00C34941" w:rsidRDefault="00C34941" w:rsidP="002874CE"/>
    <w:p w14:paraId="0AE51D1E" w14:textId="1DD50F23" w:rsidR="00AB66FD" w:rsidRDefault="00AB66FD" w:rsidP="002874CE">
      <w:r>
        <w:t>The figure and summary table show that the RLAN transmissions cause significant levels of interference, even under the benign RKF</w:t>
      </w:r>
      <w:r w:rsidR="004A7CA3">
        <w:t>-like</w:t>
      </w:r>
      <w:r>
        <w:t xml:space="preserve"> deployment assumptions. When the other deployment assumptions, still within the proposed regulatory limits, are used, the interference probability quickly shoots up.</w:t>
      </w:r>
      <w:r w:rsidR="00015C87">
        <w:t xml:space="preserve"> In the worst case, without transmit power control and with higher duty cycle, I/N ratios of over 40 dB occur with a probability of more than </w:t>
      </w:r>
      <w:r w:rsidR="003E0C7C">
        <w:t xml:space="preserve">2 or </w:t>
      </w:r>
      <w:r w:rsidR="00015C87">
        <w:t>3 percent</w:t>
      </w:r>
      <w:r w:rsidR="003E0C7C">
        <w:t>, depending on the bandwidth considered</w:t>
      </w:r>
      <w:r w:rsidR="00015C87">
        <w:t>.</w:t>
      </w:r>
      <w:r>
        <w:t xml:space="preserve"> To limit the potential of interference, it’s crucial that </w:t>
      </w:r>
      <w:r w:rsidR="00015C87">
        <w:t xml:space="preserve">both </w:t>
      </w:r>
      <w:r>
        <w:t xml:space="preserve">transmit power control </w:t>
      </w:r>
      <w:r w:rsidR="00C34941">
        <w:t xml:space="preserve">and especially duty cycle </w:t>
      </w:r>
      <w:r>
        <w:t>constraints are included in the regulations.</w:t>
      </w:r>
    </w:p>
    <w:p w14:paraId="1705A35C" w14:textId="77777777" w:rsidR="00AA36E1" w:rsidRDefault="00AA36E1" w:rsidP="00AA36E1">
      <w:pPr>
        <w:pStyle w:val="Heading2"/>
      </w:pPr>
      <w:r>
        <w:t>London scenario</w:t>
      </w:r>
    </w:p>
    <w:p w14:paraId="4E58C907" w14:textId="77777777" w:rsidR="004F274D" w:rsidRPr="004F274D" w:rsidRDefault="004F274D" w:rsidP="004F274D">
      <w:r>
        <w:t xml:space="preserve">In this aggregate scenario, it is assumed that an inhabitant of a large urban city is using an UWB receiver. Since population statistics for London are publicly available (2017, </w:t>
      </w:r>
      <w:hyperlink r:id="rId11" w:history="1">
        <w:r w:rsidRPr="006818CA">
          <w:rPr>
            <w:rStyle w:val="Hyperlink"/>
          </w:rPr>
          <w:t>https://data.london.gov.uk/dataset/london-borough-profiles</w:t>
        </w:r>
      </w:hyperlink>
      <w:r>
        <w:t>), the characteristics of London will be used.</w:t>
      </w:r>
    </w:p>
    <w:p w14:paraId="3F24EBC2" w14:textId="60BE98EE" w:rsidR="004F274D" w:rsidRPr="004F274D" w:rsidRDefault="004F274D" w:rsidP="004F274D">
      <w:r>
        <w:t>The results of the single interferer evaluation show that RLAN transmitters located close to the UWB victim receiver are most harmful. Therefore, Monte Carlo simulations are performed with the UWB receiver at the centre of a circle with an area of 1 km</w:t>
      </w:r>
      <w:r>
        <w:rPr>
          <w:vertAlign w:val="superscript"/>
        </w:rPr>
        <w:t>2</w:t>
      </w:r>
      <w:r>
        <w:t>.</w:t>
      </w:r>
      <w:r w:rsidR="00130F06">
        <w:t xml:space="preserve"> </w:t>
      </w:r>
    </w:p>
    <w:p w14:paraId="06753FA1" w14:textId="33D4CC57" w:rsidR="004F274D" w:rsidRDefault="004F274D" w:rsidP="004F274D">
      <w:r>
        <w:t>RLAN devices are randomly spread throughout the area by combining the population density with the deployment assumptions listed above. Only RLAN transmitters that overlap with the UWB bandwidth are considered.</w:t>
      </w:r>
      <w:r w:rsidR="00C46EDA">
        <w:t xml:space="preserve"> </w:t>
      </w:r>
      <w:r w:rsidR="00AB66FD">
        <w:t>This conservative assumption implies physically impossible brick-wall filtering in the UWB receiver and infinite out-of-band suppression in the RLAN transmitters.</w:t>
      </w:r>
    </w:p>
    <w:p w14:paraId="5B16C845" w14:textId="77777777" w:rsidR="00C46EDA" w:rsidRDefault="00C46EDA" w:rsidP="004F274D">
      <w:r>
        <w:t>The RLAN devices are distributed in height according to the urban distribution from the RKF study.</w:t>
      </w:r>
    </w:p>
    <w:p w14:paraId="140DF588" w14:textId="57513081" w:rsidR="00C46EDA" w:rsidRDefault="00C46EDA" w:rsidP="004F274D">
      <w:r>
        <w:t>The site general path-loss model for propagation between terminals located from below roof-top height to near street level from ITU-R P.1411-9 is used as this has also been agreed with the RLAN community in CEPT</w:t>
      </w:r>
      <w:r w:rsidR="00474379">
        <w:t xml:space="preserve"> ECC</w:t>
      </w:r>
      <w:r>
        <w:t xml:space="preserve"> SE45. A fifth of the UWB receivers are assumed to be outdoors. As in the RKF study, buildings have 20% probability of being thermally efficient, with a building entry loss of 32.2 dB. Otherwise, the building entry loss is assumed to be 16.7 dB.</w:t>
      </w:r>
    </w:p>
    <w:p w14:paraId="76911C8C" w14:textId="3302D165" w:rsidR="004F274D" w:rsidRDefault="006C11A3" w:rsidP="004F274D">
      <w:r>
        <w:t xml:space="preserve">The results of the Monte Carlo are shown in the figure below. </w:t>
      </w:r>
      <w:r w:rsidR="001C52A3">
        <w:t>Five hundred thousand</w:t>
      </w:r>
      <w:r w:rsidR="004F274D">
        <w:t xml:space="preserve"> simulations have been performed per curve.</w:t>
      </w:r>
    </w:p>
    <w:p w14:paraId="38012544" w14:textId="17E57932" w:rsidR="006C11A3" w:rsidRDefault="00474379" w:rsidP="004F274D">
      <w:r w:rsidRPr="00474379">
        <w:rPr>
          <w:noProof/>
          <w:lang w:val="en-US"/>
        </w:rPr>
        <w:drawing>
          <wp:inline distT="0" distB="0" distL="0" distR="0" wp14:anchorId="5FED843D" wp14:editId="3D0C31F6">
            <wp:extent cx="5325745" cy="3989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5745" cy="3989070"/>
                    </a:xfrm>
                    <a:prstGeom prst="rect">
                      <a:avLst/>
                    </a:prstGeom>
                    <a:noFill/>
                    <a:ln>
                      <a:noFill/>
                    </a:ln>
                  </pic:spPr>
                </pic:pic>
              </a:graphicData>
            </a:graphic>
          </wp:inline>
        </w:drawing>
      </w:r>
    </w:p>
    <w:p w14:paraId="7DF10A26" w14:textId="3C42F916" w:rsidR="00DB6FCA" w:rsidRDefault="00DB6FCA" w:rsidP="00DB6FCA">
      <w:pPr>
        <w:pStyle w:val="Caption"/>
        <w:keepNext/>
      </w:pPr>
      <w:r>
        <w:t xml:space="preserve">Table </w:t>
      </w:r>
      <w:r w:rsidR="00B365DC">
        <w:rPr>
          <w:noProof/>
        </w:rPr>
        <w:fldChar w:fldCharType="begin"/>
      </w:r>
      <w:r w:rsidR="00B365DC">
        <w:rPr>
          <w:noProof/>
        </w:rPr>
        <w:instrText xml:space="preserve"> SEQ Table \* ARABIC </w:instrText>
      </w:r>
      <w:r w:rsidR="00B365DC">
        <w:rPr>
          <w:noProof/>
        </w:rPr>
        <w:fldChar w:fldCharType="separate"/>
      </w:r>
      <w:r>
        <w:rPr>
          <w:noProof/>
        </w:rPr>
        <w:t>3</w:t>
      </w:r>
      <w:r w:rsidR="00B365DC">
        <w:rPr>
          <w:noProof/>
        </w:rPr>
        <w:fldChar w:fldCharType="end"/>
      </w:r>
      <w:r>
        <w:t xml:space="preserve">: </w:t>
      </w:r>
      <w:r w:rsidRPr="004A7CA3">
        <w:t>Numerical results 500 MHz UWB bandwidth</w:t>
      </w:r>
      <w:r>
        <w:t xml:space="preserve"> London scenario</w:t>
      </w:r>
    </w:p>
    <w:tbl>
      <w:tblPr>
        <w:tblStyle w:val="TableGrid"/>
        <w:tblW w:w="0" w:type="auto"/>
        <w:tblLook w:val="04A0" w:firstRow="1" w:lastRow="0" w:firstColumn="1" w:lastColumn="0" w:noHBand="0" w:noVBand="1"/>
      </w:tblPr>
      <w:tblGrid>
        <w:gridCol w:w="1848"/>
        <w:gridCol w:w="1848"/>
        <w:gridCol w:w="1848"/>
        <w:gridCol w:w="1849"/>
        <w:gridCol w:w="1849"/>
      </w:tblGrid>
      <w:tr w:rsidR="00474379" w:rsidRPr="004A7CA3" w14:paraId="79006D46" w14:textId="77777777" w:rsidTr="003B2506">
        <w:tc>
          <w:tcPr>
            <w:tcW w:w="1848" w:type="dxa"/>
          </w:tcPr>
          <w:p w14:paraId="114C094F" w14:textId="77777777" w:rsidR="00474379" w:rsidRPr="004A7CA3" w:rsidRDefault="00474379" w:rsidP="003B2506">
            <w:pPr>
              <w:rPr>
                <w:b/>
              </w:rPr>
            </w:pPr>
            <w:r w:rsidRPr="004A7CA3">
              <w:rPr>
                <w:b/>
              </w:rPr>
              <w:t>I/N (dB)</w:t>
            </w:r>
          </w:p>
        </w:tc>
        <w:tc>
          <w:tcPr>
            <w:tcW w:w="1848" w:type="dxa"/>
          </w:tcPr>
          <w:p w14:paraId="2D0DD5D8" w14:textId="77777777" w:rsidR="00474379" w:rsidRPr="004A7CA3" w:rsidRDefault="00474379" w:rsidP="003B2506">
            <w:pPr>
              <w:rPr>
                <w:b/>
              </w:rPr>
            </w:pPr>
            <w:r w:rsidRPr="004A7CA3">
              <w:rPr>
                <w:b/>
              </w:rPr>
              <w:t>RFK-like</w:t>
            </w:r>
            <w:r>
              <w:rPr>
                <w:b/>
              </w:rPr>
              <w:t xml:space="preserve"> scenario</w:t>
            </w:r>
          </w:p>
        </w:tc>
        <w:tc>
          <w:tcPr>
            <w:tcW w:w="1848" w:type="dxa"/>
          </w:tcPr>
          <w:p w14:paraId="06D19783" w14:textId="77777777" w:rsidR="00474379" w:rsidRPr="004A7CA3" w:rsidRDefault="00474379" w:rsidP="003B2506">
            <w:pPr>
              <w:rPr>
                <w:b/>
              </w:rPr>
            </w:pPr>
            <w:r w:rsidRPr="004A7CA3">
              <w:rPr>
                <w:b/>
              </w:rPr>
              <w:t>Increased Duty Cycle</w:t>
            </w:r>
          </w:p>
        </w:tc>
        <w:tc>
          <w:tcPr>
            <w:tcW w:w="1849" w:type="dxa"/>
          </w:tcPr>
          <w:p w14:paraId="31AE407A" w14:textId="77777777" w:rsidR="00474379" w:rsidRPr="004A7CA3" w:rsidRDefault="00474379" w:rsidP="003B2506">
            <w:pPr>
              <w:rPr>
                <w:b/>
              </w:rPr>
            </w:pPr>
            <w:r w:rsidRPr="004A7CA3">
              <w:rPr>
                <w:b/>
              </w:rPr>
              <w:t>No Transmit Power Control</w:t>
            </w:r>
          </w:p>
        </w:tc>
        <w:tc>
          <w:tcPr>
            <w:tcW w:w="1849" w:type="dxa"/>
          </w:tcPr>
          <w:p w14:paraId="04EC5187" w14:textId="77777777" w:rsidR="00474379" w:rsidRPr="004A7CA3" w:rsidRDefault="00474379" w:rsidP="003B2506">
            <w:pPr>
              <w:rPr>
                <w:b/>
              </w:rPr>
            </w:pPr>
            <w:r w:rsidRPr="004A7CA3">
              <w:rPr>
                <w:b/>
              </w:rPr>
              <w:t>Combination</w:t>
            </w:r>
            <w:r>
              <w:rPr>
                <w:b/>
              </w:rPr>
              <w:t xml:space="preserve"> scenario</w:t>
            </w:r>
          </w:p>
        </w:tc>
      </w:tr>
      <w:tr w:rsidR="00474379" w:rsidRPr="00474379" w14:paraId="0DD75648" w14:textId="77777777" w:rsidTr="00474379">
        <w:tc>
          <w:tcPr>
            <w:tcW w:w="1848" w:type="dxa"/>
          </w:tcPr>
          <w:p w14:paraId="16940461" w14:textId="77777777" w:rsidR="00474379" w:rsidRPr="00474379" w:rsidRDefault="00474379" w:rsidP="00520067">
            <w:r w:rsidRPr="00474379">
              <w:t>-10</w:t>
            </w:r>
          </w:p>
        </w:tc>
        <w:tc>
          <w:tcPr>
            <w:tcW w:w="1848" w:type="dxa"/>
          </w:tcPr>
          <w:p w14:paraId="4778B642" w14:textId="77777777" w:rsidR="00474379" w:rsidRPr="00474379" w:rsidRDefault="00474379" w:rsidP="00520067">
            <w:r w:rsidRPr="00474379">
              <w:t>1.006%</w:t>
            </w:r>
          </w:p>
        </w:tc>
        <w:tc>
          <w:tcPr>
            <w:tcW w:w="1848" w:type="dxa"/>
          </w:tcPr>
          <w:p w14:paraId="7CF4E494" w14:textId="77777777" w:rsidR="00474379" w:rsidRPr="00474379" w:rsidRDefault="00474379" w:rsidP="00520067">
            <w:r w:rsidRPr="00474379">
              <w:t>18.001%</w:t>
            </w:r>
          </w:p>
        </w:tc>
        <w:tc>
          <w:tcPr>
            <w:tcW w:w="1849" w:type="dxa"/>
          </w:tcPr>
          <w:p w14:paraId="59F20377" w14:textId="77777777" w:rsidR="00474379" w:rsidRPr="00474379" w:rsidRDefault="00474379" w:rsidP="00520067">
            <w:r w:rsidRPr="00474379">
              <w:t>2.292%</w:t>
            </w:r>
          </w:p>
        </w:tc>
        <w:tc>
          <w:tcPr>
            <w:tcW w:w="1849" w:type="dxa"/>
          </w:tcPr>
          <w:p w14:paraId="347BD641" w14:textId="77777777" w:rsidR="00474379" w:rsidRPr="00474379" w:rsidRDefault="00474379" w:rsidP="00520067">
            <w:r w:rsidRPr="00474379">
              <w:t>34.919%</w:t>
            </w:r>
          </w:p>
        </w:tc>
      </w:tr>
      <w:tr w:rsidR="00474379" w:rsidRPr="00474379" w14:paraId="08B74C2B" w14:textId="77777777" w:rsidTr="00474379">
        <w:tc>
          <w:tcPr>
            <w:tcW w:w="1848" w:type="dxa"/>
          </w:tcPr>
          <w:p w14:paraId="1915B365" w14:textId="77777777" w:rsidR="00474379" w:rsidRPr="00474379" w:rsidRDefault="00474379" w:rsidP="00520067">
            <w:r w:rsidRPr="00474379">
              <w:t>0</w:t>
            </w:r>
          </w:p>
        </w:tc>
        <w:tc>
          <w:tcPr>
            <w:tcW w:w="1848" w:type="dxa"/>
          </w:tcPr>
          <w:p w14:paraId="708FD5BF" w14:textId="77777777" w:rsidR="00474379" w:rsidRPr="00474379" w:rsidRDefault="00474379" w:rsidP="00520067">
            <w:r w:rsidRPr="00474379">
              <w:t>0.385%</w:t>
            </w:r>
          </w:p>
        </w:tc>
        <w:tc>
          <w:tcPr>
            <w:tcW w:w="1848" w:type="dxa"/>
          </w:tcPr>
          <w:p w14:paraId="5907F918" w14:textId="77777777" w:rsidR="00474379" w:rsidRPr="00474379" w:rsidRDefault="00474379" w:rsidP="00520067">
            <w:r w:rsidRPr="00474379">
              <w:t>8.067%</w:t>
            </w:r>
          </w:p>
        </w:tc>
        <w:tc>
          <w:tcPr>
            <w:tcW w:w="1849" w:type="dxa"/>
          </w:tcPr>
          <w:p w14:paraId="21EBFF89" w14:textId="77777777" w:rsidR="00474379" w:rsidRPr="00474379" w:rsidRDefault="00474379" w:rsidP="00520067">
            <w:r w:rsidRPr="00474379">
              <w:t>1.438%</w:t>
            </w:r>
          </w:p>
        </w:tc>
        <w:tc>
          <w:tcPr>
            <w:tcW w:w="1849" w:type="dxa"/>
          </w:tcPr>
          <w:p w14:paraId="75B7013C" w14:textId="77777777" w:rsidR="00474379" w:rsidRPr="00474379" w:rsidRDefault="00474379" w:rsidP="00520067">
            <w:r w:rsidRPr="00474379">
              <w:t>20.991%</w:t>
            </w:r>
          </w:p>
        </w:tc>
      </w:tr>
      <w:tr w:rsidR="00474379" w:rsidRPr="00474379" w14:paraId="5D048F91" w14:textId="77777777" w:rsidTr="00474379">
        <w:tc>
          <w:tcPr>
            <w:tcW w:w="1848" w:type="dxa"/>
          </w:tcPr>
          <w:p w14:paraId="7AF1BA5A" w14:textId="77777777" w:rsidR="00474379" w:rsidRPr="00474379" w:rsidRDefault="00474379" w:rsidP="00520067">
            <w:r w:rsidRPr="00474379">
              <w:t>10</w:t>
            </w:r>
          </w:p>
        </w:tc>
        <w:tc>
          <w:tcPr>
            <w:tcW w:w="1848" w:type="dxa"/>
          </w:tcPr>
          <w:p w14:paraId="2686F965" w14:textId="77777777" w:rsidR="00474379" w:rsidRPr="00474379" w:rsidRDefault="00474379" w:rsidP="00520067">
            <w:r w:rsidRPr="00474379">
              <w:t>0.111%</w:t>
            </w:r>
          </w:p>
        </w:tc>
        <w:tc>
          <w:tcPr>
            <w:tcW w:w="1848" w:type="dxa"/>
          </w:tcPr>
          <w:p w14:paraId="231A6458" w14:textId="77777777" w:rsidR="00474379" w:rsidRPr="00474379" w:rsidRDefault="00474379" w:rsidP="00520067">
            <w:r w:rsidRPr="00474379">
              <w:t>2.682%</w:t>
            </w:r>
          </w:p>
        </w:tc>
        <w:tc>
          <w:tcPr>
            <w:tcW w:w="1849" w:type="dxa"/>
          </w:tcPr>
          <w:p w14:paraId="468856D7" w14:textId="77777777" w:rsidR="00474379" w:rsidRPr="00474379" w:rsidRDefault="00474379" w:rsidP="00520067">
            <w:r w:rsidRPr="00474379">
              <w:t>0.465%</w:t>
            </w:r>
          </w:p>
        </w:tc>
        <w:tc>
          <w:tcPr>
            <w:tcW w:w="1849" w:type="dxa"/>
          </w:tcPr>
          <w:p w14:paraId="77784BE5" w14:textId="77777777" w:rsidR="00474379" w:rsidRPr="00474379" w:rsidRDefault="00474379" w:rsidP="00520067">
            <w:r w:rsidRPr="00474379">
              <w:t>10.418%</w:t>
            </w:r>
          </w:p>
        </w:tc>
      </w:tr>
      <w:tr w:rsidR="00474379" w:rsidRPr="00474379" w14:paraId="2D2BF069" w14:textId="77777777" w:rsidTr="00474379">
        <w:tc>
          <w:tcPr>
            <w:tcW w:w="1848" w:type="dxa"/>
          </w:tcPr>
          <w:p w14:paraId="1304A5CA" w14:textId="77777777" w:rsidR="00474379" w:rsidRPr="00474379" w:rsidRDefault="00474379" w:rsidP="00520067">
            <w:r w:rsidRPr="00474379">
              <w:t>20</w:t>
            </w:r>
          </w:p>
        </w:tc>
        <w:tc>
          <w:tcPr>
            <w:tcW w:w="1848" w:type="dxa"/>
          </w:tcPr>
          <w:p w14:paraId="3458F061" w14:textId="77777777" w:rsidR="00474379" w:rsidRPr="00474379" w:rsidRDefault="00474379" w:rsidP="00520067">
            <w:r w:rsidRPr="00474379">
              <w:t>0.028%</w:t>
            </w:r>
          </w:p>
        </w:tc>
        <w:tc>
          <w:tcPr>
            <w:tcW w:w="1848" w:type="dxa"/>
          </w:tcPr>
          <w:p w14:paraId="530A8357" w14:textId="77777777" w:rsidR="00474379" w:rsidRPr="00474379" w:rsidRDefault="00474379" w:rsidP="00520067">
            <w:r w:rsidRPr="00474379">
              <w:t>0.655%</w:t>
            </w:r>
          </w:p>
        </w:tc>
        <w:tc>
          <w:tcPr>
            <w:tcW w:w="1849" w:type="dxa"/>
          </w:tcPr>
          <w:p w14:paraId="555D9318" w14:textId="77777777" w:rsidR="00474379" w:rsidRPr="00474379" w:rsidRDefault="00474379" w:rsidP="00520067">
            <w:r w:rsidRPr="00474379">
              <w:t>0.170%</w:t>
            </w:r>
          </w:p>
        </w:tc>
        <w:tc>
          <w:tcPr>
            <w:tcW w:w="1849" w:type="dxa"/>
          </w:tcPr>
          <w:p w14:paraId="01E0EE8B" w14:textId="77777777" w:rsidR="00474379" w:rsidRPr="00474379" w:rsidRDefault="00474379" w:rsidP="00520067">
            <w:r w:rsidRPr="00474379">
              <w:t>3.497%</w:t>
            </w:r>
          </w:p>
        </w:tc>
      </w:tr>
      <w:tr w:rsidR="00474379" w:rsidRPr="00474379" w14:paraId="1F0C8FE4" w14:textId="77777777" w:rsidTr="00474379">
        <w:tc>
          <w:tcPr>
            <w:tcW w:w="1848" w:type="dxa"/>
          </w:tcPr>
          <w:p w14:paraId="09B2C28B" w14:textId="77777777" w:rsidR="00474379" w:rsidRPr="00474379" w:rsidRDefault="00474379" w:rsidP="00520067">
            <w:r w:rsidRPr="00474379">
              <w:t>30</w:t>
            </w:r>
          </w:p>
        </w:tc>
        <w:tc>
          <w:tcPr>
            <w:tcW w:w="1848" w:type="dxa"/>
          </w:tcPr>
          <w:p w14:paraId="29DE032C" w14:textId="77777777" w:rsidR="00474379" w:rsidRPr="00474379" w:rsidRDefault="00474379" w:rsidP="00520067">
            <w:r w:rsidRPr="00474379">
              <w:t>0.005%</w:t>
            </w:r>
          </w:p>
        </w:tc>
        <w:tc>
          <w:tcPr>
            <w:tcW w:w="1848" w:type="dxa"/>
          </w:tcPr>
          <w:p w14:paraId="452C7D0F" w14:textId="77777777" w:rsidR="00474379" w:rsidRPr="00474379" w:rsidRDefault="00474379" w:rsidP="00520067">
            <w:r w:rsidRPr="00474379">
              <w:t>0.152%</w:t>
            </w:r>
          </w:p>
        </w:tc>
        <w:tc>
          <w:tcPr>
            <w:tcW w:w="1849" w:type="dxa"/>
          </w:tcPr>
          <w:p w14:paraId="56C68CA1" w14:textId="77777777" w:rsidR="00474379" w:rsidRPr="00474379" w:rsidRDefault="00474379" w:rsidP="00520067">
            <w:r w:rsidRPr="00474379">
              <w:t>0.037%</w:t>
            </w:r>
          </w:p>
        </w:tc>
        <w:tc>
          <w:tcPr>
            <w:tcW w:w="1849" w:type="dxa"/>
          </w:tcPr>
          <w:p w14:paraId="1A0DD0B6" w14:textId="77777777" w:rsidR="00474379" w:rsidRPr="00474379" w:rsidRDefault="00474379" w:rsidP="00520067">
            <w:r w:rsidRPr="00474379">
              <w:t>0.843%</w:t>
            </w:r>
          </w:p>
        </w:tc>
      </w:tr>
      <w:tr w:rsidR="00474379" w:rsidRPr="00474379" w14:paraId="629F0536" w14:textId="77777777" w:rsidTr="00474379">
        <w:tc>
          <w:tcPr>
            <w:tcW w:w="1848" w:type="dxa"/>
          </w:tcPr>
          <w:p w14:paraId="3FF8D307" w14:textId="77777777" w:rsidR="00474379" w:rsidRPr="00474379" w:rsidRDefault="00474379" w:rsidP="00520067">
            <w:r w:rsidRPr="00474379">
              <w:t>40</w:t>
            </w:r>
          </w:p>
        </w:tc>
        <w:tc>
          <w:tcPr>
            <w:tcW w:w="1848" w:type="dxa"/>
          </w:tcPr>
          <w:p w14:paraId="47C48C08" w14:textId="0997DC29" w:rsidR="00474379" w:rsidRPr="00474379" w:rsidRDefault="00474379" w:rsidP="00520067"/>
        </w:tc>
        <w:tc>
          <w:tcPr>
            <w:tcW w:w="1848" w:type="dxa"/>
          </w:tcPr>
          <w:p w14:paraId="5A3CFC9A" w14:textId="77777777" w:rsidR="00474379" w:rsidRPr="00474379" w:rsidRDefault="00474379" w:rsidP="00520067">
            <w:r w:rsidRPr="00474379">
              <w:t>0.013%</w:t>
            </w:r>
          </w:p>
        </w:tc>
        <w:tc>
          <w:tcPr>
            <w:tcW w:w="1849" w:type="dxa"/>
          </w:tcPr>
          <w:p w14:paraId="70B376C9" w14:textId="77777777" w:rsidR="00474379" w:rsidRPr="00474379" w:rsidRDefault="00474379" w:rsidP="00520067">
            <w:r w:rsidRPr="00474379">
              <w:t>0.007%</w:t>
            </w:r>
          </w:p>
        </w:tc>
        <w:tc>
          <w:tcPr>
            <w:tcW w:w="1849" w:type="dxa"/>
          </w:tcPr>
          <w:p w14:paraId="2FE0EADE" w14:textId="77777777" w:rsidR="00474379" w:rsidRPr="00474379" w:rsidRDefault="00474379" w:rsidP="00520067">
            <w:r w:rsidRPr="00474379">
              <w:t>0.209%</w:t>
            </w:r>
          </w:p>
        </w:tc>
      </w:tr>
    </w:tbl>
    <w:p w14:paraId="08E7BCCD" w14:textId="77777777" w:rsidR="00474379" w:rsidRDefault="00474379" w:rsidP="00474379"/>
    <w:p w14:paraId="48B75346" w14:textId="5BDC9676" w:rsidR="00DB6FCA" w:rsidRDefault="00DB6FCA" w:rsidP="00DB6FCA">
      <w:pPr>
        <w:pStyle w:val="Caption"/>
        <w:keepNext/>
      </w:pPr>
      <w:r>
        <w:t xml:space="preserve">Table </w:t>
      </w:r>
      <w:r w:rsidR="00B365DC">
        <w:rPr>
          <w:noProof/>
        </w:rPr>
        <w:fldChar w:fldCharType="begin"/>
      </w:r>
      <w:r w:rsidR="00B365DC">
        <w:rPr>
          <w:noProof/>
        </w:rPr>
        <w:instrText xml:space="preserve"> SEQ Table \* ARABIC </w:instrText>
      </w:r>
      <w:r w:rsidR="00B365DC">
        <w:rPr>
          <w:noProof/>
        </w:rPr>
        <w:fldChar w:fldCharType="separate"/>
      </w:r>
      <w:r>
        <w:rPr>
          <w:noProof/>
        </w:rPr>
        <w:t>4</w:t>
      </w:r>
      <w:r w:rsidR="00B365DC">
        <w:rPr>
          <w:noProof/>
        </w:rPr>
        <w:fldChar w:fldCharType="end"/>
      </w:r>
      <w:r>
        <w:t xml:space="preserve">: </w:t>
      </w:r>
      <w:r w:rsidRPr="004A7CA3">
        <w:t xml:space="preserve">Numerical results </w:t>
      </w:r>
      <w:r>
        <w:t>1 G</w:t>
      </w:r>
      <w:r w:rsidRPr="004A7CA3">
        <w:t>Hz UWB bandwidth</w:t>
      </w:r>
      <w:r>
        <w:t xml:space="preserve"> London scenario</w:t>
      </w:r>
    </w:p>
    <w:tbl>
      <w:tblPr>
        <w:tblStyle w:val="TableGrid"/>
        <w:tblW w:w="0" w:type="auto"/>
        <w:tblLook w:val="04A0" w:firstRow="1" w:lastRow="0" w:firstColumn="1" w:lastColumn="0" w:noHBand="0" w:noVBand="1"/>
      </w:tblPr>
      <w:tblGrid>
        <w:gridCol w:w="1848"/>
        <w:gridCol w:w="1848"/>
        <w:gridCol w:w="1848"/>
        <w:gridCol w:w="1849"/>
        <w:gridCol w:w="1849"/>
      </w:tblGrid>
      <w:tr w:rsidR="00474379" w:rsidRPr="004A7CA3" w14:paraId="55233F84" w14:textId="77777777" w:rsidTr="003B2506">
        <w:tc>
          <w:tcPr>
            <w:tcW w:w="1848" w:type="dxa"/>
          </w:tcPr>
          <w:p w14:paraId="41253C75" w14:textId="77777777" w:rsidR="00474379" w:rsidRPr="004A7CA3" w:rsidRDefault="00474379" w:rsidP="003B2506">
            <w:pPr>
              <w:rPr>
                <w:b/>
              </w:rPr>
            </w:pPr>
            <w:r w:rsidRPr="004A7CA3">
              <w:rPr>
                <w:b/>
              </w:rPr>
              <w:t>I/N (dB)</w:t>
            </w:r>
          </w:p>
        </w:tc>
        <w:tc>
          <w:tcPr>
            <w:tcW w:w="1848" w:type="dxa"/>
          </w:tcPr>
          <w:p w14:paraId="4C8D31CA" w14:textId="0131FC8B" w:rsidR="00474379" w:rsidRPr="004A7CA3" w:rsidRDefault="00474379" w:rsidP="003B2506">
            <w:pPr>
              <w:rPr>
                <w:b/>
              </w:rPr>
            </w:pPr>
            <w:r w:rsidRPr="004A7CA3">
              <w:rPr>
                <w:b/>
              </w:rPr>
              <w:t>RFK-like</w:t>
            </w:r>
            <w:r>
              <w:rPr>
                <w:b/>
              </w:rPr>
              <w:t xml:space="preserve"> scenario</w:t>
            </w:r>
          </w:p>
        </w:tc>
        <w:tc>
          <w:tcPr>
            <w:tcW w:w="1848" w:type="dxa"/>
          </w:tcPr>
          <w:p w14:paraId="5FBBF1B1" w14:textId="77777777" w:rsidR="00474379" w:rsidRPr="004A7CA3" w:rsidRDefault="00474379" w:rsidP="003B2506">
            <w:pPr>
              <w:rPr>
                <w:b/>
              </w:rPr>
            </w:pPr>
            <w:r w:rsidRPr="004A7CA3">
              <w:rPr>
                <w:b/>
              </w:rPr>
              <w:t>Increased Duty Cycle</w:t>
            </w:r>
          </w:p>
        </w:tc>
        <w:tc>
          <w:tcPr>
            <w:tcW w:w="1849" w:type="dxa"/>
          </w:tcPr>
          <w:p w14:paraId="4833EEF0" w14:textId="77777777" w:rsidR="00474379" w:rsidRPr="004A7CA3" w:rsidRDefault="00474379" w:rsidP="003B2506">
            <w:pPr>
              <w:rPr>
                <w:b/>
              </w:rPr>
            </w:pPr>
            <w:r w:rsidRPr="004A7CA3">
              <w:rPr>
                <w:b/>
              </w:rPr>
              <w:t>No Transmit Power Control</w:t>
            </w:r>
          </w:p>
        </w:tc>
        <w:tc>
          <w:tcPr>
            <w:tcW w:w="1849" w:type="dxa"/>
          </w:tcPr>
          <w:p w14:paraId="0B624CA6" w14:textId="30925FED" w:rsidR="00474379" w:rsidRPr="004A7CA3" w:rsidRDefault="00474379" w:rsidP="003B2506">
            <w:pPr>
              <w:rPr>
                <w:b/>
              </w:rPr>
            </w:pPr>
            <w:r w:rsidRPr="004A7CA3">
              <w:rPr>
                <w:b/>
              </w:rPr>
              <w:t>Combination</w:t>
            </w:r>
            <w:r>
              <w:rPr>
                <w:b/>
              </w:rPr>
              <w:t xml:space="preserve"> scenario</w:t>
            </w:r>
          </w:p>
        </w:tc>
      </w:tr>
      <w:tr w:rsidR="00474379" w:rsidRPr="00474379" w14:paraId="42C01EB0" w14:textId="77777777" w:rsidTr="00474379">
        <w:tc>
          <w:tcPr>
            <w:tcW w:w="1848" w:type="dxa"/>
          </w:tcPr>
          <w:p w14:paraId="13118B0A" w14:textId="77777777" w:rsidR="00474379" w:rsidRPr="00474379" w:rsidRDefault="00474379" w:rsidP="000E2EC9">
            <w:r w:rsidRPr="00474379">
              <w:t>-10</w:t>
            </w:r>
          </w:p>
        </w:tc>
        <w:tc>
          <w:tcPr>
            <w:tcW w:w="1848" w:type="dxa"/>
          </w:tcPr>
          <w:p w14:paraId="230FADD7" w14:textId="77777777" w:rsidR="00474379" w:rsidRPr="00474379" w:rsidRDefault="00474379" w:rsidP="000E2EC9">
            <w:r w:rsidRPr="00474379">
              <w:t>1.294%</w:t>
            </w:r>
          </w:p>
        </w:tc>
        <w:tc>
          <w:tcPr>
            <w:tcW w:w="1848" w:type="dxa"/>
          </w:tcPr>
          <w:p w14:paraId="2B8CE0B8" w14:textId="77777777" w:rsidR="00474379" w:rsidRPr="00474379" w:rsidRDefault="00474379" w:rsidP="000E2EC9">
            <w:r w:rsidRPr="00474379">
              <w:t>19.523%</w:t>
            </w:r>
          </w:p>
        </w:tc>
        <w:tc>
          <w:tcPr>
            <w:tcW w:w="1849" w:type="dxa"/>
          </w:tcPr>
          <w:p w14:paraId="5695B93D" w14:textId="77777777" w:rsidR="00474379" w:rsidRPr="00474379" w:rsidRDefault="00474379" w:rsidP="000E2EC9">
            <w:r w:rsidRPr="00474379">
              <w:t>3.403%</w:t>
            </w:r>
          </w:p>
        </w:tc>
        <w:tc>
          <w:tcPr>
            <w:tcW w:w="1849" w:type="dxa"/>
          </w:tcPr>
          <w:p w14:paraId="48F038CE" w14:textId="77777777" w:rsidR="00474379" w:rsidRPr="00474379" w:rsidRDefault="00474379" w:rsidP="000E2EC9">
            <w:r w:rsidRPr="00474379">
              <w:t>36.553%</w:t>
            </w:r>
          </w:p>
        </w:tc>
      </w:tr>
      <w:tr w:rsidR="00474379" w:rsidRPr="00474379" w14:paraId="2C3055C4" w14:textId="77777777" w:rsidTr="00474379">
        <w:tc>
          <w:tcPr>
            <w:tcW w:w="1848" w:type="dxa"/>
          </w:tcPr>
          <w:p w14:paraId="5F661655" w14:textId="77777777" w:rsidR="00474379" w:rsidRPr="00474379" w:rsidRDefault="00474379" w:rsidP="000E2EC9">
            <w:r w:rsidRPr="00474379">
              <w:t>0</w:t>
            </w:r>
          </w:p>
        </w:tc>
        <w:tc>
          <w:tcPr>
            <w:tcW w:w="1848" w:type="dxa"/>
          </w:tcPr>
          <w:p w14:paraId="6A73B742" w14:textId="77777777" w:rsidR="00474379" w:rsidRPr="00474379" w:rsidRDefault="00474379" w:rsidP="000E2EC9">
            <w:r w:rsidRPr="00474379">
              <w:t>0.453%</w:t>
            </w:r>
          </w:p>
        </w:tc>
        <w:tc>
          <w:tcPr>
            <w:tcW w:w="1848" w:type="dxa"/>
          </w:tcPr>
          <w:p w14:paraId="744A4CE5" w14:textId="77777777" w:rsidR="00474379" w:rsidRPr="00474379" w:rsidRDefault="00474379" w:rsidP="000E2EC9">
            <w:r w:rsidRPr="00474379">
              <w:t>7.923%</w:t>
            </w:r>
          </w:p>
        </w:tc>
        <w:tc>
          <w:tcPr>
            <w:tcW w:w="1849" w:type="dxa"/>
          </w:tcPr>
          <w:p w14:paraId="6174D8F0" w14:textId="77777777" w:rsidR="00474379" w:rsidRPr="00474379" w:rsidRDefault="00474379" w:rsidP="000E2EC9">
            <w:r w:rsidRPr="00474379">
              <w:t>1.781%</w:t>
            </w:r>
          </w:p>
        </w:tc>
        <w:tc>
          <w:tcPr>
            <w:tcW w:w="1849" w:type="dxa"/>
          </w:tcPr>
          <w:p w14:paraId="5AB350D1" w14:textId="77777777" w:rsidR="00474379" w:rsidRPr="00474379" w:rsidRDefault="00474379" w:rsidP="000E2EC9">
            <w:r w:rsidRPr="00474379">
              <w:t>22.195%</w:t>
            </w:r>
          </w:p>
        </w:tc>
      </w:tr>
      <w:tr w:rsidR="00474379" w:rsidRPr="00474379" w14:paraId="3F0C93FC" w14:textId="77777777" w:rsidTr="00474379">
        <w:tc>
          <w:tcPr>
            <w:tcW w:w="1848" w:type="dxa"/>
          </w:tcPr>
          <w:p w14:paraId="555712FF" w14:textId="77777777" w:rsidR="00474379" w:rsidRPr="00474379" w:rsidRDefault="00474379" w:rsidP="000E2EC9">
            <w:r w:rsidRPr="00474379">
              <w:t>10</w:t>
            </w:r>
          </w:p>
        </w:tc>
        <w:tc>
          <w:tcPr>
            <w:tcW w:w="1848" w:type="dxa"/>
          </w:tcPr>
          <w:p w14:paraId="0880B5D4" w14:textId="77777777" w:rsidR="00474379" w:rsidRPr="00474379" w:rsidRDefault="00474379" w:rsidP="000E2EC9">
            <w:r w:rsidRPr="00474379">
              <w:t>0.128%</w:t>
            </w:r>
          </w:p>
        </w:tc>
        <w:tc>
          <w:tcPr>
            <w:tcW w:w="1848" w:type="dxa"/>
          </w:tcPr>
          <w:p w14:paraId="4CCC3CCA" w14:textId="77777777" w:rsidR="00474379" w:rsidRPr="00474379" w:rsidRDefault="00474379" w:rsidP="000E2EC9">
            <w:r w:rsidRPr="00474379">
              <w:t>2.758%</w:t>
            </w:r>
          </w:p>
        </w:tc>
        <w:tc>
          <w:tcPr>
            <w:tcW w:w="1849" w:type="dxa"/>
          </w:tcPr>
          <w:p w14:paraId="5244E2C1" w14:textId="77777777" w:rsidR="00474379" w:rsidRPr="00474379" w:rsidRDefault="00474379" w:rsidP="000E2EC9">
            <w:r w:rsidRPr="00474379">
              <w:t>0.587%</w:t>
            </w:r>
          </w:p>
        </w:tc>
        <w:tc>
          <w:tcPr>
            <w:tcW w:w="1849" w:type="dxa"/>
          </w:tcPr>
          <w:p w14:paraId="37BBE9FE" w14:textId="77777777" w:rsidR="00474379" w:rsidRPr="00474379" w:rsidRDefault="00474379" w:rsidP="000E2EC9">
            <w:r w:rsidRPr="00474379">
              <w:t>9.750%</w:t>
            </w:r>
          </w:p>
        </w:tc>
      </w:tr>
      <w:tr w:rsidR="00474379" w:rsidRPr="00474379" w14:paraId="2CF0C603" w14:textId="77777777" w:rsidTr="00474379">
        <w:tc>
          <w:tcPr>
            <w:tcW w:w="1848" w:type="dxa"/>
          </w:tcPr>
          <w:p w14:paraId="6095F4CD" w14:textId="77777777" w:rsidR="00474379" w:rsidRPr="00474379" w:rsidRDefault="00474379" w:rsidP="000E2EC9">
            <w:r w:rsidRPr="00474379">
              <w:t>20</w:t>
            </w:r>
          </w:p>
        </w:tc>
        <w:tc>
          <w:tcPr>
            <w:tcW w:w="1848" w:type="dxa"/>
          </w:tcPr>
          <w:p w14:paraId="73DD3689" w14:textId="77777777" w:rsidR="00474379" w:rsidRPr="00474379" w:rsidRDefault="00474379" w:rsidP="000E2EC9">
            <w:r w:rsidRPr="00474379">
              <w:t>0.028%</w:t>
            </w:r>
          </w:p>
        </w:tc>
        <w:tc>
          <w:tcPr>
            <w:tcW w:w="1848" w:type="dxa"/>
          </w:tcPr>
          <w:p w14:paraId="08820C5A" w14:textId="77777777" w:rsidR="00474379" w:rsidRPr="00474379" w:rsidRDefault="00474379" w:rsidP="000E2EC9">
            <w:r w:rsidRPr="00474379">
              <w:t>0.578%</w:t>
            </w:r>
          </w:p>
        </w:tc>
        <w:tc>
          <w:tcPr>
            <w:tcW w:w="1849" w:type="dxa"/>
          </w:tcPr>
          <w:p w14:paraId="00207F70" w14:textId="77777777" w:rsidR="00474379" w:rsidRPr="00474379" w:rsidRDefault="00474379" w:rsidP="000E2EC9">
            <w:r w:rsidRPr="00474379">
              <w:t>0.157%</w:t>
            </w:r>
          </w:p>
        </w:tc>
        <w:tc>
          <w:tcPr>
            <w:tcW w:w="1849" w:type="dxa"/>
          </w:tcPr>
          <w:p w14:paraId="79C59BA3" w14:textId="77777777" w:rsidR="00474379" w:rsidRPr="00474379" w:rsidRDefault="00474379" w:rsidP="000E2EC9">
            <w:r w:rsidRPr="00474379">
              <w:t>3.392%</w:t>
            </w:r>
          </w:p>
        </w:tc>
      </w:tr>
      <w:tr w:rsidR="00474379" w:rsidRPr="00474379" w14:paraId="6F7BE368" w14:textId="77777777" w:rsidTr="00474379">
        <w:tc>
          <w:tcPr>
            <w:tcW w:w="1848" w:type="dxa"/>
          </w:tcPr>
          <w:p w14:paraId="2BE92474" w14:textId="77777777" w:rsidR="00474379" w:rsidRPr="00474379" w:rsidRDefault="00474379" w:rsidP="000E2EC9">
            <w:r w:rsidRPr="00474379">
              <w:t>30</w:t>
            </w:r>
          </w:p>
        </w:tc>
        <w:tc>
          <w:tcPr>
            <w:tcW w:w="1848" w:type="dxa"/>
          </w:tcPr>
          <w:p w14:paraId="2A2834EF" w14:textId="77777777" w:rsidR="00474379" w:rsidRPr="00474379" w:rsidRDefault="00474379" w:rsidP="000E2EC9">
            <w:r w:rsidRPr="00474379">
              <w:t>0.004%</w:t>
            </w:r>
          </w:p>
        </w:tc>
        <w:tc>
          <w:tcPr>
            <w:tcW w:w="1848" w:type="dxa"/>
          </w:tcPr>
          <w:p w14:paraId="6383708A" w14:textId="77777777" w:rsidR="00474379" w:rsidRPr="00474379" w:rsidRDefault="00474379" w:rsidP="000E2EC9">
            <w:r w:rsidRPr="00474379">
              <w:t>0.135%</w:t>
            </w:r>
          </w:p>
        </w:tc>
        <w:tc>
          <w:tcPr>
            <w:tcW w:w="1849" w:type="dxa"/>
          </w:tcPr>
          <w:p w14:paraId="4481556B" w14:textId="77777777" w:rsidR="00474379" w:rsidRPr="00474379" w:rsidRDefault="00474379" w:rsidP="000E2EC9">
            <w:r w:rsidRPr="00474379">
              <w:t>0.045%</w:t>
            </w:r>
          </w:p>
        </w:tc>
        <w:tc>
          <w:tcPr>
            <w:tcW w:w="1849" w:type="dxa"/>
          </w:tcPr>
          <w:p w14:paraId="30B6CA4E" w14:textId="77777777" w:rsidR="00474379" w:rsidRPr="00474379" w:rsidRDefault="00474379" w:rsidP="000E2EC9">
            <w:r w:rsidRPr="00474379">
              <w:t>0.699%</w:t>
            </w:r>
          </w:p>
        </w:tc>
      </w:tr>
      <w:tr w:rsidR="00474379" w:rsidRPr="00474379" w14:paraId="17A3FE25" w14:textId="77777777" w:rsidTr="00474379">
        <w:tc>
          <w:tcPr>
            <w:tcW w:w="1848" w:type="dxa"/>
          </w:tcPr>
          <w:p w14:paraId="7ECFFB26" w14:textId="77777777" w:rsidR="00474379" w:rsidRPr="00474379" w:rsidRDefault="00474379" w:rsidP="000E2EC9">
            <w:r w:rsidRPr="00474379">
              <w:t>40</w:t>
            </w:r>
          </w:p>
        </w:tc>
        <w:tc>
          <w:tcPr>
            <w:tcW w:w="1848" w:type="dxa"/>
          </w:tcPr>
          <w:p w14:paraId="0BE2D014" w14:textId="09598260" w:rsidR="00474379" w:rsidRPr="00474379" w:rsidRDefault="00474379" w:rsidP="000E2EC9"/>
        </w:tc>
        <w:tc>
          <w:tcPr>
            <w:tcW w:w="1848" w:type="dxa"/>
          </w:tcPr>
          <w:p w14:paraId="175538B4" w14:textId="77777777" w:rsidR="00474379" w:rsidRPr="00474379" w:rsidRDefault="00474379" w:rsidP="000E2EC9">
            <w:r w:rsidRPr="00474379">
              <w:t>0.008%</w:t>
            </w:r>
          </w:p>
        </w:tc>
        <w:tc>
          <w:tcPr>
            <w:tcW w:w="1849" w:type="dxa"/>
          </w:tcPr>
          <w:p w14:paraId="3B6D1607" w14:textId="77777777" w:rsidR="00474379" w:rsidRPr="00474379" w:rsidRDefault="00474379" w:rsidP="000E2EC9">
            <w:r w:rsidRPr="00474379">
              <w:t>0.005%</w:t>
            </w:r>
          </w:p>
        </w:tc>
        <w:tc>
          <w:tcPr>
            <w:tcW w:w="1849" w:type="dxa"/>
          </w:tcPr>
          <w:p w14:paraId="62F2CCB4" w14:textId="77777777" w:rsidR="00474379" w:rsidRPr="00474379" w:rsidRDefault="00474379" w:rsidP="000E2EC9">
            <w:r w:rsidRPr="00474379">
              <w:t>0.184%</w:t>
            </w:r>
          </w:p>
        </w:tc>
      </w:tr>
    </w:tbl>
    <w:p w14:paraId="65AF1946" w14:textId="77777777" w:rsidR="00DB6FCA" w:rsidRDefault="00DB6FCA" w:rsidP="004F274D"/>
    <w:p w14:paraId="3B8AF397" w14:textId="38851CD0" w:rsidR="001C52A3" w:rsidRDefault="001C52A3" w:rsidP="004F274D">
      <w:r>
        <w:t>Compared to the apartment scenario, the probability of nearby RLAN transmitters is reduced. However, even under the RKF deployment assumptions, there is still a significant amount of interference. The level of interference becomes prohibitive under the other assumptions, again showing the need for duty cycle limitations and transmit power control in the regulations.</w:t>
      </w:r>
    </w:p>
    <w:p w14:paraId="43D1DE08" w14:textId="4BABC3BD" w:rsidR="006C11A3" w:rsidRDefault="001F2F82" w:rsidP="001F2F82">
      <w:pPr>
        <w:pStyle w:val="Heading1"/>
      </w:pPr>
      <w:r>
        <w:t>Conclusions</w:t>
      </w:r>
    </w:p>
    <w:p w14:paraId="21CC72B7" w14:textId="431B5266" w:rsidR="001F2F82" w:rsidRDefault="001F2F82" w:rsidP="001F2F82">
      <w:pPr>
        <w:pStyle w:val="ListParagraph"/>
        <w:numPr>
          <w:ilvl w:val="0"/>
          <w:numId w:val="1"/>
        </w:numPr>
      </w:pPr>
      <w:r>
        <w:t>Lower power limits for the RLAN system</w:t>
      </w:r>
    </w:p>
    <w:p w14:paraId="0A34F836" w14:textId="12225521" w:rsidR="001F2F82" w:rsidRDefault="001F2F82" w:rsidP="001F2F82">
      <w:pPr>
        <w:pStyle w:val="ListParagraph"/>
        <w:numPr>
          <w:ilvl w:val="0"/>
          <w:numId w:val="1"/>
        </w:numPr>
      </w:pPr>
      <w:r>
        <w:t>Less bandwidth for the RLAN system</w:t>
      </w:r>
    </w:p>
    <w:p w14:paraId="4A287F1F" w14:textId="01416B70" w:rsidR="001F2F82" w:rsidRDefault="001F2F82" w:rsidP="001F2F82">
      <w:pPr>
        <w:pStyle w:val="ListParagraph"/>
        <w:numPr>
          <w:ilvl w:val="0"/>
          <w:numId w:val="1"/>
        </w:numPr>
      </w:pPr>
      <w:r>
        <w:t>Duty cycle limits for the RLAN system</w:t>
      </w:r>
      <w:r w:rsidR="00D900E4">
        <w:t>: 0.5% as proposed in RKF study.</w:t>
      </w:r>
    </w:p>
    <w:p w14:paraId="575F2E51" w14:textId="3E3611AB" w:rsidR="001F2F82" w:rsidRDefault="001F2F82" w:rsidP="001F2F82">
      <w:pPr>
        <w:pStyle w:val="ListParagraph"/>
        <w:numPr>
          <w:ilvl w:val="0"/>
          <w:numId w:val="1"/>
        </w:numPr>
      </w:pPr>
      <w:r>
        <w:t>Transmit power control for the RLAN system</w:t>
      </w:r>
      <w:r w:rsidR="00D900E4">
        <w:t xml:space="preserve">: </w:t>
      </w:r>
      <w:r w:rsidR="002A0638">
        <w:t>again at most as proposed in the RKF study</w:t>
      </w:r>
    </w:p>
    <w:p w14:paraId="3B50A6E3" w14:textId="4914761D" w:rsidR="00B365DC" w:rsidRDefault="00B365DC" w:rsidP="00B365DC"/>
    <w:p w14:paraId="31041CAA" w14:textId="1DB1BAF4" w:rsidR="00B365DC" w:rsidRDefault="00B365DC" w:rsidP="00B365DC">
      <w:pPr>
        <w:pStyle w:val="Heading1"/>
      </w:pPr>
      <w:r>
        <w:t>Extra</w:t>
      </w:r>
    </w:p>
    <w:p w14:paraId="465DECAB" w14:textId="458D7381" w:rsidR="00B365DC" w:rsidRDefault="00B365DC" w:rsidP="00B365DC">
      <w:r>
        <w:t>Figures with limits from SE45, those that correspond to 3 dB sensitivity reduction (-65 dBm for 1 GHz and -78 dBm for 500 MHz UWB bandwidth)</w:t>
      </w:r>
    </w:p>
    <w:p w14:paraId="5E9504FC" w14:textId="49F9A7B6" w:rsidR="00B365DC" w:rsidRDefault="00B365DC" w:rsidP="00B365DC">
      <w:r w:rsidRPr="00B365DC">
        <w:rPr>
          <w:noProof/>
          <w:lang w:val="en-US"/>
        </w:rPr>
        <w:drawing>
          <wp:inline distT="0" distB="0" distL="0" distR="0" wp14:anchorId="3788ED8F" wp14:editId="660289A7">
            <wp:extent cx="5324475" cy="399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4475" cy="3990975"/>
                    </a:xfrm>
                    <a:prstGeom prst="rect">
                      <a:avLst/>
                    </a:prstGeom>
                    <a:noFill/>
                    <a:ln>
                      <a:noFill/>
                    </a:ln>
                  </pic:spPr>
                </pic:pic>
              </a:graphicData>
            </a:graphic>
          </wp:inline>
        </w:drawing>
      </w:r>
    </w:p>
    <w:p w14:paraId="09A3CA23" w14:textId="150F92F0" w:rsidR="00B365DC" w:rsidRDefault="00B365DC" w:rsidP="00B365DC">
      <w:r w:rsidRPr="00B365DC">
        <w:rPr>
          <w:noProof/>
          <w:lang w:val="en-US"/>
        </w:rPr>
        <w:drawing>
          <wp:inline distT="0" distB="0" distL="0" distR="0" wp14:anchorId="3B198F09" wp14:editId="23DA9EEC">
            <wp:extent cx="5324475" cy="3990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4475" cy="3990975"/>
                    </a:xfrm>
                    <a:prstGeom prst="rect">
                      <a:avLst/>
                    </a:prstGeom>
                    <a:noFill/>
                    <a:ln>
                      <a:noFill/>
                    </a:ln>
                  </pic:spPr>
                </pic:pic>
              </a:graphicData>
            </a:graphic>
          </wp:inline>
        </w:drawing>
      </w:r>
    </w:p>
    <w:p w14:paraId="251CAB73" w14:textId="77777777" w:rsidR="00B365DC" w:rsidRPr="00B365DC" w:rsidRDefault="00B365DC" w:rsidP="00B365DC"/>
    <w:sectPr w:rsidR="00B365DC" w:rsidRPr="00B365DC" w:rsidSect="00D77063">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9ECD2" w14:textId="77777777" w:rsidR="00F74C65" w:rsidRDefault="00F74C65" w:rsidP="00F74C65">
      <w:pPr>
        <w:spacing w:after="0" w:line="240" w:lineRule="auto"/>
      </w:pPr>
      <w:r>
        <w:separator/>
      </w:r>
    </w:p>
  </w:endnote>
  <w:endnote w:type="continuationSeparator" w:id="0">
    <w:p w14:paraId="61D8D4C5" w14:textId="77777777" w:rsidR="00F74C65" w:rsidRDefault="00F74C65" w:rsidP="00F74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7293C" w14:textId="3D90C504" w:rsidR="00F74C65" w:rsidRDefault="00F74C65" w:rsidP="00F74C65">
    <w:pPr>
      <w:pStyle w:val="Footer"/>
      <w:pBdr>
        <w:top w:val="single" w:sz="4" w:space="1" w:color="auto"/>
      </w:pBdr>
    </w:pPr>
    <w:r>
      <w:t xml:space="preserve">Submission </w:t>
    </w:r>
    <w:r>
      <w:tab/>
    </w:r>
    <w:sdt>
      <w:sdtPr>
        <w:id w:val="3049032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41387">
          <w:rPr>
            <w:noProof/>
          </w:rPr>
          <w:t>9</w:t>
        </w:r>
        <w:r>
          <w:rPr>
            <w:noProof/>
          </w:rPr>
          <w:fldChar w:fldCharType="end"/>
        </w:r>
        <w:r>
          <w:rPr>
            <w:noProof/>
          </w:rPr>
          <w:tab/>
        </w:r>
        <w:proofErr w:type="spellStart"/>
        <w:r w:rsidRPr="00F74C65">
          <w:t>Neirynck</w:t>
        </w:r>
        <w:proofErr w:type="spellEnd"/>
        <w:r w:rsidRPr="00F74C65">
          <w:t xml:space="preserve"> (</w:t>
        </w:r>
        <w:proofErr w:type="spellStart"/>
        <w:r w:rsidRPr="00F74C65">
          <w:t>Decawave</w:t>
        </w:r>
        <w:proofErr w:type="spellEnd"/>
        <w:r w:rsidRPr="00F74C65">
          <w:t>)</w:t>
        </w:r>
      </w:sdtContent>
    </w:sdt>
  </w:p>
  <w:p w14:paraId="6A95ED8D" w14:textId="55D376F3" w:rsidR="00F74C65" w:rsidRDefault="00F74C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F070C" w14:textId="77777777" w:rsidR="00F74C65" w:rsidRDefault="00F74C65" w:rsidP="00F74C65">
      <w:pPr>
        <w:spacing w:after="0" w:line="240" w:lineRule="auto"/>
      </w:pPr>
      <w:r>
        <w:separator/>
      </w:r>
    </w:p>
  </w:footnote>
  <w:footnote w:type="continuationSeparator" w:id="0">
    <w:p w14:paraId="0CE818FE" w14:textId="77777777" w:rsidR="00F74C65" w:rsidRDefault="00F74C65" w:rsidP="00F74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14830" w14:textId="392C20E0" w:rsidR="00F74C65" w:rsidRPr="00F74C65" w:rsidRDefault="00F74C65" w:rsidP="00F74C65">
    <w:pPr>
      <w:pStyle w:val="Header"/>
    </w:pPr>
    <w:r>
      <w:t>March 2019</w:t>
    </w:r>
    <w:r>
      <w:tab/>
    </w:r>
    <w:r>
      <w:tab/>
      <w:t>IEEE P802.</w:t>
    </w:r>
    <w:r w:rsidRPr="00F74C65">
      <w:t>15-19-0143-00-004z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1A4C1E"/>
    <w:multiLevelType w:val="hybridMultilevel"/>
    <w:tmpl w:val="BB52E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4B49"/>
    <w:rsid w:val="00015C87"/>
    <w:rsid w:val="000F4034"/>
    <w:rsid w:val="00113BC1"/>
    <w:rsid w:val="00130F06"/>
    <w:rsid w:val="001C52A3"/>
    <w:rsid w:val="001F2F82"/>
    <w:rsid w:val="00214B49"/>
    <w:rsid w:val="002874CE"/>
    <w:rsid w:val="002A0638"/>
    <w:rsid w:val="002D32D6"/>
    <w:rsid w:val="003B2445"/>
    <w:rsid w:val="003E0C7C"/>
    <w:rsid w:val="00455185"/>
    <w:rsid w:val="00474379"/>
    <w:rsid w:val="004A7CA3"/>
    <w:rsid w:val="004F274D"/>
    <w:rsid w:val="00594BA8"/>
    <w:rsid w:val="00604945"/>
    <w:rsid w:val="00677F08"/>
    <w:rsid w:val="006C11A3"/>
    <w:rsid w:val="007104CF"/>
    <w:rsid w:val="00731399"/>
    <w:rsid w:val="00743455"/>
    <w:rsid w:val="008750ED"/>
    <w:rsid w:val="008A37A3"/>
    <w:rsid w:val="009F65D2"/>
    <w:rsid w:val="00A60C83"/>
    <w:rsid w:val="00AA36E1"/>
    <w:rsid w:val="00AB66FD"/>
    <w:rsid w:val="00AC6B91"/>
    <w:rsid w:val="00B365DC"/>
    <w:rsid w:val="00B41387"/>
    <w:rsid w:val="00C34941"/>
    <w:rsid w:val="00C46EDA"/>
    <w:rsid w:val="00D6071E"/>
    <w:rsid w:val="00D77063"/>
    <w:rsid w:val="00D900E4"/>
    <w:rsid w:val="00DB6FCA"/>
    <w:rsid w:val="00E43454"/>
    <w:rsid w:val="00F74C65"/>
    <w:rsid w:val="00FA7B52"/>
    <w:rsid w:val="00FB4A83"/>
    <w:rsid w:val="00FC7C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8D8AE"/>
  <w15:docId w15:val="{478205D5-5503-4FCA-A633-9F2BF712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063"/>
  </w:style>
  <w:style w:type="paragraph" w:styleId="Heading1">
    <w:name w:val="heading 1"/>
    <w:basedOn w:val="Normal"/>
    <w:next w:val="Normal"/>
    <w:link w:val="Heading1Char"/>
    <w:uiPriority w:val="9"/>
    <w:qFormat/>
    <w:rsid w:val="002D32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51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50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ECC Hyperlink,CEO_Hyperlink,超级链接"/>
    <w:basedOn w:val="DefaultParagraphFont"/>
    <w:uiPriority w:val="99"/>
    <w:unhideWhenUsed/>
    <w:qFormat/>
    <w:rsid w:val="00214B49"/>
    <w:rPr>
      <w:color w:val="0000FF" w:themeColor="hyperlink"/>
      <w:u w:val="single"/>
    </w:rPr>
  </w:style>
  <w:style w:type="table" w:styleId="TableGrid">
    <w:name w:val="Table Grid"/>
    <w:basedOn w:val="TableNormal"/>
    <w:uiPriority w:val="39"/>
    <w:rsid w:val="00A60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D32D6"/>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2D32D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D32D6"/>
    <w:rPr>
      <w:rFonts w:ascii="Tahoma" w:hAnsi="Tahoma" w:cs="Tahoma"/>
      <w:sz w:val="16"/>
      <w:szCs w:val="16"/>
    </w:rPr>
  </w:style>
  <w:style w:type="character" w:customStyle="1" w:styleId="Heading2Char">
    <w:name w:val="Heading 2 Char"/>
    <w:basedOn w:val="DefaultParagraphFont"/>
    <w:link w:val="Heading2"/>
    <w:uiPriority w:val="9"/>
    <w:rsid w:val="0045518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F2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74D"/>
    <w:rPr>
      <w:rFonts w:ascii="Tahoma" w:hAnsi="Tahoma" w:cs="Tahoma"/>
      <w:sz w:val="16"/>
      <w:szCs w:val="16"/>
    </w:rPr>
  </w:style>
  <w:style w:type="character" w:styleId="CommentReference">
    <w:name w:val="annotation reference"/>
    <w:basedOn w:val="DefaultParagraphFont"/>
    <w:uiPriority w:val="99"/>
    <w:semiHidden/>
    <w:unhideWhenUsed/>
    <w:rsid w:val="004F274D"/>
    <w:rPr>
      <w:sz w:val="16"/>
      <w:szCs w:val="16"/>
    </w:rPr>
  </w:style>
  <w:style w:type="paragraph" w:styleId="CommentText">
    <w:name w:val="annotation text"/>
    <w:basedOn w:val="Normal"/>
    <w:link w:val="CommentTextChar"/>
    <w:uiPriority w:val="99"/>
    <w:semiHidden/>
    <w:unhideWhenUsed/>
    <w:rsid w:val="004F274D"/>
    <w:pPr>
      <w:spacing w:line="240" w:lineRule="auto"/>
    </w:pPr>
    <w:rPr>
      <w:sz w:val="20"/>
      <w:szCs w:val="20"/>
    </w:rPr>
  </w:style>
  <w:style w:type="character" w:customStyle="1" w:styleId="CommentTextChar">
    <w:name w:val="Comment Text Char"/>
    <w:basedOn w:val="DefaultParagraphFont"/>
    <w:link w:val="CommentText"/>
    <w:uiPriority w:val="99"/>
    <w:semiHidden/>
    <w:rsid w:val="004F274D"/>
    <w:rPr>
      <w:sz w:val="20"/>
      <w:szCs w:val="20"/>
    </w:rPr>
  </w:style>
  <w:style w:type="paragraph" w:styleId="CommentSubject">
    <w:name w:val="annotation subject"/>
    <w:basedOn w:val="CommentText"/>
    <w:next w:val="CommentText"/>
    <w:link w:val="CommentSubjectChar"/>
    <w:uiPriority w:val="99"/>
    <w:semiHidden/>
    <w:unhideWhenUsed/>
    <w:rsid w:val="004F274D"/>
    <w:rPr>
      <w:b/>
      <w:bCs/>
    </w:rPr>
  </w:style>
  <w:style w:type="character" w:customStyle="1" w:styleId="CommentSubjectChar">
    <w:name w:val="Comment Subject Char"/>
    <w:basedOn w:val="CommentTextChar"/>
    <w:link w:val="CommentSubject"/>
    <w:uiPriority w:val="99"/>
    <w:semiHidden/>
    <w:rsid w:val="004F274D"/>
    <w:rPr>
      <w:b/>
      <w:bCs/>
      <w:sz w:val="20"/>
      <w:szCs w:val="20"/>
    </w:rPr>
  </w:style>
  <w:style w:type="paragraph" w:styleId="ListParagraph">
    <w:name w:val="List Paragraph"/>
    <w:basedOn w:val="Normal"/>
    <w:uiPriority w:val="34"/>
    <w:qFormat/>
    <w:rsid w:val="001F2F82"/>
    <w:pPr>
      <w:ind w:left="720"/>
      <w:contextualSpacing/>
    </w:pPr>
  </w:style>
  <w:style w:type="character" w:customStyle="1" w:styleId="Heading3Char">
    <w:name w:val="Heading 3 Char"/>
    <w:basedOn w:val="DefaultParagraphFont"/>
    <w:link w:val="Heading3"/>
    <w:uiPriority w:val="9"/>
    <w:rsid w:val="008750ED"/>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iPriority w:val="35"/>
    <w:unhideWhenUsed/>
    <w:qFormat/>
    <w:rsid w:val="004A7CA3"/>
    <w:pPr>
      <w:spacing w:line="240" w:lineRule="auto"/>
    </w:pPr>
    <w:rPr>
      <w:i/>
      <w:iCs/>
      <w:color w:val="1F497D" w:themeColor="text2"/>
      <w:sz w:val="18"/>
      <w:szCs w:val="18"/>
    </w:rPr>
  </w:style>
  <w:style w:type="paragraph" w:customStyle="1" w:styleId="covertext">
    <w:name w:val="cover text"/>
    <w:basedOn w:val="Normal"/>
    <w:rsid w:val="00F74C65"/>
    <w:pPr>
      <w:spacing w:before="120" w:after="12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74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C65"/>
  </w:style>
  <w:style w:type="paragraph" w:styleId="Footer">
    <w:name w:val="footer"/>
    <w:basedOn w:val="Normal"/>
    <w:link w:val="FooterChar"/>
    <w:uiPriority w:val="99"/>
    <w:unhideWhenUsed/>
    <w:rsid w:val="00F74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7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3.amazonaws.com/rkfengineering-web/6USC+Report+Release+-+24Jan2018.pdf"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london.gov.uk/dataset/london-borough-profil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F8027-67D1-441F-B5DC-4BB646CAB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1936</Words>
  <Characters>11040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Dries</dc:creator>
  <dc:description>15-19-0143-00-004z</dc:description>
  <cp:lastModifiedBy>Benjamin Rolfe</cp:lastModifiedBy>
  <cp:revision>2</cp:revision>
  <dcterms:created xsi:type="dcterms:W3CDTF">2019-03-14T15:39:00Z</dcterms:created>
  <dcterms:modified xsi:type="dcterms:W3CDTF">2019-03-14T15:39:00Z</dcterms:modified>
</cp:coreProperties>
</file>