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09" w:type="dxa"/>
        <w:tblBorders>
          <w:top w:val="single" w:sz="6" w:space="0" w:color="00000A"/>
        </w:tblBorders>
        <w:tblCellMar>
          <w:top w:w="0" w:type="dxa"/>
          <w:left w:w="108" w:type="dxa"/>
          <w:bottom w:w="0" w:type="dxa"/>
          <w:right w:w="108" w:type="dxa"/>
        </w:tblCellMar>
        <w:tblLook w:val="0000" w:noVBand="0" w:noHBand="0" w:lastColumn="0" w:firstColumn="0" w:lastRow="0" w:firstRow="0"/>
      </w:tblPr>
      <w:tblGrid>
        <w:gridCol w:w="1260"/>
        <w:gridCol w:w="4050"/>
        <w:gridCol w:w="2880"/>
      </w:tblGrid>
      <w:tr>
        <w:trPr/>
        <w:tc>
          <w:tcPr>
            <w:tcW w:w="1260" w:type="dxa"/>
            <w:tcBorders>
              <w:top w:val="single" w:sz="6" w:space="0" w:color="00000A"/>
            </w:tcBorders>
            <w:shd w:fill="auto" w:val="clear"/>
          </w:tcPr>
          <w:p>
            <w:pPr>
              <w:pStyle w:val="Covertext"/>
              <w:spacing w:before="120" w:after="120"/>
              <w:rPr/>
            </w:pPr>
            <w:r>
              <w:rPr/>
              <w:t>Project</w:t>
            </w:r>
          </w:p>
        </w:tc>
        <w:tc>
          <w:tcPr>
            <w:tcW w:w="6930" w:type="dxa"/>
            <w:gridSpan w:val="2"/>
            <w:tcBorders>
              <w:top w:val="single" w:sz="6" w:space="0" w:color="00000A"/>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A"/>
            </w:tcBorders>
            <w:shd w:fill="auto" w:val="clear"/>
          </w:tcPr>
          <w:p>
            <w:pPr>
              <w:pStyle w:val="Covertext"/>
              <w:spacing w:before="120" w:after="120"/>
              <w:rPr/>
            </w:pPr>
            <w:r>
              <w:rPr/>
              <w:t>Title</w:t>
            </w:r>
          </w:p>
        </w:tc>
        <w:tc>
          <w:tcPr>
            <w:tcW w:w="6930" w:type="dxa"/>
            <w:gridSpan w:val="2"/>
            <w:tcBorders>
              <w:top w:val="single" w:sz="6" w:space="0" w:color="00000A"/>
            </w:tcBorders>
            <w:shd w:fill="auto" w:val="clear"/>
          </w:tcPr>
          <w:p>
            <w:pPr>
              <w:pStyle w:val="Covertext"/>
              <w:spacing w:before="120" w:after="120"/>
              <w:rPr/>
            </w:pPr>
            <w:r>
              <w:rPr>
                <w:b/>
                <w:sz w:val="28"/>
              </w:rPr>
              <w:fldChar w:fldCharType="begin"/>
            </w:r>
            <w:r>
              <w:instrText> TITLE </w:instrText>
            </w:r>
            <w:r>
              <w:fldChar w:fldCharType="separate"/>
            </w:r>
            <w:r>
              <w:t>IEEE 802.15.9rev Draft CSD</w:t>
            </w:r>
            <w:r>
              <w:fldChar w:fldCharType="end"/>
            </w:r>
          </w:p>
        </w:tc>
      </w:tr>
      <w:tr>
        <w:trPr/>
        <w:tc>
          <w:tcPr>
            <w:tcW w:w="1260" w:type="dxa"/>
            <w:tcBorders>
              <w:top w:val="single" w:sz="6" w:space="0" w:color="00000A"/>
            </w:tcBorders>
            <w:shd w:fill="auto" w:val="clear"/>
          </w:tcPr>
          <w:p>
            <w:pPr>
              <w:pStyle w:val="Covertext"/>
              <w:spacing w:before="120" w:after="120"/>
              <w:rPr/>
            </w:pPr>
            <w:r>
              <w:rPr/>
              <w:t>Date Submitted</w:t>
            </w:r>
          </w:p>
        </w:tc>
        <w:tc>
          <w:tcPr>
            <w:tcW w:w="6930" w:type="dxa"/>
            <w:gridSpan w:val="2"/>
            <w:tcBorders>
              <w:top w:val="single" w:sz="6" w:space="0" w:color="00000A"/>
            </w:tcBorders>
            <w:shd w:fill="auto" w:val="clear"/>
          </w:tcPr>
          <w:p>
            <w:pPr>
              <w:pStyle w:val="Covertext"/>
              <w:spacing w:before="120" w:after="120"/>
              <w:rPr/>
            </w:pPr>
            <w:r>
              <w:rPr/>
              <w:t>[</w:t>
            </w:r>
            <w:r>
              <w:rPr/>
              <w:t>13</w:t>
            </w:r>
            <w:r>
              <w:rPr/>
              <w:t xml:space="preserve"> </w:t>
            </w:r>
            <w:r>
              <w:rPr/>
              <w:t>March</w:t>
            </w:r>
            <w:r>
              <w:rPr/>
              <w:t xml:space="preserve"> 2019]</w:t>
            </w:r>
          </w:p>
        </w:tc>
      </w:tr>
      <w:tr>
        <w:trPr/>
        <w:tc>
          <w:tcPr>
            <w:tcW w:w="1260" w:type="dxa"/>
            <w:tcBorders>
              <w:top w:val="single" w:sz="4" w:space="0" w:color="00000A"/>
              <w:bottom w:val="single" w:sz="4" w:space="0" w:color="00000A"/>
              <w:insideH w:val="single" w:sz="4" w:space="0" w:color="00000A"/>
            </w:tcBorders>
            <w:shd w:fill="auto" w:val="clear"/>
          </w:tcPr>
          <w:p>
            <w:pPr>
              <w:pStyle w:val="Covertext"/>
              <w:spacing w:before="120" w:after="120"/>
              <w:rPr/>
            </w:pPr>
            <w:r>
              <w:rPr/>
              <w:t>Source</w:t>
            </w:r>
          </w:p>
        </w:tc>
        <w:tc>
          <w:tcPr>
            <w:tcW w:w="4050" w:type="dxa"/>
            <w:tcBorders>
              <w:top w:val="single" w:sz="4" w:space="0" w:color="00000A"/>
              <w:bottom w:val="single" w:sz="4" w:space="0" w:color="00000A"/>
              <w:insideH w:val="single" w:sz="4" w:space="0" w:color="00000A"/>
            </w:tcBorders>
            <w:shd w:fill="auto" w:val="clear"/>
          </w:tcPr>
          <w:p>
            <w:pPr>
              <w:pStyle w:val="Covertext"/>
              <w:spacing w:before="0" w:after="0"/>
              <w:rPr/>
            </w:pPr>
            <w:r>
              <w:rPr/>
              <w:t>[</w:t>
            </w:r>
            <w:r>
              <w:rPr/>
              <w:t>Tero Kivinen</w:t>
            </w:r>
            <w:r>
              <w:rPr/>
              <w:t>]</w:t>
              <w:br/>
              <w:t>[]</w:t>
              <w:br/>
              <w:t>[]</w:t>
            </w:r>
          </w:p>
        </w:tc>
        <w:tc>
          <w:tcPr>
            <w:tcW w:w="2880" w:type="dxa"/>
            <w:tcBorders>
              <w:top w:val="single" w:sz="4" w:space="0" w:color="00000A"/>
              <w:bottom w:val="single" w:sz="4" w:space="0" w:color="00000A"/>
              <w:insideH w:val="single" w:sz="4" w:space="0" w:color="00000A"/>
            </w:tcBorders>
            <w:shd w:fill="auto" w:val="clear"/>
          </w:tcPr>
          <w:p>
            <w:pPr>
              <w:pStyle w:val="Covertext"/>
              <w:tabs>
                <w:tab w:val="left" w:pos="1152" w:leader="none"/>
              </w:tabs>
              <w:spacing w:before="0" w:after="0"/>
              <w:rPr/>
            </w:pPr>
            <w:r>
              <w:rPr/>
              <w:t>Voice:</w:t>
              <w:tab/>
              <w:t>[   ]</w:t>
              <w:br/>
              <w:t>Fax:</w:t>
              <w:tab/>
              <w:t>[   ]</w:t>
              <w:br/>
              <w:t>E-mail:</w:t>
              <w:tab/>
              <w:t>[   ]</w:t>
            </w:r>
          </w:p>
        </w:tc>
      </w:tr>
      <w:tr>
        <w:trPr/>
        <w:tc>
          <w:tcPr>
            <w:tcW w:w="1260" w:type="dxa"/>
            <w:tcBorders>
              <w:top w:val="single" w:sz="6" w:space="0" w:color="00000A"/>
            </w:tcBorders>
            <w:shd w:fill="auto" w:val="clear"/>
          </w:tcPr>
          <w:p>
            <w:pPr>
              <w:pStyle w:val="Covertext"/>
              <w:spacing w:before="120" w:after="120"/>
              <w:rPr/>
            </w:pPr>
            <w:r>
              <w:rPr/>
              <w:t>Re:</w:t>
            </w:r>
          </w:p>
        </w:tc>
        <w:tc>
          <w:tcPr>
            <w:tcW w:w="6930" w:type="dxa"/>
            <w:gridSpan w:val="2"/>
            <w:tcBorders>
              <w:top w:val="single" w:sz="6" w:space="0" w:color="00000A"/>
            </w:tcBorders>
            <w:shd w:fill="auto" w:val="clear"/>
          </w:tcPr>
          <w:p>
            <w:pPr>
              <w:pStyle w:val="Covertext"/>
              <w:spacing w:before="120" w:after="120"/>
              <w:rPr/>
            </w:pPr>
            <w:r>
              <w:rPr/>
            </w:r>
          </w:p>
        </w:tc>
      </w:tr>
      <w:tr>
        <w:trPr>
          <w:trHeight w:val="660" w:hRule="atLeast"/>
        </w:trPr>
        <w:tc>
          <w:tcPr>
            <w:tcW w:w="1260" w:type="dxa"/>
            <w:tcBorders>
              <w:top w:val="single" w:sz="6" w:space="0" w:color="00000A"/>
            </w:tcBorders>
            <w:shd w:fill="auto" w:val="clear"/>
          </w:tcPr>
          <w:p>
            <w:pPr>
              <w:pStyle w:val="Covertext"/>
              <w:spacing w:before="120" w:after="120"/>
              <w:rPr/>
            </w:pPr>
            <w:r>
              <w:rPr/>
              <w:t>Abstract</w:t>
            </w:r>
          </w:p>
        </w:tc>
        <w:tc>
          <w:tcPr>
            <w:tcW w:w="6930" w:type="dxa"/>
            <w:gridSpan w:val="2"/>
            <w:tcBorders>
              <w:top w:val="single" w:sz="6" w:space="0" w:color="00000A"/>
            </w:tcBorders>
            <w:shd w:fill="auto" w:val="clear"/>
          </w:tcPr>
          <w:p>
            <w:pPr>
              <w:pStyle w:val="Covertext"/>
              <w:spacing w:before="120" w:after="120"/>
              <w:rPr/>
            </w:pPr>
            <w:r>
              <w:rPr/>
              <w:t xml:space="preserve">[CSD for 802.15.9 </w:t>
            </w:r>
            <w:r>
              <w:rPr/>
              <w:t>revision</w:t>
            </w:r>
            <w:r>
              <w:rPr/>
              <w:t>]</w:t>
            </w:r>
          </w:p>
          <w:p>
            <w:pPr>
              <w:pStyle w:val="Covertext"/>
              <w:spacing w:before="120" w:after="120"/>
              <w:rPr/>
            </w:pPr>
            <w:r>
              <w:rPr/>
            </w:r>
          </w:p>
        </w:tc>
      </w:tr>
      <w:tr>
        <w:trPr/>
        <w:tc>
          <w:tcPr>
            <w:tcW w:w="1260" w:type="dxa"/>
            <w:tcBorders>
              <w:top w:val="single" w:sz="6" w:space="0" w:color="00000A"/>
            </w:tcBorders>
            <w:shd w:fill="auto" w:val="clear"/>
          </w:tcPr>
          <w:p>
            <w:pPr>
              <w:pStyle w:val="Covertext"/>
              <w:spacing w:before="120" w:after="120"/>
              <w:rPr/>
            </w:pPr>
            <w:r>
              <w:rPr/>
              <w:t>Purpose</w:t>
            </w:r>
          </w:p>
        </w:tc>
        <w:tc>
          <w:tcPr>
            <w:tcW w:w="6930" w:type="dxa"/>
            <w:gridSpan w:val="2"/>
            <w:tcBorders>
              <w:top w:val="single" w:sz="6" w:space="0" w:color="00000A"/>
            </w:tcBorders>
            <w:shd w:fill="auto" w:val="clear"/>
          </w:tcPr>
          <w:p>
            <w:pPr>
              <w:pStyle w:val="Covertext"/>
              <w:spacing w:before="120" w:after="120"/>
              <w:rPr/>
            </w:pPr>
            <w:r>
              <w:rPr/>
              <w:t xml:space="preserve">[CSD for 802.15.9 </w:t>
            </w:r>
            <w:r>
              <w:rPr/>
              <w:t>revision</w:t>
            </w:r>
            <w:r>
              <w:rPr/>
              <w:t>]</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Notice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Release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240" w:charSpace="4294961151"/>
        </w:sectPr>
      </w:pP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0" w:name="RevisionDate"/>
      <w:r>
        <w:rPr>
          <w:szCs w:val="24"/>
        </w:rPr>
        <w:t>201</w:t>
      </w:r>
      <w:bookmarkEnd w:id="0"/>
      <w:r>
        <w:rPr>
          <w:szCs w:val="24"/>
        </w:rPr>
        <w:t xml:space="preserve">5 </w:t>
      </w:r>
    </w:p>
    <w:p>
      <w:pPr>
        <w:pStyle w:val="Normal"/>
        <w:jc w:val="center"/>
        <w:rPr>
          <w:szCs w:val="24"/>
        </w:rPr>
      </w:pPr>
      <w:r>
        <w:rPr>
          <w:szCs w:val="24"/>
        </w:rPr>
      </w:r>
    </w:p>
    <w:p>
      <w:pPr>
        <w:pStyle w:val="Normal"/>
        <w:tabs>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pPr>
      <w:r>
        <w:rPr>
          <w:rFonts w:ascii="Verdana" w:hAnsi="Verdana"/>
          <w:color w:val="FF0000"/>
          <w:sz w:val="28"/>
          <w:szCs w:val="28"/>
          <w:shd w:fill="FFFFFF" w:val="clear"/>
        </w:rPr>
        <w:t>Transport of Key Management Protocol (KMP)</w:t>
      </w:r>
      <w:r>
        <w:rPr>
          <w:rFonts w:ascii="Verdana" w:hAnsi="Verdana"/>
          <w:color w:val="FF0000"/>
          <w:sz w:val="28"/>
          <w:szCs w:val="28"/>
          <w:shd w:fill="FFFFFF" w:val="clear"/>
        </w:rPr>
        <w:t xml:space="preserve"> </w:t>
      </w:r>
      <w:r>
        <w:rPr>
          <w:rFonts w:ascii="Verdana" w:hAnsi="Verdana"/>
          <w:color w:val="FF0000"/>
          <w:sz w:val="28"/>
          <w:szCs w:val="28"/>
          <w:shd w:fill="FFFFFF" w:val="clear"/>
        </w:rPr>
        <w:t>IEEE Std 802.15.9 revision</w:t>
      </w:r>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color w:val="00000A"/>
          <w:sz w:val="23"/>
          <w:szCs w:val="23"/>
        </w:rPr>
        <w:fldChar w:fldCharType="begin"/>
      </w:r>
      <w:r>
        <w:instrText> REF __RefHeading__5867_1944447809 \w \h </w:instrText>
      </w:r>
      <w:r>
        <w:fldChar w:fldCharType="separate"/>
      </w:r>
      <w:r>
        <w:t>1.1</w:t>
      </w:r>
      <w:r>
        <w:fldChar w:fldCharType="end"/>
      </w:r>
      <w:r>
        <w:rPr>
          <w:color w:val="00000A"/>
          <w:sz w:val="23"/>
          <w:szCs w:val="23"/>
        </w:rPr>
        <w:t xml:space="preserve">, and the 5C requirements, </w:t>
      </w:r>
      <w:r>
        <w:rPr>
          <w:color w:val="00000A"/>
          <w:sz w:val="23"/>
          <w:szCs w:val="23"/>
        </w:rPr>
        <w:fldChar w:fldCharType="begin"/>
      </w:r>
      <w:r>
        <w:instrText> REF __RefHeading__5883_1944447809 \w \h </w:instrText>
      </w:r>
      <w:r>
        <w:fldChar w:fldCharType="separate"/>
      </w:r>
      <w:r>
        <w:t>1.2</w:t>
      </w:r>
      <w: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tabs>
          <w:tab w:val="left" w:pos="0" w:leader="none"/>
          <w:tab w:val="left" w:pos="720" w:leader="none"/>
        </w:tabs>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Pr>
          <w:color w:val="FF0000"/>
          <w:sz w:val="23"/>
          <w:szCs w:val="23"/>
          <w:lang w:eastAsia="ja-JP"/>
        </w:rPr>
        <w:t>No</w:t>
      </w:r>
    </w:p>
    <w:p>
      <w:pPr>
        <w:pStyle w:val="LetteredList1"/>
        <w:numPr>
          <w:ilvl w:val="0"/>
          <w:numId w:val="3"/>
        </w:numPr>
        <w:tabs>
          <w:tab w:val="left" w:pos="0" w:leader="none"/>
          <w:tab w:val="left" w:pos="720" w:leader="none"/>
        </w:tabs>
        <w:ind w:left="720" w:hanging="360"/>
        <w:rPr/>
      </w:pPr>
      <w:r>
        <w:rPr>
          <w:sz w:val="23"/>
          <w:szCs w:val="23"/>
        </w:rPr>
        <w:t>If not, explain why the CA document is not applicable.</w:t>
      </w:r>
      <w:r>
        <w:rPr>
          <w:sz w:val="23"/>
          <w:szCs w:val="23"/>
          <w:lang w:eastAsia="ja-JP"/>
        </w:rPr>
        <w:t xml:space="preserve">  </w:t>
      </w:r>
      <w:r>
        <w:rPr>
          <w:color w:val="FF0000"/>
          <w:sz w:val="23"/>
          <w:szCs w:val="23"/>
          <w:lang w:eastAsia="ja-JP"/>
        </w:rPr>
        <w:t xml:space="preserve">This project </w:t>
      </w:r>
      <w:r>
        <w:rPr>
          <w:color w:val="FF0000"/>
          <w:sz w:val="23"/>
          <w:szCs w:val="23"/>
          <w:lang w:eastAsia="ja-JP"/>
        </w:rPr>
        <w:t xml:space="preserve">is a revision of </w:t>
      </w:r>
      <w:r>
        <w:rPr>
          <w:color w:val="FF0000"/>
          <w:sz w:val="23"/>
          <w:szCs w:val="23"/>
          <w:lang w:eastAsia="ja-JP"/>
        </w:rPr>
        <w:t xml:space="preserve">the IEEE Std 802.15.9 Key Management Protocol </w:t>
      </w:r>
      <w:r>
        <w:rPr>
          <w:color w:val="FF0000"/>
          <w:sz w:val="23"/>
          <w:szCs w:val="23"/>
          <w:lang w:eastAsia="ja-JP"/>
        </w:rPr>
        <w:t xml:space="preserve">to change it from Recommended Practice to Standard and to </w:t>
      </w:r>
      <w:r>
        <w:rPr>
          <w:color w:val="FF0000"/>
          <w:sz w:val="23"/>
          <w:szCs w:val="23"/>
          <w:lang w:eastAsia="ja-JP"/>
        </w:rPr>
        <w:t>to clarify session key generation for keys of 128 bit and 256 bit lengths, broadcast/multicast key creation and security algorithm selection.</w:t>
      </w:r>
    </w:p>
    <w:p>
      <w:pPr>
        <w:pStyle w:val="Heading2"/>
        <w:numPr>
          <w:ilvl w:val="1"/>
          <w:numId w:val="1"/>
        </w:numPr>
        <w:suppressAutoHyphens w:val="true"/>
        <w:spacing w:before="245" w:after="115"/>
        <w:rPr>
          <w:rFonts w:ascii="Times New Roman" w:hAnsi="Times New Roman"/>
          <w:sz w:val="23"/>
          <w:szCs w:val="23"/>
        </w:rPr>
      </w:pPr>
      <w:bookmarkStart w:id="4" w:name="__RefHeading__5883_1944447809"/>
      <w:bookmarkEnd w:id="4"/>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pPr>
      <w:r>
        <w:rPr>
          <w:color w:val="FF0000"/>
          <w:sz w:val="23"/>
          <w:szCs w:val="23"/>
          <w:lang w:eastAsia="ja-JP"/>
        </w:rPr>
        <w:t xml:space="preserve">IEEE Std 802.15.4 was originally designed for constrained devices with a single encryption method using AES-128 and no defined mechanism for security key management.   IEEE Std 802.15.4 has significant market presence and the addition of additional security key management is demanded for the broad application base and continued deployments.  IEEE 802.15.9 has some vendor deployment experience </w:t>
      </w:r>
      <w:r>
        <w:rPr>
          <w:color w:val="FF0000"/>
          <w:sz w:val="23"/>
          <w:szCs w:val="23"/>
          <w:lang w:eastAsia="ja-JP"/>
        </w:rPr>
        <w:t>and deployment and now it is seen appropriate to make this Recommended Practice to Standard. This revision does that, and addresses other</w:t>
      </w:r>
      <w:r>
        <w:rPr>
          <w:color w:val="FF0000"/>
          <w:sz w:val="23"/>
          <w:szCs w:val="23"/>
          <w:lang w:eastAsia="ja-JP"/>
        </w:rPr>
        <w:t xml:space="preserve"> </w:t>
      </w:r>
      <w:r>
        <w:rPr>
          <w:color w:val="FF0000"/>
          <w:sz w:val="23"/>
          <w:szCs w:val="23"/>
          <w:lang w:eastAsia="ja-JP"/>
        </w:rPr>
        <w:t xml:space="preserve">issues found during deployment and </w:t>
      </w:r>
      <w:r>
        <w:rPr>
          <w:color w:val="FF0000"/>
          <w:sz w:val="23"/>
          <w:szCs w:val="23"/>
          <w:lang w:eastAsia="ja-JP"/>
        </w:rPr>
        <w:t>complements the work ongoing in IEEE 802.15.4y for enhanced security.</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tabs>
          <w:tab w:val="left" w:pos="0" w:leader="none"/>
        </w:tabs>
        <w:ind w:left="720" w:hanging="0"/>
        <w:rPr>
          <w:color w:val="FF0000"/>
          <w:sz w:val="23"/>
          <w:szCs w:val="23"/>
        </w:rPr>
      </w:pPr>
      <w:r>
        <w:rPr>
          <w:color w:val="FF0000"/>
        </w:rPr>
        <w:t xml:space="preserve">There are many silicon and system vendors already producing devices and systems using IEEE Std 802.15.4 and IEEE 802.15.9 for use in IoT applications. This </w:t>
      </w:r>
      <w:r>
        <w:rPr>
          <w:color w:val="FF0000"/>
          <w:szCs w:val="24"/>
          <w:lang w:eastAsia="ja-JP"/>
        </w:rPr>
        <w:t>includes things like consumer electronics, mobile devices, building automation, medical applications, SmartGrid and Smart Community applications, industrial control, etc., and therefore has a very large end user community.</w:t>
      </w:r>
    </w:p>
    <w:p>
      <w:pPr>
        <w:pStyle w:val="Heading3"/>
        <w:numPr>
          <w:ilvl w:val="2"/>
          <w:numId w:val="1"/>
        </w:numPr>
        <w:suppressAutoHyphens w:val="true"/>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sz w:val="23"/>
          <w:szCs w:val="23"/>
        </w:rPr>
      </w:pPr>
      <w:r>
        <w:rPr>
          <w:sz w:val="23"/>
          <w:szCs w:val="23"/>
        </w:rPr>
        <w:t xml:space="preserve">Will the proposed standard comply with IEEE Std 802, IEEE Std 802.1AC and IEEE Std 802.1Q? </w:t>
      </w:r>
      <w:r>
        <w:rPr>
          <w:color w:val="FF0000"/>
          <w:sz w:val="23"/>
          <w:szCs w:val="23"/>
        </w:rPr>
        <w:t>While the Key Management Protocol  extensions to IEEE Std 802.15.9 shall comply with IEEE Std 802, it cann</w:t>
      </w:r>
      <w:r>
        <w:rPr>
          <w:iCs/>
          <w:color w:val="FF0000"/>
          <w:sz w:val="23"/>
          <w:szCs w:val="23"/>
          <w:lang w:eastAsia="ja-JP"/>
        </w:rPr>
        <w:t>ot comply with IEEE Std 802.1Q and IEEE Std 802.1AC because IEEE Std 802.15.4 uses 64-bit MAC addresses.</w:t>
      </w:r>
    </w:p>
    <w:p>
      <w:pPr>
        <w:pStyle w:val="ListParagraph"/>
        <w:rPr>
          <w:iCs/>
          <w:color w:val="FF0000"/>
          <w:sz w:val="23"/>
          <w:szCs w:val="23"/>
          <w:lang w:eastAsia="ja-JP"/>
        </w:rPr>
      </w:pPr>
      <w:r>
        <w:rPr>
          <w:iCs/>
          <w:color w:val="FF0000"/>
          <w:sz w:val="23"/>
          <w:szCs w:val="23"/>
          <w:lang w:eastAsia="ja-JP"/>
        </w:rPr>
      </w:r>
    </w:p>
    <w:p>
      <w:pPr>
        <w:pStyle w:val="Normal"/>
        <w:ind w:left="630" w:hanging="270"/>
        <w:rPr>
          <w:b/>
          <w:b/>
          <w:color w:val="FF0000"/>
          <w:sz w:val="23"/>
          <w:szCs w:val="23"/>
          <w:lang w:eastAsia="ja-JP"/>
        </w:rPr>
      </w:pPr>
      <w:r>
        <w:rPr>
          <w:sz w:val="23"/>
          <w:szCs w:val="23"/>
          <w:lang w:eastAsia="ja-JP"/>
        </w:rPr>
        <w:t>b)</w:t>
      </w:r>
      <w:r>
        <w:rPr>
          <w:sz w:val="23"/>
          <w:szCs w:val="23"/>
          <w:lang w:eastAsia="zh-CN"/>
        </w:rPr>
        <w:t xml:space="preserve"> If the answer to a) is no, supply the response from the IEEE 802.1 WG. </w:t>
      </w:r>
      <w:r>
        <w:rPr>
          <w:color w:val="FF0000"/>
        </w:rPr>
        <w:t>As stated earlier, the Key Management Protocol extensions</w:t>
      </w:r>
      <w:r>
        <w:rPr>
          <w:color w:val="FF0000"/>
          <w:sz w:val="23"/>
          <w:szCs w:val="23"/>
          <w:lang w:eastAsia="ja-JP"/>
        </w:rPr>
        <w:t xml:space="preserve"> apply to the existing standard (IEEE Std 802.15.9 and IEEE Std 802.15.4) for which it has been previously det</w:t>
      </w:r>
      <w:r>
        <w:rPr>
          <w:color w:val="FF0000"/>
        </w:rPr>
        <w:t xml:space="preserve">ermined that compliance </w:t>
      </w:r>
      <w:r>
        <w:rPr>
          <w:iCs/>
          <w:color w:val="FF0000"/>
          <w:sz w:val="23"/>
          <w:szCs w:val="23"/>
          <w:lang w:eastAsia="ja-JP"/>
        </w:rPr>
        <w:t>with IEEE Std 802.1Q and IEEE Std 802.1AC</w:t>
      </w:r>
      <w:r>
        <w:rPr>
          <w:color w:val="FF0000"/>
        </w:rPr>
        <w:t xml:space="preserve"> is not possible due to </w:t>
      </w:r>
      <w:r>
        <w:rPr>
          <w:iCs/>
          <w:color w:val="FF0000"/>
          <w:sz w:val="23"/>
          <w:szCs w:val="23"/>
          <w:lang w:eastAsia="ja-JP"/>
        </w:rPr>
        <w:t>IEEE Std 802.15.4 using 64-bit MAC addresses</w:t>
      </w:r>
      <w:bookmarkStart w:id="7" w:name="__RefHeading__9708_1012863564"/>
      <w:bookmarkEnd w:id="7"/>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tabs>
          <w:tab w:val="left" w:pos="0" w:leader="none"/>
        </w:tabs>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iCs/>
          <w:color w:val="FF0000"/>
          <w:sz w:val="23"/>
          <w:szCs w:val="23"/>
          <w:lang w:val="en-GB" w:eastAsia="ja-JP"/>
        </w:rPr>
      </w:pPr>
      <w:r>
        <w:rPr>
          <w:iCs/>
          <w:color w:val="FF0000"/>
          <w:sz w:val="23"/>
          <w:szCs w:val="23"/>
          <w:lang w:val="en-GB"/>
        </w:rPr>
        <w:t xml:space="preserve">IEEE Std 802.15.9 was developed specifically to optimally address the needs of IoT networks and is broadly used in that application. It remains unique in that regard. The security key management protocol extensions serve to meet current User demand and to help increase the competitive edge of the 802.15.4 standard.  </w:t>
      </w:r>
      <w:r>
        <w:rPr>
          <w:iCs/>
          <w:color w:val="FF0000"/>
          <w:sz w:val="23"/>
          <w:szCs w:val="23"/>
        </w:rPr>
        <w:t>The security key management protocol extensions will be unique from features in the existing standard which does not address key lengths other than 128 bits or security algorithm selection.</w:t>
      </w:r>
    </w:p>
    <w:p>
      <w:pPr>
        <w:pStyle w:val="Heading3"/>
        <w:numPr>
          <w:ilvl w:val="2"/>
          <w:numId w:val="1"/>
        </w:numPr>
        <w:suppressAutoHyphens w:val="true"/>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tabs>
          <w:tab w:val="left" w:pos="0" w:leader="none"/>
        </w:tabs>
        <w:ind w:left="720" w:hanging="0"/>
        <w:rPr/>
      </w:pPr>
      <w:r>
        <w:rPr>
          <w:iCs/>
          <w:color w:val="FF0000"/>
          <w:sz w:val="23"/>
          <w:szCs w:val="23"/>
          <w:lang w:val="en-GB"/>
        </w:rPr>
        <w:t xml:space="preserve">IEEE 802.15.9 provides encapsulation of existing, mature key management protocols to address the requirements of National Institute of Standards and Technology (NIST) </w:t>
      </w:r>
      <w:r>
        <w:rPr>
          <w:bCs/>
          <w:color w:val="FF0000"/>
          <w:sz w:val="23"/>
          <w:szCs w:val="23"/>
          <w:u w:val="none"/>
        </w:rPr>
        <w:t>Special Publication</w:t>
      </w:r>
      <w:r>
        <w:rPr>
          <w:bCs/>
          <w:color w:val="FF0000"/>
          <w:sz w:val="23"/>
          <w:szCs w:val="23"/>
        </w:rPr>
        <w:t xml:space="preserve"> (</w:t>
      </w:r>
      <w:r>
        <w:rPr>
          <w:iCs/>
          <w:color w:val="FF0000"/>
          <w:sz w:val="23"/>
          <w:szCs w:val="23"/>
          <w:lang w:val="en-GB"/>
        </w:rPr>
        <w:t>SP) 800-57 part 1 for IEEE 802.15.4 devices.</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rFonts w:ascii="Times New Roman" w:hAnsi="Times New Roman"/>
          <w:color w:val="FF0000"/>
          <w:sz w:val="23"/>
          <w:szCs w:val="23"/>
        </w:rPr>
      </w:pPr>
      <w:r>
        <w:rPr>
          <w:rFonts w:ascii="Times New Roman" w:hAnsi="Times New Roman"/>
          <w:color w:val="FF0000"/>
          <w:sz w:val="23"/>
          <w:szCs w:val="23"/>
        </w:rPr>
        <w:t>The IEEE 802.15.9 provides an encapsulation for existing key management protocols like IEEE 802.1x for IEEE 802.15.4 devices.  The addition of session</w:t>
      </w:r>
      <w:bookmarkStart w:id="9" w:name="_GoBack"/>
      <w:bookmarkEnd w:id="9"/>
      <w:r>
        <w:rPr>
          <w:rFonts w:ascii="Times New Roman" w:hAnsi="Times New Roman"/>
          <w:color w:val="FF0000"/>
          <w:sz w:val="23"/>
          <w:szCs w:val="23"/>
        </w:rPr>
        <w:t xml:space="preserve"> key derivation text for security keys of different sizes (support IEEE 802.15.4y), broadcast/multicast key generation and security algorithm selection (again supporting IEEE 802.15.4y) will permit additional support of existing security key management protocols.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tabs>
          <w:tab w:val="left" w:pos="0" w:leader="none"/>
        </w:tabs>
        <w:ind w:left="720" w:hanging="0"/>
        <w:rPr/>
      </w:pPr>
      <w:r>
        <w:rPr>
          <w:color w:val="FF0000"/>
          <w:sz w:val="23"/>
          <w:szCs w:val="23"/>
          <w:lang w:eastAsia="ja-JP"/>
        </w:rPr>
        <w:t xml:space="preserve">Implementing the IEEE 802.15.9 will be a firmware implementation on today’s faster and already cheaper devices.  </w:t>
      </w:r>
      <w:r>
        <w:rPr>
          <w:color w:val="FF0000"/>
          <w:sz w:val="23"/>
          <w:szCs w:val="23"/>
          <w:lang w:val="sk-SK" w:eastAsia="ja-JP"/>
        </w:rPr>
        <w:t>The proposed project does not affect the balance of costs between the infrastructure and attached stations.</w:t>
      </w:r>
    </w:p>
    <w:p>
      <w:pPr>
        <w:pStyle w:val="LetteredList1"/>
        <w:numPr>
          <w:ilvl w:val="0"/>
          <w:numId w:val="7"/>
        </w:numPr>
        <w:tabs>
          <w:tab w:val="left" w:pos="0" w:leader="none"/>
        </w:tabs>
        <w:rPr>
          <w:sz w:val="23"/>
          <w:szCs w:val="23"/>
        </w:rPr>
      </w:pPr>
      <w:r>
        <w:rPr>
          <w:sz w:val="23"/>
          <w:szCs w:val="23"/>
        </w:rPr>
        <w:t>Known cost factors.</w:t>
      </w:r>
    </w:p>
    <w:p>
      <w:pPr>
        <w:pStyle w:val="PlainText"/>
        <w:tabs>
          <w:tab w:val="left" w:pos="360" w:leader="none"/>
        </w:tabs>
        <w:ind w:left="720" w:hanging="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pPr>
        <w:pStyle w:val="LetteredList1"/>
        <w:numPr>
          <w:ilvl w:val="0"/>
          <w:numId w:val="7"/>
        </w:numPr>
        <w:rPr>
          <w:sz w:val="23"/>
          <w:szCs w:val="23"/>
        </w:rPr>
      </w:pPr>
      <w:r>
        <w:rPr>
          <w:sz w:val="23"/>
          <w:szCs w:val="23"/>
        </w:rPr>
        <w:t>Consideration of installation costs.</w:t>
      </w:r>
    </w:p>
    <w:p>
      <w:pPr>
        <w:pStyle w:val="PlainText"/>
        <w:tabs>
          <w:tab w:val="left" w:pos="360" w:leader="none"/>
        </w:tabs>
        <w:ind w:left="720" w:hanging="0"/>
        <w:rPr>
          <w:color w:val="FF0000"/>
          <w:sz w:val="23"/>
          <w:szCs w:val="23"/>
        </w:rPr>
      </w:pPr>
      <w:r>
        <w:rPr>
          <w:rFonts w:ascii="Times New Roman" w:hAnsi="Times New Roman"/>
          <w:color w:val="FF0000"/>
          <w:sz w:val="23"/>
          <w:szCs w:val="23"/>
        </w:rPr>
        <w:t>No special manufacturing requirements for use of these devices is needed.</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These are low energy consumption components which are part of a larger product. Additionally, the cost of the increased overhead of the IEEE 802.15.9 is significantly outweighed by the benefits it provides to the use of IEEE Std 802.15.4 devices in various internet protocol applications.</w:t>
      </w:r>
    </w:p>
    <w:p>
      <w:pPr>
        <w:pStyle w:val="LetteredList1"/>
        <w:numPr>
          <w:ilvl w:val="0"/>
          <w:numId w:val="7"/>
        </w:numPr>
        <w:rPr>
          <w:sz w:val="23"/>
          <w:szCs w:val="23"/>
        </w:rPr>
      </w:pPr>
      <w:r>
        <w:rPr>
          <w:sz w:val="23"/>
          <w:szCs w:val="23"/>
        </w:rPr>
        <w:t>Other areas, as appropriate.</w:t>
      </w:r>
    </w:p>
    <w:p>
      <w:pPr>
        <w:pStyle w:val="PlainText"/>
        <w:keepNext/>
        <w:tabs>
          <w:tab w:val="left" w:pos="360" w:leader="none"/>
        </w:tabs>
        <w:rPr>
          <w:color w:val="FF0000"/>
          <w:sz w:val="23"/>
          <w:szCs w:val="23"/>
          <w:lang w:eastAsia="ja-JP"/>
        </w:rPr>
      </w:pPr>
      <w:r>
        <w:rPr>
          <w:color w:val="FF0000"/>
          <w:sz w:val="23"/>
          <w:szCs w:val="23"/>
          <w:lang w:eastAsia="ja-JP"/>
        </w:rPr>
      </w:r>
    </w:p>
    <w:p>
      <w:pPr>
        <w:pStyle w:val="Normal"/>
        <w:widowControl w:val="false"/>
        <w:rPr/>
      </w:pPr>
      <w:r>
        <w:rPr/>
      </w:r>
    </w:p>
    <w:sectPr>
      <w:headerReference w:type="default" r:id="rId4"/>
      <w:footerReference w:type="default" r:id="rId5"/>
      <w:type w:val="nextPage"/>
      <w:pgSz w:w="12240" w:h="15840"/>
      <w:pgMar w:left="1440" w:right="1440" w:header="1296" w:top="1800" w:footer="1296"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680" w:leader="none"/>
        <w:tab w:val="right" w:pos="9360" w:leader="none"/>
      </w:tabs>
      <w:spacing w:before="240" w:after="0"/>
      <w:rPr>
        <w:lang w:val="de-DE"/>
      </w:rPr>
    </w:pPr>
    <w:r>
      <w:rPr>
        <w:lang w:val="de-DE"/>
      </w:rPr>
      <w:t>Submission</w:t>
      <w:tab/>
      <w:t xml:space="preserve">Page </w:t>
    </w:r>
    <w:r>
      <w:rPr/>
    </w:r>
    <w:r>
      <w:rPr>
        <w:lang w:val="de-DE"/>
      </w:rPr>
      <w:tab/>
      <w:t>Don Sturek, Itron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680" w:leader="none"/>
        <w:tab w:val="right" w:pos="9360" w:leader="none"/>
      </w:tabs>
      <w:spacing w:before="240" w:after="0"/>
      <w:rPr/>
    </w:pPr>
    <w:r>
      <w:rPr>
        <w:lang w:val="de-DE"/>
      </w:rPr>
      <w:t>Submission</w:t>
      <w:tab/>
      <w:t xml:space="preserve">Page </w:t>
    </w:r>
    <w:r>
      <w:rPr/>
    </w:r>
    <w:r>
      <w:rPr>
        <w:lang w:val="de-DE"/>
      </w:rPr>
      <w:tab/>
      <w:t>Don Sturek, Itron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right" w:pos="9270" w:leader="none"/>
      </w:tabs>
      <w:spacing w:before="0" w:after="360"/>
      <w:jc w:val="both"/>
      <w:rPr/>
    </w:pPr>
    <w:r>
      <w:rPr>
        <w:b/>
        <w:sz w:val="28"/>
        <w:lang w:eastAsia="ja-JP"/>
      </w:rPr>
      <w:t>March</w:t>
    </w:r>
    <w:r>
      <w:rPr>
        <w:b/>
        <w:sz w:val="28"/>
      </w:rPr>
      <w:t>, 2019</w:t>
    </w:r>
    <w:r>
      <w:rPr>
        <w:b/>
        <w:sz w:val="28"/>
        <w:lang w:val="de-DE"/>
      </w:rPr>
      <w:tab/>
      <w:t xml:space="preserve">doc. </w:t>
    </w:r>
    <w:r>
      <w:rPr>
        <w:b/>
        <w:sz w:val="28"/>
        <w:lang w:val="de-DE"/>
      </w:rPr>
      <w:fldChar w:fldCharType="begin" w:fldLock="true"/>
    </w:r>
    <w:r>
      <w:instrText> COMMENTS </w:instrText>
    </w:r>
    <w:r>
      <w:fldChar w:fldCharType="separate"/>
    </w:r>
    <w:r>
      <w:t>15-19-0082-01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right" w:pos="9270" w:leader="none"/>
      </w:tabs>
      <w:spacing w:before="0" w:after="360"/>
      <w:jc w:val="both"/>
      <w:rPr/>
    </w:pPr>
    <w:r>
      <w:rPr>
        <w:b/>
        <w:sz w:val="28"/>
        <w:lang w:eastAsia="ja-JP"/>
      </w:rPr>
      <w:t>February</w:t>
    </w:r>
    <w:r>
      <w:rPr>
        <w:b/>
        <w:sz w:val="28"/>
      </w:rPr>
      <w:t>, 2019</w:t>
    </w:r>
    <w:r>
      <w:rPr>
        <w:b/>
        <w:sz w:val="28"/>
        <w:lang w:val="de-DE"/>
      </w:rPr>
      <w:tab/>
      <w:t xml:space="preserve">doc. </w:t>
    </w:r>
    <w:r>
      <w:rPr>
        <w:b/>
        <w:sz w:val="28"/>
        <w:lang w:val="de-DE"/>
      </w:rPr>
      <w:fldChar w:fldCharType="begin" w:fldLock="true"/>
    </w:r>
    <w:r>
      <w:instrText> COMMENTS </w:instrText>
    </w:r>
    <w:r>
      <w:fldChar w:fldCharType="separate"/>
    </w:r>
    <w:r>
      <w:t>15-19-0082-01</w:t>
    </w:r>
    <w:r>
      <w:fldChar w:fldCharType="end"/>
    </w:r>
    <w:r>
      <w:rPr>
        <w:b/>
        <w:sz w:val="28"/>
        <w:lang w:val="de-DE"/>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ＭＳ 明朝" w:cs="Times New Roman" w:eastAsiaTheme="minorEastAsia"/>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a412b"/>
    <w:pPr>
      <w:widowControl/>
      <w:bidi w:val="0"/>
      <w:jc w:val="left"/>
    </w:pPr>
    <w:rPr>
      <w:rFonts w:ascii="Times New Roman" w:hAnsi="Times New Roman" w:eastAsia="ＭＳ 明朝" w:cs="Times New Roman" w:eastAsiaTheme="minorEastAsia"/>
      <w:color w:val="auto"/>
      <w:sz w:val="24"/>
      <w:szCs w:val="20"/>
      <w:lang w:val="en-US" w:eastAsia="en-US" w:bidi="ar-SA"/>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name w:val="Internet 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leader="none"/>
        <w:tab w:val="right" w:pos="8640" w:leader="none"/>
      </w:tabs>
    </w:pPr>
    <w:rPr/>
  </w:style>
  <w:style w:type="paragraph" w:styleId="Header">
    <w:name w:val="Header"/>
    <w:basedOn w:val="Normal"/>
    <w:semiHidden/>
    <w:rsid w:val="007a412b"/>
    <w:pPr>
      <w:tabs>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eastAsia="MS Mincho"/>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bidi w:val="0"/>
      <w:jc w:val="left"/>
    </w:pPr>
    <w:rPr>
      <w:rFonts w:ascii="Times New Roman" w:hAnsi="Times New Roman" w:eastAsia="ＭＳ 明朝" w:cs="Times New Roman" w:eastAsiaTheme="minorEastAsia"/>
      <w:color w:val="auto"/>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1FE7-AAA1-844C-8FF4-869A346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36</TotalTime>
  <Application>LibreOffice/5.2.7.2$Linux_X86_64 LibreOffice_project/20m0$Build-2</Application>
  <Pages>4</Pages>
  <Words>1201</Words>
  <Characters>6670</Characters>
  <CharactersWithSpaces>7810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2019-02-20T17:44:00Z</dcterms:created>
  <dc:creator>Pat Kinney</dc:creator>
  <dc:description>15-19-0082-01</dc:description>
  <dc:language>en-US</dc:language>
  <cp:lastModifiedBy>Tero Kivinen</cp:lastModifiedBy>
  <cp:lastPrinted>2010-05-04T14:56:00Z</cp:lastPrinted>
  <dcterms:modified xsi:type="dcterms:W3CDTF">2019-03-13T11:27:30Z</dcterms:modified>
  <cp:revision>7</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15-19-0082-01</vt:lpwstr>
  </property>
</Properties>
</file>