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tbl>
      <w:tblPr>
        <w:tblW w:w="0" w:type="auto"/>
        <w:tblInd w:w="108" w:type="dxa"/>
        <w:tblLayout w:type="fixed"/>
        <w:tblLook w:val="0000"/>
      </w:tblPr>
      <w:tblGrid>
        <w:gridCol w:w="1260"/>
        <w:gridCol w:w="7920"/>
        <w:gridCol w:w="270"/>
      </w:tblGrid>
      <w:tr w:rsidR="000671A9">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EE025E" w:rsidP="00EE025E">
            <w:pPr>
              <w:pStyle w:val="covertext"/>
            </w:pPr>
            <w:r>
              <w:t>Change</w:t>
            </w:r>
            <w:r w:rsidR="004B6C95">
              <w:t xml:space="preserve"> </w:t>
            </w:r>
            <w:r>
              <w:t xml:space="preserve">Proposal for </w:t>
            </w:r>
            <w:r w:rsidR="00727BB9">
              <w:t xml:space="preserve">Secure Authenticating Ranging using </w:t>
            </w:r>
            <w:r>
              <w:t>L</w:t>
            </w:r>
            <w:r w:rsidR="004B6C95" w:rsidRPr="001513B7">
              <w:t xml:space="preserve">RP UWB </w:t>
            </w:r>
            <w:r>
              <w:t>PHY</w:t>
            </w:r>
            <w:r w:rsidR="00C10B0B">
              <w:rPr>
                <w:b/>
                <w:sz w:val="28"/>
              </w:rPr>
              <w:fldChar w:fldCharType="begin"/>
            </w:r>
            <w:r w:rsidR="0079297D">
              <w:rPr>
                <w:b/>
                <w:sz w:val="28"/>
              </w:rPr>
              <w:instrText xml:space="preserve"> TITLE  \* MERGEFORMAT </w:instrText>
            </w:r>
            <w:r w:rsidR="00C10B0B">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A3070E">
              <w:t>06</w:t>
            </w:r>
            <w:r w:rsidR="003F7D8F">
              <w:t xml:space="preserve"> July</w:t>
            </w:r>
            <w:r>
              <w:t xml:space="preserve">, </w:t>
            </w:r>
            <w:r w:rsidR="006A5286">
              <w:t>2018</w:t>
            </w:r>
            <w:r>
              <w:t>]</w:t>
            </w:r>
          </w:p>
        </w:tc>
      </w:tr>
      <w:tr w:rsidR="000671A9" w:rsidRPr="00B000B0" w:rsidTr="00225DC2">
        <w:tc>
          <w:tcPr>
            <w:tcW w:w="1260" w:type="dxa"/>
            <w:tcBorders>
              <w:top w:val="single" w:sz="4" w:space="0" w:color="auto"/>
              <w:bottom w:val="single" w:sz="4" w:space="0" w:color="auto"/>
            </w:tcBorders>
          </w:tcPr>
          <w:p w:rsidR="000671A9" w:rsidRDefault="0079297D">
            <w:pPr>
              <w:pStyle w:val="covertext"/>
            </w:pPr>
            <w:r>
              <w:t>Source</w:t>
            </w:r>
          </w:p>
        </w:tc>
        <w:tc>
          <w:tcPr>
            <w:tcW w:w="7920" w:type="dxa"/>
            <w:tcBorders>
              <w:top w:val="single" w:sz="4" w:space="0" w:color="auto"/>
              <w:bottom w:val="single" w:sz="4" w:space="0" w:color="auto"/>
            </w:tcBorders>
          </w:tcPr>
          <w:p w:rsidR="008710CE" w:rsidRPr="00225DC2" w:rsidRDefault="008710CE" w:rsidP="006A5286">
            <w:pPr>
              <w:pStyle w:val="covertext"/>
              <w:spacing w:before="0" w:after="0"/>
            </w:pPr>
            <w:r>
              <w:t xml:space="preserve">Prof. Dr. </w:t>
            </w:r>
            <w:proofErr w:type="spellStart"/>
            <w:r w:rsidR="00257CF2">
              <w:t>Srdjan</w:t>
            </w:r>
            <w:proofErr w:type="spellEnd"/>
            <w:r w:rsidR="00257CF2">
              <w:t xml:space="preserve"> </w:t>
            </w:r>
            <w:proofErr w:type="spellStart"/>
            <w:r w:rsidR="00257CF2">
              <w:t>Capkun</w:t>
            </w:r>
            <w:proofErr w:type="spellEnd"/>
            <w:r w:rsidR="00257CF2">
              <w:t xml:space="preserve"> (ETH Zurich)</w:t>
            </w:r>
            <w:r w:rsidR="00225DC2">
              <w:t xml:space="preserve">, </w:t>
            </w:r>
            <w:r w:rsidRPr="008822C7">
              <w:t>Prof. Dr. David Basin (ETH Zurich)</w:t>
            </w:r>
          </w:p>
          <w:p w:rsidR="00257CF2" w:rsidRDefault="008710CE" w:rsidP="006A5286">
            <w:pPr>
              <w:pStyle w:val="covertext"/>
              <w:spacing w:before="0" w:after="0"/>
            </w:pPr>
            <w:r>
              <w:t xml:space="preserve">Dr. </w:t>
            </w:r>
            <w:r w:rsidR="00257CF2">
              <w:t xml:space="preserve">Boris </w:t>
            </w:r>
            <w:proofErr w:type="spellStart"/>
            <w:r w:rsidR="00257CF2">
              <w:t>Danev</w:t>
            </w:r>
            <w:proofErr w:type="spellEnd"/>
            <w:r w:rsidR="00257CF2">
              <w:t xml:space="preserve"> (3db</w:t>
            </w:r>
            <w:r w:rsidR="005B49DC">
              <w:t xml:space="preserve"> Access</w:t>
            </w:r>
            <w:r w:rsidR="00257CF2">
              <w:t>)</w:t>
            </w:r>
          </w:p>
          <w:p w:rsidR="00040DEC" w:rsidRPr="00040DEC" w:rsidRDefault="00040DEC" w:rsidP="005B49DC">
            <w:pPr>
              <w:pStyle w:val="HTMLPreformatted"/>
              <w:rPr>
                <w:rFonts w:ascii="Times New Roman" w:hAnsi="Times New Roman" w:cs="Times New Roman"/>
                <w:sz w:val="24"/>
              </w:rPr>
            </w:pPr>
            <w:r>
              <w:rPr>
                <w:rFonts w:ascii="Times New Roman" w:hAnsi="Times New Roman" w:cs="Times New Roman"/>
                <w:sz w:val="24"/>
              </w:rPr>
              <w:t>Prof. Dr. Markus Kuhn (University of Cambridge)</w:t>
            </w:r>
          </w:p>
          <w:p w:rsidR="005B49DC" w:rsidRPr="00225DC2" w:rsidRDefault="003F7D8F" w:rsidP="005B49DC">
            <w:pPr>
              <w:pStyle w:val="HTMLPreformatted"/>
              <w:rPr>
                <w:rFonts w:ascii="Times New Roman" w:hAnsi="Times New Roman" w:cs="Times New Roman"/>
                <w:sz w:val="24"/>
                <w:szCs w:val="24"/>
                <w:lang w:val="fr-CH"/>
              </w:rPr>
            </w:pPr>
            <w:proofErr w:type="spellStart"/>
            <w:r w:rsidRPr="005B49DC">
              <w:rPr>
                <w:rFonts w:ascii="Times New Roman" w:hAnsi="Times New Roman" w:cs="Times New Roman"/>
                <w:sz w:val="24"/>
                <w:szCs w:val="24"/>
                <w:lang w:val="fr-CH"/>
              </w:rPr>
              <w:t>Shuiping</w:t>
            </w:r>
            <w:proofErr w:type="spellEnd"/>
            <w:r w:rsidRPr="005B49DC">
              <w:rPr>
                <w:rFonts w:ascii="Times New Roman" w:hAnsi="Times New Roman" w:cs="Times New Roman"/>
                <w:sz w:val="24"/>
                <w:szCs w:val="24"/>
                <w:lang w:val="fr-CH"/>
              </w:rPr>
              <w:t xml:space="preserve"> Long (</w:t>
            </w:r>
            <w:proofErr w:type="spellStart"/>
            <w:r w:rsidRPr="005B49DC">
              <w:rPr>
                <w:rFonts w:ascii="Times New Roman" w:hAnsi="Times New Roman" w:cs="Times New Roman"/>
                <w:sz w:val="24"/>
                <w:szCs w:val="24"/>
                <w:lang w:val="fr-CH"/>
              </w:rPr>
              <w:t>Huawei</w:t>
            </w:r>
            <w:proofErr w:type="spellEnd"/>
            <w:r w:rsidRPr="005B49DC">
              <w:rPr>
                <w:rFonts w:ascii="Times New Roman" w:hAnsi="Times New Roman" w:cs="Times New Roman"/>
                <w:sz w:val="24"/>
                <w:szCs w:val="24"/>
                <w:lang w:val="fr-CH"/>
              </w:rPr>
              <w:t xml:space="preserve"> Technologies)</w:t>
            </w:r>
            <w:r w:rsidR="00225DC2">
              <w:rPr>
                <w:rFonts w:ascii="Times New Roman" w:hAnsi="Times New Roman" w:cs="Times New Roman"/>
                <w:sz w:val="24"/>
                <w:szCs w:val="24"/>
                <w:lang w:val="fr-CH"/>
              </w:rPr>
              <w:t xml:space="preserve">, </w:t>
            </w:r>
            <w:proofErr w:type="spellStart"/>
            <w:r w:rsidR="005B49DC" w:rsidRPr="005B49DC">
              <w:rPr>
                <w:rFonts w:ascii="Times New Roman" w:hAnsi="Times New Roman" w:cs="Times New Roman"/>
                <w:sz w:val="24"/>
                <w:lang w:val="fr-CH"/>
              </w:rPr>
              <w:t>Yunsong</w:t>
            </w:r>
            <w:proofErr w:type="spellEnd"/>
            <w:r w:rsidR="005B49DC" w:rsidRPr="005B49DC">
              <w:rPr>
                <w:rFonts w:ascii="Times New Roman" w:hAnsi="Times New Roman" w:cs="Times New Roman"/>
                <w:sz w:val="24"/>
                <w:lang w:val="fr-CH"/>
              </w:rPr>
              <w:t xml:space="preserve"> Yang (</w:t>
            </w:r>
            <w:proofErr w:type="spellStart"/>
            <w:r w:rsidR="00321096">
              <w:rPr>
                <w:rFonts w:ascii="Times New Roman" w:hAnsi="Times New Roman" w:cs="Times New Roman"/>
                <w:sz w:val="24"/>
                <w:lang w:val="fr-CH"/>
              </w:rPr>
              <w:t>Huawei</w:t>
            </w:r>
            <w:proofErr w:type="spellEnd"/>
            <w:r w:rsidR="005B49DC" w:rsidRPr="005B49DC">
              <w:rPr>
                <w:rFonts w:ascii="Times New Roman" w:hAnsi="Times New Roman" w:cs="Times New Roman"/>
                <w:sz w:val="24"/>
                <w:lang w:val="fr-CH"/>
              </w:rPr>
              <w:t xml:space="preserve"> Technologies)</w:t>
            </w:r>
          </w:p>
          <w:p w:rsidR="00257CF2" w:rsidRPr="003F7D8F" w:rsidRDefault="005B49DC" w:rsidP="006A5286">
            <w:pPr>
              <w:pStyle w:val="covertext"/>
              <w:spacing w:before="0" w:after="0"/>
              <w:rPr>
                <w:lang w:val="fr-CH"/>
              </w:rPr>
            </w:pPr>
            <w:r w:rsidRPr="003F7D8F">
              <w:rPr>
                <w:lang w:val="fr-CH"/>
              </w:rPr>
              <w:t>Bernd Baer (</w:t>
            </w:r>
            <w:proofErr w:type="spellStart"/>
            <w:r w:rsidRPr="003F7D8F">
              <w:rPr>
                <w:lang w:val="fr-CH"/>
              </w:rPr>
              <w:t>Marquardt</w:t>
            </w:r>
            <w:proofErr w:type="spellEnd"/>
            <w:r w:rsidRPr="003F7D8F">
              <w:rPr>
                <w:lang w:val="fr-CH"/>
              </w:rPr>
              <w:t>)</w:t>
            </w:r>
          </w:p>
          <w:p w:rsidR="00257CF2" w:rsidRDefault="005B49DC" w:rsidP="006A5286">
            <w:pPr>
              <w:pStyle w:val="covertext"/>
              <w:spacing w:before="0" w:after="0"/>
              <w:rPr>
                <w:lang w:val="fr-CH"/>
              </w:rPr>
            </w:pPr>
            <w:r w:rsidRPr="003F7D8F">
              <w:rPr>
                <w:lang w:val="fr-CH"/>
              </w:rPr>
              <w:t>Matthias Reinhardt (Daimler)</w:t>
            </w:r>
          </w:p>
          <w:p w:rsidR="00C03760" w:rsidRPr="003F7D8F" w:rsidRDefault="00C03760" w:rsidP="006A5286">
            <w:pPr>
              <w:pStyle w:val="covertext"/>
              <w:spacing w:before="0" w:after="0"/>
              <w:rPr>
                <w:lang w:val="fr-CH"/>
              </w:rPr>
            </w:pPr>
            <w:r>
              <w:rPr>
                <w:lang w:val="fr-CH"/>
              </w:rPr>
              <w:t xml:space="preserve">Ed </w:t>
            </w:r>
            <w:proofErr w:type="spellStart"/>
            <w:r>
              <w:rPr>
                <w:lang w:val="fr-CH"/>
              </w:rPr>
              <w:t>Richley</w:t>
            </w:r>
            <w:proofErr w:type="spellEnd"/>
            <w:r>
              <w:rPr>
                <w:lang w:val="fr-CH"/>
              </w:rPr>
              <w:t xml:space="preserve"> (</w:t>
            </w:r>
            <w:proofErr w:type="spellStart"/>
            <w:r w:rsidR="00321096">
              <w:rPr>
                <w:lang w:val="fr-CH"/>
              </w:rPr>
              <w:t>Zebra</w:t>
            </w:r>
            <w:proofErr w:type="spellEnd"/>
            <w:r w:rsidR="00321096">
              <w:rPr>
                <w:lang w:val="fr-CH"/>
              </w:rPr>
              <w:t xml:space="preserve"> Technologies</w:t>
            </w:r>
            <w:r>
              <w:rPr>
                <w:lang w:val="fr-CH"/>
              </w:rPr>
              <w:t>)</w:t>
            </w:r>
          </w:p>
          <w:p w:rsidR="004F2BD8" w:rsidRPr="003F7D8F" w:rsidRDefault="004F2BD8" w:rsidP="006A5286">
            <w:pPr>
              <w:pStyle w:val="covertext"/>
              <w:spacing w:before="0" w:after="0"/>
              <w:rPr>
                <w:lang w:val="fr-CH"/>
              </w:rPr>
            </w:pPr>
            <w:r>
              <w:rPr>
                <w:lang w:val="fr-CH"/>
              </w:rPr>
              <w:t>Andy Ward (</w:t>
            </w:r>
            <w:proofErr w:type="spellStart"/>
            <w:r>
              <w:rPr>
                <w:lang w:val="fr-CH"/>
              </w:rPr>
              <w:t>Ubisense</w:t>
            </w:r>
            <w:proofErr w:type="spellEnd"/>
            <w:r>
              <w:rPr>
                <w:lang w:val="fr-CH"/>
              </w:rPr>
              <w:t>)</w:t>
            </w:r>
          </w:p>
          <w:p w:rsidR="003F7D8F" w:rsidRPr="003F7D8F" w:rsidRDefault="003F7D8F" w:rsidP="006A5286">
            <w:pPr>
              <w:pStyle w:val="covertext"/>
              <w:spacing w:before="0" w:after="0"/>
              <w:rPr>
                <w:lang w:val="fr-CH"/>
              </w:rPr>
            </w:pPr>
            <w:r w:rsidRPr="003F7D8F">
              <w:rPr>
                <w:lang w:val="fr-CH"/>
              </w:rPr>
              <w:t xml:space="preserve">Peter </w:t>
            </w:r>
            <w:proofErr w:type="spellStart"/>
            <w:r w:rsidRPr="003F7D8F">
              <w:rPr>
                <w:lang w:val="fr-CH"/>
              </w:rPr>
              <w:t>Sauer</w:t>
            </w:r>
            <w:proofErr w:type="spellEnd"/>
            <w:r w:rsidRPr="003F7D8F">
              <w:rPr>
                <w:lang w:val="fr-CH"/>
              </w:rPr>
              <w:t xml:space="preserve"> (</w:t>
            </w:r>
            <w:proofErr w:type="spellStart"/>
            <w:r w:rsidRPr="003F7D8F">
              <w:rPr>
                <w:lang w:val="fr-CH"/>
              </w:rPr>
              <w:t>Microchip</w:t>
            </w:r>
            <w:proofErr w:type="spellEnd"/>
            <w:r w:rsidRPr="003F7D8F">
              <w:rPr>
                <w:lang w:val="fr-CH"/>
              </w:rPr>
              <w:t xml:space="preserve"> </w:t>
            </w:r>
            <w:proofErr w:type="spellStart"/>
            <w:r w:rsidRPr="003F7D8F">
              <w:rPr>
                <w:lang w:val="fr-CH"/>
              </w:rPr>
              <w:t>Technology</w:t>
            </w:r>
            <w:proofErr w:type="spellEnd"/>
            <w:r w:rsidRPr="003F7D8F">
              <w:rPr>
                <w:lang w:val="fr-CH"/>
              </w:rPr>
              <w:t>)</w:t>
            </w:r>
          </w:p>
          <w:p w:rsidR="001469E2" w:rsidRPr="003F7D8F" w:rsidRDefault="001469E2" w:rsidP="006A5286">
            <w:pPr>
              <w:pStyle w:val="covertext"/>
              <w:spacing w:before="0" w:after="0"/>
              <w:rPr>
                <w:lang w:val="fr-CH"/>
              </w:rPr>
            </w:pPr>
            <w:r w:rsidRPr="003F7D8F">
              <w:rPr>
                <w:lang w:val="fr-CH"/>
              </w:rPr>
              <w:t xml:space="preserve">Paul </w:t>
            </w:r>
            <w:proofErr w:type="spellStart"/>
            <w:r w:rsidRPr="003F7D8F">
              <w:rPr>
                <w:lang w:val="fr-CH"/>
              </w:rPr>
              <w:t>Studerus</w:t>
            </w:r>
            <w:proofErr w:type="spellEnd"/>
            <w:r w:rsidRPr="003F7D8F">
              <w:rPr>
                <w:lang w:val="fr-CH"/>
              </w:rPr>
              <w:t xml:space="preserve"> </w:t>
            </w:r>
            <w:r w:rsidR="00A65C96" w:rsidRPr="003F7D8F">
              <w:rPr>
                <w:lang w:val="fr-CH"/>
              </w:rPr>
              <w:t>(</w:t>
            </w:r>
            <w:proofErr w:type="spellStart"/>
            <w:r w:rsidRPr="003F7D8F">
              <w:rPr>
                <w:lang w:val="fr-CH"/>
              </w:rPr>
              <w:t>Dormakaba</w:t>
            </w:r>
            <w:proofErr w:type="spellEnd"/>
            <w:r w:rsidR="00A65C96" w:rsidRPr="003F7D8F">
              <w:rPr>
                <w:lang w:val="fr-CH"/>
              </w:rPr>
              <w:t>)</w:t>
            </w:r>
          </w:p>
          <w:p w:rsidR="001469E2" w:rsidRPr="003F7D8F" w:rsidRDefault="003F7D8F" w:rsidP="003F7D8F">
            <w:pPr>
              <w:pStyle w:val="covertext"/>
              <w:spacing w:before="0" w:after="0"/>
              <w:rPr>
                <w:lang w:val="fr-CH"/>
              </w:rPr>
            </w:pPr>
            <w:proofErr w:type="spellStart"/>
            <w:r w:rsidRPr="003F7D8F">
              <w:rPr>
                <w:lang w:val="fr-CH"/>
              </w:rPr>
              <w:t>Mihai</w:t>
            </w:r>
            <w:proofErr w:type="spellEnd"/>
            <w:r w:rsidRPr="003F7D8F">
              <w:rPr>
                <w:lang w:val="fr-CH"/>
              </w:rPr>
              <w:t xml:space="preserve"> </w:t>
            </w:r>
            <w:proofErr w:type="spellStart"/>
            <w:r w:rsidRPr="003F7D8F">
              <w:rPr>
                <w:lang w:val="fr-CH"/>
              </w:rPr>
              <w:t>Barbulescu</w:t>
            </w:r>
            <w:proofErr w:type="spellEnd"/>
            <w:r w:rsidRPr="003F7D8F">
              <w:rPr>
                <w:lang w:val="fr-CH"/>
              </w:rPr>
              <w:t xml:space="preserve"> (</w:t>
            </w:r>
            <w:proofErr w:type="spellStart"/>
            <w:r w:rsidRPr="003F7D8F">
              <w:rPr>
                <w:lang w:val="fr-CH"/>
              </w:rPr>
              <w:t>Dormakaba</w:t>
            </w:r>
            <w:proofErr w:type="spellEnd"/>
            <w:r w:rsidRPr="003F7D8F">
              <w:rPr>
                <w:lang w:val="fr-CH"/>
              </w:rPr>
              <w:t>)</w:t>
            </w:r>
          </w:p>
        </w:tc>
        <w:tc>
          <w:tcPr>
            <w:tcW w:w="270" w:type="dxa"/>
            <w:tcBorders>
              <w:top w:val="single" w:sz="4" w:space="0" w:color="auto"/>
              <w:bottom w:val="single" w:sz="4" w:space="0" w:color="auto"/>
            </w:tcBorders>
          </w:tcPr>
          <w:p w:rsidR="000671A9" w:rsidRPr="003F7D8F" w:rsidRDefault="000671A9">
            <w:pPr>
              <w:pStyle w:val="covertext"/>
              <w:tabs>
                <w:tab w:val="left" w:pos="1152"/>
              </w:tabs>
              <w:spacing w:before="0" w:after="0"/>
              <w:rPr>
                <w:sz w:val="18"/>
                <w:lang w:val="fr-CH"/>
              </w:rPr>
            </w:pPr>
          </w:p>
        </w:tc>
      </w:tr>
      <w:tr w:rsidR="000671A9">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rsidP="0017651E">
            <w:pPr>
              <w:pStyle w:val="covertext"/>
            </w:pPr>
            <w:r>
              <w:t>[</w:t>
            </w:r>
            <w:r w:rsidR="00EE025E">
              <w:t>Proposal for</w:t>
            </w:r>
            <w:r w:rsidR="008710CE">
              <w:t xml:space="preserve"> Secure </w:t>
            </w:r>
            <w:r w:rsidR="0017651E">
              <w:t xml:space="preserve">Authenticated </w:t>
            </w:r>
            <w:r w:rsidR="008710CE">
              <w:t>Ranging based on</w:t>
            </w:r>
            <w:r w:rsidR="00EE025E">
              <w:t xml:space="preserve"> </w:t>
            </w:r>
            <w:r w:rsidR="008710CE" w:rsidRPr="008710CE">
              <w:t>LRP UWB PHY</w:t>
            </w:r>
            <w:r w:rsidR="001513B7" w:rsidRPr="001513B7">
              <w:t xml:space="preserve"> 802.15.4</w:t>
            </w:r>
            <w:r w:rsidR="004B6C95">
              <w:t>z</w:t>
            </w:r>
            <w:r>
              <w:t>]</w:t>
            </w:r>
          </w:p>
        </w:tc>
      </w:tr>
      <w:tr w:rsidR="000671A9">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17651E">
            <w:pPr>
              <w:pStyle w:val="covertext"/>
            </w:pPr>
            <w:r>
              <w:t>[</w:t>
            </w:r>
            <w:r w:rsidR="00246EB2" w:rsidRPr="00246EB2">
              <w:t>Propos</w:t>
            </w:r>
            <w:r w:rsidR="00246EB2">
              <w:t>e</w:t>
            </w:r>
            <w:r w:rsidR="00246EB2" w:rsidRPr="00246EB2">
              <w:t xml:space="preserve"> </w:t>
            </w:r>
            <w:r w:rsidR="00EE7637">
              <w:t xml:space="preserve">elements of </w:t>
            </w:r>
            <w:r w:rsidR="008710CE">
              <w:t xml:space="preserve">Secure </w:t>
            </w:r>
            <w:r w:rsidR="00E65141">
              <w:t xml:space="preserve">Authenticated </w:t>
            </w:r>
            <w:r w:rsidR="008710CE">
              <w:t xml:space="preserve">Ranging </w:t>
            </w:r>
            <w:r w:rsidR="006471C2">
              <w:t>PHY/</w:t>
            </w:r>
            <w:r w:rsidR="00890E21" w:rsidRPr="007023E3">
              <w:t>MAC</w:t>
            </w:r>
            <w:r w:rsidR="0017651E">
              <w:t xml:space="preserve"> descriptions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B167F8" w:rsidRDefault="0079297D" w:rsidP="00760BB0">
      <w:pPr>
        <w:pStyle w:val="IEEEStdsParagraph"/>
      </w:pPr>
      <w:r>
        <w:br w:type="page"/>
      </w:r>
    </w:p>
    <w:p w:rsidR="00920811" w:rsidRPr="00197383" w:rsidRDefault="00197383" w:rsidP="00197383">
      <w:pPr>
        <w:pStyle w:val="IEEEStdsLevel2Header"/>
        <w:numPr>
          <w:ilvl w:val="0"/>
          <w:numId w:val="0"/>
        </w:numPr>
        <w:rPr>
          <w:lang w:val="bg-BG"/>
        </w:rPr>
      </w:pPr>
      <w:r>
        <w:lastRenderedPageBreak/>
        <w:t>6.17</w:t>
      </w:r>
      <w:r w:rsidR="00920811">
        <w:t xml:space="preserve"> </w:t>
      </w:r>
      <w:r>
        <w:t xml:space="preserve">Secure </w:t>
      </w:r>
      <w:r w:rsidR="00EA1A27">
        <w:t>a</w:t>
      </w:r>
      <w:r w:rsidR="00ED4B33">
        <w:t xml:space="preserve">uthenticated </w:t>
      </w:r>
      <w:r w:rsidR="00EA1A27">
        <w:t>r</w:t>
      </w:r>
      <w:r w:rsidR="00920811">
        <w:t>anging</w:t>
      </w:r>
    </w:p>
    <w:p w:rsidR="00281CE5" w:rsidRDefault="00281CE5" w:rsidP="00281CE5">
      <w:pPr>
        <w:pStyle w:val="IEEEStdsParagraph"/>
      </w:pPr>
      <w:r>
        <w:t xml:space="preserve">Secure </w:t>
      </w:r>
      <w:r w:rsidR="009474BA">
        <w:t xml:space="preserve">authenticated </w:t>
      </w:r>
      <w:r>
        <w:t>rangi</w:t>
      </w:r>
      <w:r w:rsidR="00844F5C">
        <w:t>ng is</w:t>
      </w:r>
      <w:r>
        <w:t xml:space="preserve"> a roun</w:t>
      </w:r>
      <w:r w:rsidR="00844F5C">
        <w:t xml:space="preserve">d-trip-time </w:t>
      </w:r>
      <w:r>
        <w:t>ranging</w:t>
      </w:r>
      <w:r w:rsidR="00844F5C">
        <w:t xml:space="preserve"> using</w:t>
      </w:r>
      <w:r>
        <w:t xml:space="preserve"> a challenge-response one-way authentication and/or mutual authentication</w:t>
      </w:r>
      <w:r w:rsidR="00805DC0">
        <w:t xml:space="preserve"> mechanism</w:t>
      </w:r>
      <w:r>
        <w:t>.</w:t>
      </w:r>
    </w:p>
    <w:p w:rsidR="00281CE5" w:rsidRDefault="00844F5C" w:rsidP="00281CE5">
      <w:pPr>
        <w:pStyle w:val="IEEEStdsParagraph"/>
      </w:pPr>
      <w:r>
        <w:t xml:space="preserve">Secure </w:t>
      </w:r>
      <w:r w:rsidR="009474BA">
        <w:t xml:space="preserve">authenticated </w:t>
      </w:r>
      <w:r>
        <w:t>ranging uses</w:t>
      </w:r>
      <w:r w:rsidR="00281CE5">
        <w:t xml:space="preserve"> t</w:t>
      </w:r>
      <w:r>
        <w:t xml:space="preserve">he MAC </w:t>
      </w:r>
      <w:proofErr w:type="spellStart"/>
      <w:r>
        <w:t>sublayer</w:t>
      </w:r>
      <w:proofErr w:type="spellEnd"/>
      <w:r>
        <w:t xml:space="preserve"> </w:t>
      </w:r>
      <w:r w:rsidR="00281CE5">
        <w:t>provi</w:t>
      </w:r>
      <w:r>
        <w:t xml:space="preserve">ding the security services defined in </w:t>
      </w:r>
      <w:r w:rsidR="00196679">
        <w:t>Clause 9.</w:t>
      </w:r>
      <w:r w:rsidR="003F0AF9">
        <w:t xml:space="preserve"> Secure ranging is provably secure in LRP UWB Base </w:t>
      </w:r>
      <w:r w:rsidR="007A7396">
        <w:t xml:space="preserve">and Dual-Frequency </w:t>
      </w:r>
      <w:r w:rsidR="003F0AF9">
        <w:t>Mode</w:t>
      </w:r>
      <w:r w:rsidR="007A7396">
        <w:t xml:space="preserve">s </w:t>
      </w:r>
      <w:r w:rsidR="00196679">
        <w:t>as defined in Clause 19</w:t>
      </w:r>
      <w:r w:rsidR="00363D91">
        <w:t xml:space="preserve">. Secure </w:t>
      </w:r>
      <w:r w:rsidR="00097022">
        <w:t xml:space="preserve">authenticated </w:t>
      </w:r>
      <w:r w:rsidR="00363D91">
        <w:t>ranging</w:t>
      </w:r>
      <w:r w:rsidR="003F0AF9">
        <w:t xml:space="preserve"> </w:t>
      </w:r>
      <w:r w:rsidR="00805DC0">
        <w:t>provides the</w:t>
      </w:r>
      <w:r w:rsidR="003F0AF9">
        <w:t xml:space="preserve"> </w:t>
      </w:r>
      <w:r w:rsidR="008710CE">
        <w:t>highest</w:t>
      </w:r>
      <w:r w:rsidR="00805DC0">
        <w:t xml:space="preserve"> </w:t>
      </w:r>
      <w:r w:rsidR="003F0AF9">
        <w:t>security gua</w:t>
      </w:r>
      <w:r w:rsidR="00805DC0">
        <w:t>r</w:t>
      </w:r>
      <w:r w:rsidR="006F0631">
        <w:t>antees as defined by</w:t>
      </w:r>
      <w:r w:rsidR="003F0AF9">
        <w:t xml:space="preserve"> th</w:t>
      </w:r>
      <w:r w:rsidR="00196679">
        <w:t>e Security Levels of</w:t>
      </w:r>
      <w:r w:rsidR="003F0AF9">
        <w:t xml:space="preserve"> the MAC</w:t>
      </w:r>
      <w:r w:rsidR="005B1AD2">
        <w:t xml:space="preserve"> </w:t>
      </w:r>
      <w:proofErr w:type="spellStart"/>
      <w:r w:rsidR="005B1AD2">
        <w:t>s</w:t>
      </w:r>
      <w:r w:rsidR="007A7396">
        <w:t>ublayer</w:t>
      </w:r>
      <w:proofErr w:type="spellEnd"/>
      <w:r w:rsidR="007A7396">
        <w:t xml:space="preserve"> in Table 9-6.</w:t>
      </w:r>
    </w:p>
    <w:p w:rsidR="008710CE" w:rsidRDefault="008710CE" w:rsidP="008710CE">
      <w:pPr>
        <w:pStyle w:val="IEEEStdsParagraph"/>
      </w:pPr>
      <w:r>
        <w:t xml:space="preserve">Secure </w:t>
      </w:r>
      <w:r w:rsidR="00097022">
        <w:t xml:space="preserve">authenticated </w:t>
      </w:r>
      <w:r>
        <w:t xml:space="preserve">ranging uses </w:t>
      </w:r>
      <w:r>
        <w:rPr>
          <w:rFonts w:ascii="TimesNewRomanPSMT" w:hAnsi="TimesNewRomanPSMT" w:cs="TimesNewRomanPSMT"/>
        </w:rPr>
        <w:t>data frames as defined in 7.3.2</w:t>
      </w:r>
      <w:r w:rsidR="009D2677">
        <w:rPr>
          <w:rFonts w:ascii="TimesNewRomanPSMT" w:hAnsi="TimesNewRomanPSMT" w:cs="TimesNewRomanPSMT"/>
        </w:rPr>
        <w:t xml:space="preserve">. </w:t>
      </w:r>
      <w:r w:rsidR="00543782">
        <w:rPr>
          <w:rFonts w:ascii="TimesNewRomanPSMT" w:hAnsi="TimesNewRomanPSMT" w:cs="TimesNewRomanPSMT"/>
        </w:rPr>
        <w:t xml:space="preserve">When </w:t>
      </w:r>
      <w:r w:rsidR="00CE10A0">
        <w:rPr>
          <w:rFonts w:ascii="TimesNewRomanPSMT" w:hAnsi="TimesNewRomanPSMT" w:cs="TimesNewRomanPSMT"/>
        </w:rPr>
        <w:t xml:space="preserve">specified in this clause as secured, data frames </w:t>
      </w:r>
      <w:r w:rsidR="00543782">
        <w:rPr>
          <w:rFonts w:ascii="TimesNewRomanPSMT" w:hAnsi="TimesNewRomanPSMT" w:cs="TimesNewRomanPSMT"/>
        </w:rPr>
        <w:t xml:space="preserve">used for </w:t>
      </w:r>
      <w:r w:rsidR="00543782">
        <w:t xml:space="preserve">secure authenticated ranging are secured at security </w:t>
      </w:r>
      <w:r w:rsidR="007A7396">
        <w:t>level 1, 2 or 3</w:t>
      </w:r>
      <w:r w:rsidR="009D2677">
        <w:t>.</w:t>
      </w:r>
    </w:p>
    <w:p w:rsidR="006555D5" w:rsidRPr="006555D5" w:rsidRDefault="006555D5" w:rsidP="00193657">
      <w:pPr>
        <w:pStyle w:val="IEEEStdsParagraph"/>
      </w:pPr>
      <w:r>
        <w:t xml:space="preserve">A device performing </w:t>
      </w:r>
      <w:r w:rsidR="009D2677">
        <w:t>secure authenticated ranging</w:t>
      </w:r>
      <w:r>
        <w:t xml:space="preserve"> with one-way authentication or mutual authentication shall have the </w:t>
      </w:r>
      <w:proofErr w:type="spellStart"/>
      <w:r>
        <w:t>macSecurityEnabled</w:t>
      </w:r>
      <w:proofErr w:type="spellEnd"/>
      <w:r w:rsidR="009D2677">
        <w:t xml:space="preserve"> set to TRUE and shall be disabled otherwise. </w:t>
      </w:r>
      <w:r w:rsidR="00AE2901">
        <w:t xml:space="preserve">The secure ranging devices shall </w:t>
      </w:r>
      <w:r w:rsidR="009D2677" w:rsidRPr="00805DC0">
        <w:t>provide cryptographic transformations on incoming and</w:t>
      </w:r>
      <w:r w:rsidR="009D2677">
        <w:t xml:space="preserve"> </w:t>
      </w:r>
      <w:r w:rsidR="009D2677" w:rsidRPr="00805DC0">
        <w:t xml:space="preserve">outgoing frames using information in the PIB attributes associated with security </w:t>
      </w:r>
      <w:r w:rsidR="009D2677">
        <w:t>services defined in Clause 9</w:t>
      </w:r>
      <w:r w:rsidR="009D2677" w:rsidRPr="00805DC0">
        <w:t>.</w:t>
      </w:r>
      <w:r>
        <w:t xml:space="preserve"> </w:t>
      </w:r>
    </w:p>
    <w:p w:rsidR="008710CE" w:rsidRPr="00193657" w:rsidRDefault="001D68CF" w:rsidP="00193657">
      <w:pPr>
        <w:pStyle w:val="IEEEStdsParagraph"/>
      </w:pPr>
      <w:r w:rsidRPr="001D68CF">
        <w:rPr>
          <w:b/>
          <w:iCs/>
        </w:rPr>
        <w:t>[Comment</w:t>
      </w:r>
      <w:r>
        <w:rPr>
          <w:b/>
          <w:iCs/>
        </w:rPr>
        <w:t xml:space="preserve">&lt;1&gt;: </w:t>
      </w:r>
      <w:r w:rsidR="009D2677" w:rsidRPr="009D2677">
        <w:rPr>
          <w:iCs/>
        </w:rPr>
        <w:t xml:space="preserve">Is there need </w:t>
      </w:r>
      <w:r w:rsidRPr="001D68CF">
        <w:rPr>
          <w:iCs/>
        </w:rPr>
        <w:t>Define</w:t>
      </w:r>
      <w:r>
        <w:rPr>
          <w:b/>
          <w:iCs/>
        </w:rPr>
        <w:t xml:space="preserve"> </w:t>
      </w:r>
      <w:r w:rsidRPr="001D68CF">
        <w:rPr>
          <w:iCs/>
        </w:rPr>
        <w:t>IE</w:t>
      </w:r>
      <w:r>
        <w:rPr>
          <w:b/>
          <w:iCs/>
        </w:rPr>
        <w:t xml:space="preserve"> </w:t>
      </w:r>
      <w:r>
        <w:rPr>
          <w:iCs/>
        </w:rPr>
        <w:t>to indicate one-way vs. mutual authentication</w:t>
      </w:r>
      <w:r w:rsidRPr="001D68CF">
        <w:rPr>
          <w:b/>
          <w:iCs/>
        </w:rPr>
        <w:t>]</w:t>
      </w:r>
    </w:p>
    <w:p w:rsidR="00805DC0" w:rsidRPr="00805DC0" w:rsidRDefault="00805DC0" w:rsidP="00805DC0">
      <w:pPr>
        <w:autoSpaceDE w:val="0"/>
        <w:autoSpaceDN w:val="0"/>
        <w:adjustRightInd w:val="0"/>
        <w:rPr>
          <w:sz w:val="20"/>
        </w:rPr>
      </w:pPr>
    </w:p>
    <w:p w:rsidR="00281CE5" w:rsidRPr="004852E0" w:rsidRDefault="00A3753B" w:rsidP="00281CE5">
      <w:pPr>
        <w:pStyle w:val="IEEEStdsParagraph"/>
        <w:rPr>
          <w:rFonts w:ascii="Arial" w:hAnsi="Arial" w:cs="Arial"/>
          <w:b/>
        </w:rPr>
      </w:pPr>
      <w:r w:rsidRPr="004852E0">
        <w:rPr>
          <w:rFonts w:ascii="Arial" w:hAnsi="Arial" w:cs="Arial"/>
          <w:b/>
        </w:rPr>
        <w:t>6.17.1</w:t>
      </w:r>
      <w:r w:rsidR="00281CE5" w:rsidRPr="004852E0">
        <w:rPr>
          <w:rFonts w:ascii="Arial" w:hAnsi="Arial" w:cs="Arial"/>
          <w:b/>
        </w:rPr>
        <w:t xml:space="preserve"> Secure ranging with one-way authentication</w:t>
      </w:r>
    </w:p>
    <w:p w:rsidR="00920811" w:rsidRDefault="00844F5C" w:rsidP="00920811">
      <w:pPr>
        <w:pStyle w:val="IEEEStdsParagraph"/>
      </w:pPr>
      <w:r>
        <w:t xml:space="preserve">This </w:t>
      </w:r>
      <w:proofErr w:type="spellStart"/>
      <w:r>
        <w:t>subclause</w:t>
      </w:r>
      <w:proofErr w:type="spellEnd"/>
      <w:r>
        <w:t xml:space="preserve"> describes </w:t>
      </w:r>
      <w:r w:rsidR="0050367A">
        <w:t xml:space="preserve">the two-way message </w:t>
      </w:r>
      <w:r w:rsidR="00E360AD">
        <w:t xml:space="preserve">exchange </w:t>
      </w:r>
      <w:r>
        <w:t xml:space="preserve">based on </w:t>
      </w:r>
      <w:r w:rsidR="004852E0">
        <w:t xml:space="preserve">AES </w:t>
      </w:r>
      <w:r w:rsidR="003F0AF9">
        <w:t>CCM* security services in 9.1</w:t>
      </w:r>
      <w:r w:rsidR="00E360AD">
        <w:t xml:space="preserve"> </w:t>
      </w:r>
      <w:r w:rsidR="00AE2901">
        <w:t>used to</w:t>
      </w:r>
      <w:r w:rsidR="00E360AD">
        <w:t xml:space="preserve"> achieve secure ranging with one-way authentication</w:t>
      </w:r>
      <w:r w:rsidR="005E6ACC">
        <w:t>.</w:t>
      </w:r>
    </w:p>
    <w:p w:rsidR="005E6ACC" w:rsidRDefault="005E6ACC" w:rsidP="00920811">
      <w:pPr>
        <w:pStyle w:val="IEEEStdsParagraph"/>
      </w:pPr>
    </w:p>
    <w:p w:rsidR="005E6ACC" w:rsidRDefault="00AE2901" w:rsidP="005E6ACC">
      <w:pPr>
        <w:pStyle w:val="IEEEStdsParagraph"/>
        <w:keepNext/>
        <w:jc w:val="center"/>
      </w:pPr>
      <w:r w:rsidRPr="00AE2901">
        <w:rPr>
          <w:noProof/>
          <w:lang w:eastAsia="en-US"/>
        </w:rPr>
        <w:drawing>
          <wp:inline distT="0" distB="0" distL="0" distR="0">
            <wp:extent cx="3360420" cy="1508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60420" cy="1508760"/>
                    </a:xfrm>
                    <a:prstGeom prst="rect">
                      <a:avLst/>
                    </a:prstGeom>
                    <a:noFill/>
                    <a:ln w="9525">
                      <a:noFill/>
                      <a:miter lim="800000"/>
                      <a:headEnd/>
                      <a:tailEnd/>
                    </a:ln>
                  </pic:spPr>
                </pic:pic>
              </a:graphicData>
            </a:graphic>
          </wp:inline>
        </w:drawing>
      </w:r>
    </w:p>
    <w:p w:rsidR="005E6ACC" w:rsidRPr="005E6ACC" w:rsidRDefault="005E6ACC" w:rsidP="005E6ACC">
      <w:pPr>
        <w:pStyle w:val="Caption"/>
        <w:jc w:val="center"/>
        <w:rPr>
          <w:color w:val="000000" w:themeColor="text1"/>
        </w:rPr>
      </w:pPr>
      <w:r w:rsidRPr="005E6ACC">
        <w:rPr>
          <w:color w:val="000000" w:themeColor="text1"/>
        </w:rPr>
        <w:t xml:space="preserve">Figure </w:t>
      </w:r>
      <w:r w:rsidR="00C10B0B" w:rsidRPr="005E6ACC">
        <w:rPr>
          <w:color w:val="000000" w:themeColor="text1"/>
        </w:rPr>
        <w:fldChar w:fldCharType="begin"/>
      </w:r>
      <w:r w:rsidRPr="005E6ACC">
        <w:rPr>
          <w:color w:val="000000" w:themeColor="text1"/>
        </w:rPr>
        <w:instrText xml:space="preserve"> SEQ Figure \* ARABIC </w:instrText>
      </w:r>
      <w:r w:rsidR="00C10B0B" w:rsidRPr="005E6ACC">
        <w:rPr>
          <w:color w:val="000000" w:themeColor="text1"/>
        </w:rPr>
        <w:fldChar w:fldCharType="separate"/>
      </w:r>
      <w:r w:rsidR="00991B8C">
        <w:rPr>
          <w:noProof/>
          <w:color w:val="000000" w:themeColor="text1"/>
        </w:rPr>
        <w:t>1</w:t>
      </w:r>
      <w:r w:rsidR="00C10B0B" w:rsidRPr="005E6ACC">
        <w:rPr>
          <w:color w:val="000000" w:themeColor="text1"/>
        </w:rPr>
        <w:fldChar w:fldCharType="end"/>
      </w:r>
      <w:r>
        <w:rPr>
          <w:color w:val="000000" w:themeColor="text1"/>
        </w:rPr>
        <w:t>-</w:t>
      </w:r>
      <w:r w:rsidRPr="005E6ACC">
        <w:rPr>
          <w:color w:val="000000" w:themeColor="text1"/>
        </w:rPr>
        <w:t xml:space="preserve"> Secure ranging with one-way authentication</w:t>
      </w:r>
    </w:p>
    <w:p w:rsidR="005E6ACC" w:rsidRPr="005E6ACC" w:rsidRDefault="00A3753B" w:rsidP="005E6ACC">
      <w:pPr>
        <w:pStyle w:val="IEEEStdsParagraph"/>
        <w:rPr>
          <w:b/>
        </w:rPr>
      </w:pPr>
      <w:r>
        <w:rPr>
          <w:b/>
        </w:rPr>
        <w:t>6.17.</w:t>
      </w:r>
      <w:r w:rsidR="00AE2901">
        <w:rPr>
          <w:b/>
        </w:rPr>
        <w:t xml:space="preserve">1.1 </w:t>
      </w:r>
      <w:proofErr w:type="spellStart"/>
      <w:r w:rsidR="00AE2901">
        <w:rPr>
          <w:b/>
        </w:rPr>
        <w:t>VChall</w:t>
      </w:r>
      <w:r w:rsidR="005E6ACC" w:rsidRPr="005E6ACC">
        <w:rPr>
          <w:b/>
        </w:rPr>
        <w:t>e</w:t>
      </w:r>
      <w:r w:rsidR="00AE2901">
        <w:rPr>
          <w:b/>
        </w:rPr>
        <w:t>nge</w:t>
      </w:r>
      <w:proofErr w:type="spellEnd"/>
    </w:p>
    <w:p w:rsidR="005E6ACC" w:rsidRDefault="00AE2901" w:rsidP="005E6ACC">
      <w:pPr>
        <w:pStyle w:val="IEEEStdsParagraph"/>
      </w:pPr>
      <w:proofErr w:type="spellStart"/>
      <w:r>
        <w:t>VChallenge</w:t>
      </w:r>
      <w:proofErr w:type="spellEnd"/>
      <w:r w:rsidR="005E6ACC">
        <w:t xml:space="preserve"> is </w:t>
      </w:r>
      <w:r w:rsidR="00991B8C">
        <w:t>a fresh random number</w:t>
      </w:r>
      <w:r w:rsidR="00822ECE">
        <w:t xml:space="preserve"> of</w:t>
      </w:r>
      <w:r w:rsidR="005E6ACC">
        <w:t xml:space="preserve"> 32, 64 or 128 bits corresponding to the </w:t>
      </w:r>
      <w:r w:rsidR="00822ECE">
        <w:t xml:space="preserve">chosen </w:t>
      </w:r>
      <w:r w:rsidR="005E6ACC">
        <w:t xml:space="preserve">Security Level. The generation </w:t>
      </w:r>
      <w:r w:rsidR="00822ECE">
        <w:t xml:space="preserve">mechanism </w:t>
      </w:r>
      <w:r w:rsidR="005E6ACC">
        <w:t>is outside the scope of this standard</w:t>
      </w:r>
      <w:r w:rsidR="00822ECE">
        <w:t>.</w:t>
      </w:r>
    </w:p>
    <w:tbl>
      <w:tblPr>
        <w:tblStyle w:val="TableGrid"/>
        <w:tblW w:w="0" w:type="auto"/>
        <w:jc w:val="center"/>
        <w:tblLook w:val="04A0"/>
      </w:tblPr>
      <w:tblGrid>
        <w:gridCol w:w="1841"/>
        <w:gridCol w:w="1841"/>
      </w:tblGrid>
      <w:tr w:rsidR="00E222FC" w:rsidTr="00E222FC">
        <w:trPr>
          <w:trHeight w:val="225"/>
          <w:jc w:val="center"/>
        </w:trPr>
        <w:tc>
          <w:tcPr>
            <w:tcW w:w="1841" w:type="dxa"/>
          </w:tcPr>
          <w:p w:rsidR="00E222FC" w:rsidRPr="00E222FC" w:rsidRDefault="00E222FC" w:rsidP="00E222FC">
            <w:pPr>
              <w:pStyle w:val="IEEEStdsParagraph"/>
              <w:spacing w:after="0"/>
              <w:rPr>
                <w:b/>
              </w:rPr>
            </w:pPr>
            <w:proofErr w:type="spellStart"/>
            <w:r w:rsidRPr="00E222FC">
              <w:rPr>
                <w:b/>
              </w:rPr>
              <w:t>V</w:t>
            </w:r>
            <w:r w:rsidR="00AE2901">
              <w:rPr>
                <w:b/>
              </w:rPr>
              <w:t>Challenge</w:t>
            </w:r>
            <w:proofErr w:type="spellEnd"/>
          </w:p>
        </w:tc>
        <w:tc>
          <w:tcPr>
            <w:tcW w:w="1841" w:type="dxa"/>
          </w:tcPr>
          <w:p w:rsidR="00E222FC" w:rsidRPr="00E222FC" w:rsidRDefault="00E222FC" w:rsidP="00E222FC">
            <w:pPr>
              <w:pStyle w:val="IEEEStdsParagraph"/>
              <w:spacing w:after="0"/>
              <w:rPr>
                <w:b/>
              </w:rPr>
            </w:pPr>
            <w:r w:rsidRPr="00E222FC">
              <w:rPr>
                <w:b/>
              </w:rPr>
              <w:t>Length</w:t>
            </w:r>
            <w:r>
              <w:rPr>
                <w:b/>
              </w:rPr>
              <w:t xml:space="preserve"> (bits)</w:t>
            </w:r>
          </w:p>
        </w:tc>
      </w:tr>
      <w:tr w:rsidR="00E222FC" w:rsidTr="00E222FC">
        <w:trPr>
          <w:trHeight w:val="225"/>
          <w:jc w:val="center"/>
        </w:trPr>
        <w:tc>
          <w:tcPr>
            <w:tcW w:w="1841" w:type="dxa"/>
          </w:tcPr>
          <w:p w:rsidR="00E222FC" w:rsidRDefault="00AE2901" w:rsidP="00E222FC">
            <w:pPr>
              <w:pStyle w:val="IEEEStdsParagraph"/>
              <w:spacing w:after="0"/>
            </w:pPr>
            <w:r>
              <w:t>VChallenge</w:t>
            </w:r>
            <w:r w:rsidR="00E222FC">
              <w:t>32</w:t>
            </w:r>
          </w:p>
        </w:tc>
        <w:tc>
          <w:tcPr>
            <w:tcW w:w="1841" w:type="dxa"/>
          </w:tcPr>
          <w:p w:rsidR="00E222FC" w:rsidRDefault="00E222FC" w:rsidP="00E222FC">
            <w:pPr>
              <w:pStyle w:val="IEEEStdsParagraph"/>
              <w:spacing w:after="0"/>
            </w:pPr>
            <w:r>
              <w:t>32</w:t>
            </w:r>
          </w:p>
        </w:tc>
      </w:tr>
      <w:tr w:rsidR="00E222FC" w:rsidTr="00E222FC">
        <w:trPr>
          <w:trHeight w:val="225"/>
          <w:jc w:val="center"/>
        </w:trPr>
        <w:tc>
          <w:tcPr>
            <w:tcW w:w="1841" w:type="dxa"/>
          </w:tcPr>
          <w:p w:rsidR="00E222FC" w:rsidRDefault="00AE2901" w:rsidP="001D70C7">
            <w:pPr>
              <w:pStyle w:val="IEEEStdsParagraph"/>
              <w:spacing w:after="0"/>
            </w:pPr>
            <w:r>
              <w:t>VChallenge</w:t>
            </w:r>
            <w:r w:rsidR="00E222FC">
              <w:t>64</w:t>
            </w:r>
          </w:p>
        </w:tc>
        <w:tc>
          <w:tcPr>
            <w:tcW w:w="1841" w:type="dxa"/>
          </w:tcPr>
          <w:p w:rsidR="00E222FC" w:rsidRDefault="00E222FC" w:rsidP="001D70C7">
            <w:pPr>
              <w:pStyle w:val="IEEEStdsParagraph"/>
              <w:spacing w:after="0"/>
            </w:pPr>
            <w:r>
              <w:t>64</w:t>
            </w:r>
          </w:p>
        </w:tc>
      </w:tr>
      <w:tr w:rsidR="00E222FC" w:rsidTr="00E222FC">
        <w:trPr>
          <w:trHeight w:val="225"/>
          <w:jc w:val="center"/>
        </w:trPr>
        <w:tc>
          <w:tcPr>
            <w:tcW w:w="1841" w:type="dxa"/>
          </w:tcPr>
          <w:p w:rsidR="00E222FC" w:rsidRDefault="00AE2901" w:rsidP="001D70C7">
            <w:pPr>
              <w:pStyle w:val="IEEEStdsParagraph"/>
              <w:spacing w:after="0"/>
            </w:pPr>
            <w:r>
              <w:t>VChallenge</w:t>
            </w:r>
            <w:r w:rsidR="00E222FC">
              <w:t>128</w:t>
            </w:r>
          </w:p>
        </w:tc>
        <w:tc>
          <w:tcPr>
            <w:tcW w:w="1841" w:type="dxa"/>
          </w:tcPr>
          <w:p w:rsidR="00E222FC" w:rsidRDefault="00E222FC" w:rsidP="001D70C7">
            <w:pPr>
              <w:pStyle w:val="IEEEStdsParagraph"/>
              <w:spacing w:after="0"/>
            </w:pPr>
            <w:r>
              <w:t>128</w:t>
            </w:r>
          </w:p>
        </w:tc>
      </w:tr>
    </w:tbl>
    <w:p w:rsidR="00E222FC" w:rsidRDefault="00E222FC" w:rsidP="005E6ACC">
      <w:pPr>
        <w:pStyle w:val="IEEEStdsParagraph"/>
      </w:pPr>
    </w:p>
    <w:p w:rsidR="006F0631" w:rsidRDefault="00822ECE" w:rsidP="00920811">
      <w:pPr>
        <w:pStyle w:val="IEEEStdsParagraph"/>
      </w:pPr>
      <w:r>
        <w:lastRenderedPageBreak/>
        <w:t>The Security Level shall be set to 0 in the Security Control field of the Auxiliary Security He</w:t>
      </w:r>
      <w:r w:rsidR="00AE2901">
        <w:t xml:space="preserve">ader. This indicates that </w:t>
      </w:r>
      <w:proofErr w:type="spellStart"/>
      <w:r w:rsidR="00AE2901">
        <w:t>VChallenge</w:t>
      </w:r>
      <w:proofErr w:type="spellEnd"/>
      <w:r>
        <w:t xml:space="preserve"> is neither authenticated, nor </w:t>
      </w:r>
      <w:r w:rsidR="00BA5081">
        <w:t xml:space="preserve">encrypted data, i.e., </w:t>
      </w:r>
      <w:r>
        <w:t>no CCM* transform</w:t>
      </w:r>
      <w:r w:rsidR="00AE2901">
        <w:t xml:space="preserve">ation is performed on the </w:t>
      </w:r>
      <w:proofErr w:type="spellStart"/>
      <w:r w:rsidR="00AE2901">
        <w:t>VChallenge</w:t>
      </w:r>
      <w:proofErr w:type="spellEnd"/>
      <w:r>
        <w:t>.</w:t>
      </w:r>
    </w:p>
    <w:p w:rsidR="008506F5" w:rsidRPr="005E6ACC" w:rsidRDefault="00A3753B" w:rsidP="006F0631">
      <w:pPr>
        <w:pStyle w:val="IEEEStdsParagraph"/>
        <w:rPr>
          <w:b/>
        </w:rPr>
      </w:pPr>
      <w:r>
        <w:rPr>
          <w:b/>
        </w:rPr>
        <w:t>6.17</w:t>
      </w:r>
      <w:r w:rsidR="009D783E">
        <w:rPr>
          <w:b/>
        </w:rPr>
        <w:t>.1.2</w:t>
      </w:r>
      <w:r w:rsidR="005E6ACC" w:rsidRPr="005E6ACC">
        <w:rPr>
          <w:b/>
        </w:rPr>
        <w:t xml:space="preserve"> </w:t>
      </w:r>
      <w:proofErr w:type="spellStart"/>
      <w:r w:rsidR="005E6ACC" w:rsidRPr="005E6ACC">
        <w:rPr>
          <w:b/>
        </w:rPr>
        <w:t>PResponse</w:t>
      </w:r>
      <w:proofErr w:type="spellEnd"/>
    </w:p>
    <w:p w:rsidR="006F0631" w:rsidRPr="006F0631" w:rsidRDefault="004E353A" w:rsidP="006F0631">
      <w:pPr>
        <w:pStyle w:val="IEEEStdsParagraph"/>
      </w:pPr>
      <w:proofErr w:type="spellStart"/>
      <w:r>
        <w:t>PRespo</w:t>
      </w:r>
      <w:r w:rsidR="00D84E1F">
        <w:t>nse</w:t>
      </w:r>
      <w:proofErr w:type="spellEnd"/>
      <w:r w:rsidR="00D84E1F">
        <w:t xml:space="preserve"> is </w:t>
      </w:r>
      <w:r w:rsidR="0073266A">
        <w:t xml:space="preserve">a secured </w:t>
      </w:r>
      <w:r w:rsidR="00CD557B">
        <w:t>frame which contains</w:t>
      </w:r>
      <w:r w:rsidR="00D84E1F">
        <w:t xml:space="preserve"> </w:t>
      </w:r>
      <w:r w:rsidR="00CD557B">
        <w:t xml:space="preserve">the </w:t>
      </w:r>
      <w:r w:rsidR="00CA2B24">
        <w:t xml:space="preserve">received </w:t>
      </w:r>
      <w:proofErr w:type="spellStart"/>
      <w:r w:rsidR="00046CBF">
        <w:t>VChallenge</w:t>
      </w:r>
      <w:proofErr w:type="spellEnd"/>
      <w:r w:rsidR="00046CBF">
        <w:t xml:space="preserve"> </w:t>
      </w:r>
      <w:r w:rsidR="0073266A">
        <w:t xml:space="preserve">and its </w:t>
      </w:r>
      <w:r w:rsidR="00D84E1F">
        <w:t>MIC (Message Integrity Code)</w:t>
      </w:r>
      <w:r w:rsidR="001B3740">
        <w:t xml:space="preserve"> computed using</w:t>
      </w:r>
      <w:r w:rsidR="00B50DDE">
        <w:t xml:space="preserve"> the security service of</w:t>
      </w:r>
      <w:r w:rsidR="00D84E1F">
        <w:t xml:space="preserve"> data authenticity </w:t>
      </w:r>
      <w:r>
        <w:t>as defined in Table 9-4. T</w:t>
      </w:r>
      <w:r w:rsidR="006F0631">
        <w:t>able</w:t>
      </w:r>
      <w:r>
        <w:t xml:space="preserve"> X defines </w:t>
      </w:r>
      <w:proofErr w:type="gramStart"/>
      <w:r>
        <w:t>the</w:t>
      </w:r>
      <w:r w:rsidR="006F0631">
        <w:t xml:space="preserve"> </w:t>
      </w:r>
      <w:r w:rsidR="006F0631" w:rsidRPr="004E353A">
        <w:rPr>
          <w:i/>
        </w:rPr>
        <w:t>a</w:t>
      </w:r>
      <w:proofErr w:type="gramEnd"/>
      <w:r w:rsidR="006F0631">
        <w:rPr>
          <w:b/>
        </w:rPr>
        <w:t xml:space="preserve"> </w:t>
      </w:r>
      <w:r w:rsidR="006F0631">
        <w:t>data</w:t>
      </w:r>
      <w:r>
        <w:t xml:space="preserve"> to be used for the CCM* </w:t>
      </w:r>
      <w:r w:rsidR="00046CBF">
        <w:t xml:space="preserve">authentication </w:t>
      </w:r>
      <w:r>
        <w:t xml:space="preserve">transformation to compute the </w:t>
      </w:r>
      <w:r w:rsidRPr="004E353A">
        <w:rPr>
          <w:i/>
        </w:rPr>
        <w:t>c</w:t>
      </w:r>
      <w:r>
        <w:t xml:space="preserve"> data</w:t>
      </w:r>
      <w:r w:rsidR="00046CBF">
        <w:t xml:space="preserve">. </w:t>
      </w:r>
      <w:proofErr w:type="spellStart"/>
      <w:r w:rsidR="00046CBF">
        <w:t>VChallenge</w:t>
      </w:r>
      <w:proofErr w:type="spellEnd"/>
      <w:r w:rsidR="00CA2B24">
        <w:t xml:space="preserve"> shall be</w:t>
      </w:r>
      <w:r>
        <w:t xml:space="preserve"> the Unsecured Private Pay</w:t>
      </w:r>
      <w:r w:rsidR="0073266A">
        <w:t>load field defined in Table 9.3.</w:t>
      </w:r>
    </w:p>
    <w:tbl>
      <w:tblPr>
        <w:tblStyle w:val="TableGrid"/>
        <w:tblW w:w="0" w:type="auto"/>
        <w:jc w:val="center"/>
        <w:tblLook w:val="04A0"/>
      </w:tblPr>
      <w:tblGrid>
        <w:gridCol w:w="1778"/>
        <w:gridCol w:w="2340"/>
        <w:gridCol w:w="2059"/>
        <w:gridCol w:w="2059"/>
      </w:tblGrid>
      <w:tr w:rsidR="004E353A" w:rsidTr="00AE2901">
        <w:trPr>
          <w:trHeight w:val="249"/>
          <w:jc w:val="center"/>
        </w:trPr>
        <w:tc>
          <w:tcPr>
            <w:tcW w:w="1778" w:type="dxa"/>
          </w:tcPr>
          <w:p w:rsidR="004E353A" w:rsidRDefault="004E353A" w:rsidP="004E353A">
            <w:pPr>
              <w:pStyle w:val="IEEEStdsParagraph"/>
              <w:spacing w:after="0"/>
            </w:pPr>
            <w:r>
              <w:t>Security level</w:t>
            </w:r>
          </w:p>
        </w:tc>
        <w:tc>
          <w:tcPr>
            <w:tcW w:w="2340" w:type="dxa"/>
          </w:tcPr>
          <w:p w:rsidR="004E353A" w:rsidRDefault="004E353A" w:rsidP="004E353A">
            <w:pPr>
              <w:pStyle w:val="IEEEStdsParagraph"/>
              <w:spacing w:after="0"/>
            </w:pPr>
            <w:r w:rsidRPr="004E353A">
              <w:rPr>
                <w:i/>
              </w:rPr>
              <w:t>a</w:t>
            </w:r>
            <w:r>
              <w:t xml:space="preserve"> data</w:t>
            </w:r>
          </w:p>
        </w:tc>
        <w:tc>
          <w:tcPr>
            <w:tcW w:w="2059" w:type="dxa"/>
          </w:tcPr>
          <w:p w:rsidR="004E353A" w:rsidRPr="004E353A" w:rsidRDefault="004E353A" w:rsidP="004E353A">
            <w:pPr>
              <w:pStyle w:val="IEEEStdsParagraph"/>
              <w:spacing w:after="0"/>
            </w:pPr>
            <w:r w:rsidRPr="004E353A">
              <w:rPr>
                <w:i/>
              </w:rPr>
              <w:t>m</w:t>
            </w:r>
            <w:r>
              <w:rPr>
                <w:i/>
              </w:rPr>
              <w:t xml:space="preserve"> </w:t>
            </w:r>
            <w:r>
              <w:t>data</w:t>
            </w:r>
          </w:p>
        </w:tc>
        <w:tc>
          <w:tcPr>
            <w:tcW w:w="2059" w:type="dxa"/>
          </w:tcPr>
          <w:p w:rsidR="004E353A" w:rsidRPr="004E353A" w:rsidRDefault="004E353A" w:rsidP="004E353A">
            <w:pPr>
              <w:pStyle w:val="IEEEStdsParagraph"/>
              <w:spacing w:after="0"/>
              <w:rPr>
                <w:b/>
                <w:i/>
              </w:rPr>
            </w:pPr>
            <w:r>
              <w:rPr>
                <w:i/>
              </w:rPr>
              <w:t xml:space="preserve">c </w:t>
            </w:r>
            <w:r w:rsidRPr="004E353A">
              <w:t>data</w:t>
            </w:r>
          </w:p>
        </w:tc>
      </w:tr>
      <w:tr w:rsidR="004E353A" w:rsidTr="00AE2901">
        <w:trPr>
          <w:trHeight w:val="249"/>
          <w:jc w:val="center"/>
        </w:trPr>
        <w:tc>
          <w:tcPr>
            <w:tcW w:w="1778" w:type="dxa"/>
          </w:tcPr>
          <w:p w:rsidR="004E353A" w:rsidRDefault="004E353A" w:rsidP="004E353A">
            <w:pPr>
              <w:pStyle w:val="IEEEStdsParagraph"/>
              <w:spacing w:after="0"/>
            </w:pPr>
            <w:r>
              <w:t>0</w:t>
            </w:r>
          </w:p>
        </w:tc>
        <w:tc>
          <w:tcPr>
            <w:tcW w:w="2340" w:type="dxa"/>
          </w:tcPr>
          <w:p w:rsidR="004E353A" w:rsidRDefault="004E353A" w:rsidP="004E353A">
            <w:pPr>
              <w:pStyle w:val="IEEEStdsParagraph"/>
              <w:spacing w:after="0"/>
            </w:pPr>
            <w:r>
              <w:t>Not applicable</w:t>
            </w:r>
          </w:p>
        </w:tc>
        <w:tc>
          <w:tcPr>
            <w:tcW w:w="2059" w:type="dxa"/>
          </w:tcPr>
          <w:p w:rsidR="004E353A" w:rsidRDefault="004E353A" w:rsidP="004E353A">
            <w:pPr>
              <w:pStyle w:val="IEEEStdsParagraph"/>
              <w:spacing w:after="0"/>
            </w:pPr>
            <w:r>
              <w:t>Not applicable</w:t>
            </w:r>
          </w:p>
        </w:tc>
        <w:tc>
          <w:tcPr>
            <w:tcW w:w="2059" w:type="dxa"/>
          </w:tcPr>
          <w:p w:rsidR="004E353A" w:rsidRDefault="004E353A" w:rsidP="004E353A">
            <w:pPr>
              <w:pStyle w:val="IEEEStdsParagraph"/>
              <w:spacing w:after="0"/>
            </w:pPr>
            <w:r>
              <w:t>Not applicable</w:t>
            </w:r>
          </w:p>
        </w:tc>
      </w:tr>
      <w:tr w:rsidR="004E353A" w:rsidTr="00AE2901">
        <w:trPr>
          <w:trHeight w:val="249"/>
          <w:jc w:val="center"/>
        </w:trPr>
        <w:tc>
          <w:tcPr>
            <w:tcW w:w="1778" w:type="dxa"/>
          </w:tcPr>
          <w:p w:rsidR="004E353A" w:rsidRDefault="004E353A" w:rsidP="004E353A">
            <w:pPr>
              <w:pStyle w:val="IEEEStdsParagraph"/>
              <w:spacing w:after="0"/>
            </w:pPr>
            <w:r>
              <w:t>1</w:t>
            </w:r>
          </w:p>
        </w:tc>
        <w:tc>
          <w:tcPr>
            <w:tcW w:w="2340" w:type="dxa"/>
          </w:tcPr>
          <w:p w:rsidR="004E353A" w:rsidRDefault="009D783E" w:rsidP="004E353A">
            <w:pPr>
              <w:pStyle w:val="IEEEStdsParagraph"/>
              <w:spacing w:after="0"/>
            </w:pPr>
            <w:r>
              <w:t xml:space="preserve">MHR </w:t>
            </w:r>
            <w:r w:rsidR="00AD6B45">
              <w:t>||</w:t>
            </w:r>
            <w:r w:rsidR="00514F03">
              <w:t xml:space="preserve"> V</w:t>
            </w:r>
            <w:r w:rsidR="00AE2901">
              <w:t>Challenge</w:t>
            </w:r>
            <w:r w:rsidR="00AD6B45">
              <w:t>32</w:t>
            </w:r>
          </w:p>
        </w:tc>
        <w:tc>
          <w:tcPr>
            <w:tcW w:w="2059" w:type="dxa"/>
          </w:tcPr>
          <w:p w:rsidR="004E353A" w:rsidRDefault="004E353A" w:rsidP="004E353A">
            <w:pPr>
              <w:pStyle w:val="IEEEStdsParagraph"/>
              <w:spacing w:after="0"/>
            </w:pPr>
            <w:r>
              <w:t>None</w:t>
            </w:r>
          </w:p>
        </w:tc>
        <w:tc>
          <w:tcPr>
            <w:tcW w:w="2059" w:type="dxa"/>
          </w:tcPr>
          <w:p w:rsidR="004E353A" w:rsidRDefault="004E353A" w:rsidP="004E353A">
            <w:pPr>
              <w:pStyle w:val="IEEEStdsParagraph"/>
              <w:spacing w:after="0"/>
            </w:pPr>
            <w:r>
              <w:t>MIC-32</w:t>
            </w:r>
          </w:p>
        </w:tc>
      </w:tr>
      <w:tr w:rsidR="004E353A" w:rsidTr="00AE2901">
        <w:trPr>
          <w:trHeight w:val="249"/>
          <w:jc w:val="center"/>
        </w:trPr>
        <w:tc>
          <w:tcPr>
            <w:tcW w:w="1778" w:type="dxa"/>
          </w:tcPr>
          <w:p w:rsidR="004E353A" w:rsidRDefault="004E353A" w:rsidP="004E353A">
            <w:pPr>
              <w:pStyle w:val="IEEEStdsParagraph"/>
              <w:spacing w:after="0"/>
            </w:pPr>
            <w:r>
              <w:t>2</w:t>
            </w:r>
          </w:p>
        </w:tc>
        <w:tc>
          <w:tcPr>
            <w:tcW w:w="2340" w:type="dxa"/>
          </w:tcPr>
          <w:p w:rsidR="004E353A" w:rsidRDefault="009D783E" w:rsidP="004E353A">
            <w:pPr>
              <w:pStyle w:val="IEEEStdsParagraph"/>
              <w:spacing w:after="0"/>
            </w:pPr>
            <w:r>
              <w:t>MHR ||</w:t>
            </w:r>
            <w:r w:rsidR="00514F03">
              <w:t xml:space="preserve"> V</w:t>
            </w:r>
            <w:r w:rsidR="00AE2901">
              <w:t>Challenge</w:t>
            </w:r>
            <w:r w:rsidR="00AD6B45">
              <w:t>64</w:t>
            </w:r>
          </w:p>
        </w:tc>
        <w:tc>
          <w:tcPr>
            <w:tcW w:w="2059" w:type="dxa"/>
          </w:tcPr>
          <w:p w:rsidR="004E353A" w:rsidRDefault="004E353A" w:rsidP="004E353A">
            <w:pPr>
              <w:pStyle w:val="IEEEStdsParagraph"/>
              <w:spacing w:after="0"/>
            </w:pPr>
            <w:r>
              <w:t>None</w:t>
            </w:r>
          </w:p>
        </w:tc>
        <w:tc>
          <w:tcPr>
            <w:tcW w:w="2059" w:type="dxa"/>
          </w:tcPr>
          <w:p w:rsidR="004E353A" w:rsidRDefault="004E353A" w:rsidP="004E353A">
            <w:pPr>
              <w:pStyle w:val="IEEEStdsParagraph"/>
              <w:spacing w:after="0"/>
            </w:pPr>
            <w:r>
              <w:t>MIC-64</w:t>
            </w:r>
          </w:p>
        </w:tc>
      </w:tr>
      <w:tr w:rsidR="004E353A" w:rsidTr="00AE2901">
        <w:trPr>
          <w:trHeight w:val="249"/>
          <w:jc w:val="center"/>
        </w:trPr>
        <w:tc>
          <w:tcPr>
            <w:tcW w:w="1778" w:type="dxa"/>
          </w:tcPr>
          <w:p w:rsidR="004E353A" w:rsidRDefault="004E353A" w:rsidP="004E353A">
            <w:pPr>
              <w:pStyle w:val="IEEEStdsParagraph"/>
              <w:spacing w:after="0"/>
            </w:pPr>
            <w:r>
              <w:t>3</w:t>
            </w:r>
          </w:p>
        </w:tc>
        <w:tc>
          <w:tcPr>
            <w:tcW w:w="2340" w:type="dxa"/>
          </w:tcPr>
          <w:p w:rsidR="004E353A" w:rsidRDefault="009D783E" w:rsidP="004E353A">
            <w:pPr>
              <w:pStyle w:val="IEEEStdsParagraph"/>
              <w:spacing w:after="0"/>
            </w:pPr>
            <w:r>
              <w:t xml:space="preserve">MHR || </w:t>
            </w:r>
            <w:r w:rsidR="00AE2901">
              <w:t>VChallenge</w:t>
            </w:r>
            <w:r w:rsidR="00514F03">
              <w:t>128</w:t>
            </w:r>
          </w:p>
        </w:tc>
        <w:tc>
          <w:tcPr>
            <w:tcW w:w="2059" w:type="dxa"/>
          </w:tcPr>
          <w:p w:rsidR="004E353A" w:rsidRDefault="004E353A" w:rsidP="004E353A">
            <w:pPr>
              <w:pStyle w:val="IEEEStdsParagraph"/>
              <w:spacing w:after="0"/>
            </w:pPr>
            <w:r>
              <w:t>None</w:t>
            </w:r>
          </w:p>
        </w:tc>
        <w:tc>
          <w:tcPr>
            <w:tcW w:w="2059" w:type="dxa"/>
          </w:tcPr>
          <w:p w:rsidR="004E353A" w:rsidRDefault="004E353A" w:rsidP="004E353A">
            <w:pPr>
              <w:pStyle w:val="IEEEStdsParagraph"/>
              <w:spacing w:after="0"/>
            </w:pPr>
            <w:r>
              <w:t>MIC-128</w:t>
            </w:r>
          </w:p>
        </w:tc>
      </w:tr>
    </w:tbl>
    <w:p w:rsidR="00281CE5" w:rsidRDefault="002C5B93" w:rsidP="00281CE5">
      <w:pPr>
        <w:pStyle w:val="IEEEStdsParagraph"/>
        <w:rPr>
          <w:rFonts w:ascii="TimesNewRomanPSMT" w:hAnsi="TimesNewRomanPSMT" w:cs="TimesNewRomanPSMT"/>
          <w:sz w:val="18"/>
          <w:szCs w:val="18"/>
        </w:rPr>
      </w:pPr>
      <w:r>
        <w:rPr>
          <w:rFonts w:ascii="TimesNewRomanPSMT" w:hAnsi="TimesNewRomanPSMT" w:cs="TimesNewRomanPSMT"/>
          <w:sz w:val="18"/>
          <w:szCs w:val="18"/>
        </w:rPr>
        <w:t>NOTE—The MHR contains the Auxiliary Security Header field, as defined in 7.2</w:t>
      </w:r>
    </w:p>
    <w:p w:rsidR="00281CE5" w:rsidRPr="004852E0" w:rsidRDefault="00265109" w:rsidP="00281CE5">
      <w:pPr>
        <w:pStyle w:val="IEEEStdsParagraph"/>
        <w:rPr>
          <w:rFonts w:ascii="Arial" w:hAnsi="Arial" w:cs="Arial"/>
          <w:b/>
        </w:rPr>
      </w:pPr>
      <w:r w:rsidRPr="004852E0">
        <w:rPr>
          <w:rFonts w:ascii="Arial" w:hAnsi="Arial" w:cs="Arial"/>
          <w:b/>
        </w:rPr>
        <w:t>6.17</w:t>
      </w:r>
      <w:r w:rsidR="00281CE5" w:rsidRPr="004852E0">
        <w:rPr>
          <w:rFonts w:ascii="Arial" w:hAnsi="Arial" w:cs="Arial"/>
          <w:b/>
        </w:rPr>
        <w:t>.2 Secure ranging with mutual authentication</w:t>
      </w:r>
    </w:p>
    <w:p w:rsidR="00363D91" w:rsidRDefault="00363D91" w:rsidP="00363D91">
      <w:pPr>
        <w:pStyle w:val="IEEEStdsParagraph"/>
      </w:pPr>
      <w:r>
        <w:t xml:space="preserve">This </w:t>
      </w:r>
      <w:proofErr w:type="spellStart"/>
      <w:r>
        <w:t>subclause</w:t>
      </w:r>
      <w:proofErr w:type="spellEnd"/>
      <w:r>
        <w:t xml:space="preserve"> describes the three-way message exchange based on </w:t>
      </w:r>
      <w:r w:rsidR="004852E0">
        <w:t xml:space="preserve">AES </w:t>
      </w:r>
      <w:r>
        <w:t>CCM* security services in 9.1 in order to achieve secure ranging with mutual authentication.</w:t>
      </w:r>
    </w:p>
    <w:p w:rsidR="00E222FC" w:rsidRDefault="006555D5" w:rsidP="00E222FC">
      <w:pPr>
        <w:pStyle w:val="IEEEStdsParagraph"/>
        <w:keepNext/>
        <w:jc w:val="center"/>
      </w:pPr>
      <w:r w:rsidRPr="006555D5">
        <w:rPr>
          <w:noProof/>
          <w:lang w:eastAsia="en-US"/>
        </w:rPr>
        <w:drawing>
          <wp:inline distT="0" distB="0" distL="0" distR="0">
            <wp:extent cx="3360420" cy="195834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360420" cy="1958340"/>
                    </a:xfrm>
                    <a:prstGeom prst="rect">
                      <a:avLst/>
                    </a:prstGeom>
                    <a:noFill/>
                    <a:ln w="9525">
                      <a:noFill/>
                      <a:miter lim="800000"/>
                      <a:headEnd/>
                      <a:tailEnd/>
                    </a:ln>
                  </pic:spPr>
                </pic:pic>
              </a:graphicData>
            </a:graphic>
          </wp:inline>
        </w:drawing>
      </w:r>
    </w:p>
    <w:p w:rsidR="008D3B57" w:rsidRPr="00E222FC" w:rsidRDefault="00E222FC" w:rsidP="00E222FC">
      <w:pPr>
        <w:pStyle w:val="Caption"/>
        <w:jc w:val="center"/>
        <w:rPr>
          <w:color w:val="000000" w:themeColor="text1"/>
        </w:rPr>
      </w:pPr>
      <w:r w:rsidRPr="00E222FC">
        <w:rPr>
          <w:color w:val="000000" w:themeColor="text1"/>
        </w:rPr>
        <w:t xml:space="preserve">Figure </w:t>
      </w:r>
      <w:r w:rsidR="00C10B0B" w:rsidRPr="00E222FC">
        <w:rPr>
          <w:color w:val="000000" w:themeColor="text1"/>
        </w:rPr>
        <w:fldChar w:fldCharType="begin"/>
      </w:r>
      <w:r w:rsidRPr="00E222FC">
        <w:rPr>
          <w:color w:val="000000" w:themeColor="text1"/>
        </w:rPr>
        <w:instrText xml:space="preserve"> SEQ Figure \* ARABIC </w:instrText>
      </w:r>
      <w:r w:rsidR="00C10B0B" w:rsidRPr="00E222FC">
        <w:rPr>
          <w:color w:val="000000" w:themeColor="text1"/>
        </w:rPr>
        <w:fldChar w:fldCharType="separate"/>
      </w:r>
      <w:r w:rsidR="00991B8C">
        <w:rPr>
          <w:noProof/>
          <w:color w:val="000000" w:themeColor="text1"/>
        </w:rPr>
        <w:t>2</w:t>
      </w:r>
      <w:r w:rsidR="00C10B0B" w:rsidRPr="00E222FC">
        <w:rPr>
          <w:color w:val="000000" w:themeColor="text1"/>
        </w:rPr>
        <w:fldChar w:fldCharType="end"/>
      </w:r>
      <w:r w:rsidRPr="00E222FC">
        <w:rPr>
          <w:color w:val="000000" w:themeColor="text1"/>
        </w:rPr>
        <w:t xml:space="preserve"> </w:t>
      </w:r>
      <w:proofErr w:type="gramStart"/>
      <w:r w:rsidRPr="00E222FC">
        <w:rPr>
          <w:color w:val="000000" w:themeColor="text1"/>
        </w:rPr>
        <w:t>Secure</w:t>
      </w:r>
      <w:proofErr w:type="gramEnd"/>
      <w:r w:rsidRPr="00E222FC">
        <w:rPr>
          <w:color w:val="000000" w:themeColor="text1"/>
        </w:rPr>
        <w:t xml:space="preserve"> ranging with mutual authentication</w:t>
      </w:r>
    </w:p>
    <w:p w:rsidR="00A96481" w:rsidRDefault="00265109" w:rsidP="00A96481">
      <w:pPr>
        <w:pStyle w:val="IEEEStdsParagraph"/>
        <w:rPr>
          <w:b/>
        </w:rPr>
      </w:pPr>
      <w:r>
        <w:rPr>
          <w:b/>
        </w:rPr>
        <w:t>6.17</w:t>
      </w:r>
      <w:r w:rsidR="00A96481">
        <w:rPr>
          <w:b/>
        </w:rPr>
        <w:t>.2</w:t>
      </w:r>
      <w:r w:rsidR="006555D5">
        <w:rPr>
          <w:b/>
        </w:rPr>
        <w:t xml:space="preserve">.1 </w:t>
      </w:r>
      <w:proofErr w:type="spellStart"/>
      <w:r w:rsidR="006555D5">
        <w:rPr>
          <w:b/>
        </w:rPr>
        <w:t>VChallenge</w:t>
      </w:r>
      <w:proofErr w:type="spellEnd"/>
    </w:p>
    <w:p w:rsidR="00A65A40" w:rsidRDefault="006555D5" w:rsidP="00A65A40">
      <w:pPr>
        <w:pStyle w:val="IEEEStdsParagraph"/>
      </w:pPr>
      <w:proofErr w:type="spellStart"/>
      <w:r>
        <w:t>VChallenge</w:t>
      </w:r>
      <w:proofErr w:type="spellEnd"/>
      <w:r w:rsidR="00A65A40">
        <w:t xml:space="preserve"> is </w:t>
      </w:r>
      <w:r w:rsidR="00991B8C">
        <w:t>a fresh random number</w:t>
      </w:r>
      <w:r w:rsidR="00A65A40">
        <w:t xml:space="preserve"> of 32, 64 or 128 bits corresponding to the chosen Security Level. The generation mechanism is outside the scope of this standard.</w:t>
      </w:r>
    </w:p>
    <w:p w:rsidR="00A96481" w:rsidRDefault="00265109" w:rsidP="008D3B57">
      <w:pPr>
        <w:pStyle w:val="IEEEStdsParagraph"/>
        <w:rPr>
          <w:b/>
        </w:rPr>
      </w:pPr>
      <w:r>
        <w:rPr>
          <w:b/>
        </w:rPr>
        <w:t>6.17</w:t>
      </w:r>
      <w:r w:rsidR="006555D5">
        <w:rPr>
          <w:b/>
        </w:rPr>
        <w:t>.2.2</w:t>
      </w:r>
      <w:r w:rsidR="00A96481" w:rsidRPr="005E6ACC">
        <w:rPr>
          <w:b/>
        </w:rPr>
        <w:t xml:space="preserve"> </w:t>
      </w:r>
      <w:proofErr w:type="spellStart"/>
      <w:r w:rsidR="00A96481">
        <w:rPr>
          <w:b/>
        </w:rPr>
        <w:t>PResponse</w:t>
      </w:r>
      <w:r w:rsidR="006555D5">
        <w:rPr>
          <w:b/>
        </w:rPr>
        <w:t>Challenge</w:t>
      </w:r>
      <w:proofErr w:type="spellEnd"/>
    </w:p>
    <w:p w:rsidR="00C54E21" w:rsidRDefault="006555D5" w:rsidP="00C54E21">
      <w:pPr>
        <w:pStyle w:val="IEEEStdsParagraph"/>
      </w:pPr>
      <w:proofErr w:type="spellStart"/>
      <w:r>
        <w:t>PResponseChallenge</w:t>
      </w:r>
      <w:proofErr w:type="spellEnd"/>
      <w:r w:rsidR="00CA2B24">
        <w:t xml:space="preserve"> </w:t>
      </w:r>
      <w:r w:rsidR="00157C71">
        <w:t xml:space="preserve">is a secured frame which </w:t>
      </w:r>
      <w:r w:rsidR="00CA2B24">
        <w:t xml:space="preserve">contains the received </w:t>
      </w:r>
      <w:proofErr w:type="spellStart"/>
      <w:r>
        <w:t>VChallenge</w:t>
      </w:r>
      <w:proofErr w:type="spellEnd"/>
      <w:r>
        <w:t xml:space="preserve"> </w:t>
      </w:r>
      <w:r w:rsidR="00CA2B24">
        <w:t>from the Verifier</w:t>
      </w:r>
      <w:r w:rsidR="00D63C19">
        <w:t xml:space="preserve"> device</w:t>
      </w:r>
      <w:r w:rsidR="00CA2B24">
        <w:t xml:space="preserve"> </w:t>
      </w:r>
      <w:r>
        <w:t xml:space="preserve">and </w:t>
      </w:r>
      <w:r w:rsidR="00CA2B24">
        <w:t xml:space="preserve">a freshly generated random number </w:t>
      </w:r>
      <w:proofErr w:type="spellStart"/>
      <w:r>
        <w:t>PChallenge</w:t>
      </w:r>
      <w:proofErr w:type="spellEnd"/>
      <w:r>
        <w:t xml:space="preserve"> </w:t>
      </w:r>
      <w:r w:rsidR="00CA2B24">
        <w:t>by the Prover</w:t>
      </w:r>
      <w:r w:rsidR="00157C71">
        <w:t xml:space="preserve"> </w:t>
      </w:r>
      <w:r w:rsidR="00D63C19">
        <w:t xml:space="preserve">device </w:t>
      </w:r>
      <w:r w:rsidR="00157C71">
        <w:t xml:space="preserve">and their MIC computed using </w:t>
      </w:r>
      <w:r>
        <w:t>the security ser</w:t>
      </w:r>
      <w:r w:rsidR="00157C71">
        <w:t xml:space="preserve">vice of data authenticity </w:t>
      </w:r>
      <w:r>
        <w:t>as defined in Table 9-4</w:t>
      </w:r>
      <w:r w:rsidRPr="00C54E21">
        <w:t>.</w:t>
      </w:r>
    </w:p>
    <w:p w:rsidR="00C54E21" w:rsidRDefault="00CA2B24" w:rsidP="00CA2B24">
      <w:pPr>
        <w:pStyle w:val="IEEEStdsParagraph"/>
      </w:pPr>
      <w:proofErr w:type="spellStart"/>
      <w:r>
        <w:lastRenderedPageBreak/>
        <w:t>PChallenge</w:t>
      </w:r>
      <w:proofErr w:type="spellEnd"/>
      <w:r>
        <w:t xml:space="preserve"> is a fresh random number of 32, 64 or 128 b</w:t>
      </w:r>
      <w:r w:rsidR="00157C71">
        <w:t>its generated by the Prover</w:t>
      </w:r>
      <w:r w:rsidR="00D63C19">
        <w:t xml:space="preserve"> device</w:t>
      </w:r>
      <w:r w:rsidR="00157C71">
        <w:t xml:space="preserve"> according to </w:t>
      </w:r>
      <w:r>
        <w:t>the chosen Security Level.</w:t>
      </w:r>
    </w:p>
    <w:p w:rsidR="00CA2B24" w:rsidRDefault="00C54E21" w:rsidP="00CA2B24">
      <w:pPr>
        <w:pStyle w:val="IEEEStdsParagraph"/>
      </w:pPr>
      <w:r>
        <w:t xml:space="preserve">Table X defines </w:t>
      </w:r>
      <w:proofErr w:type="gramStart"/>
      <w:r>
        <w:t xml:space="preserve">the </w:t>
      </w:r>
      <w:r w:rsidRPr="004E353A">
        <w:rPr>
          <w:i/>
        </w:rPr>
        <w:t>a</w:t>
      </w:r>
      <w:proofErr w:type="gramEnd"/>
      <w:r>
        <w:rPr>
          <w:b/>
        </w:rPr>
        <w:t xml:space="preserve"> </w:t>
      </w:r>
      <w:r>
        <w:t xml:space="preserve">data to be used for the CCM* authentication transformation to compute the </w:t>
      </w:r>
      <w:r w:rsidRPr="004E353A">
        <w:rPr>
          <w:i/>
        </w:rPr>
        <w:t>c</w:t>
      </w:r>
      <w:r>
        <w:t xml:space="preserve"> data of the </w:t>
      </w:r>
      <w:proofErr w:type="spellStart"/>
      <w:r>
        <w:t>PResponseChallenge</w:t>
      </w:r>
      <w:proofErr w:type="spellEnd"/>
      <w:r>
        <w:t xml:space="preserve"> message. The </w:t>
      </w:r>
      <w:proofErr w:type="spellStart"/>
      <w:r>
        <w:t>VChallenge</w:t>
      </w:r>
      <w:proofErr w:type="spellEnd"/>
      <w:r>
        <w:t xml:space="preserve"> and </w:t>
      </w:r>
      <w:proofErr w:type="spellStart"/>
      <w:r>
        <w:t>PChallenge</w:t>
      </w:r>
      <w:proofErr w:type="spellEnd"/>
      <w:r>
        <w:t xml:space="preserve"> shall be the Unsecured Private Payload field defined in Table 9.3.</w:t>
      </w:r>
    </w:p>
    <w:tbl>
      <w:tblPr>
        <w:tblStyle w:val="TableGrid"/>
        <w:tblW w:w="0" w:type="auto"/>
        <w:jc w:val="center"/>
        <w:tblLook w:val="04A0"/>
      </w:tblPr>
      <w:tblGrid>
        <w:gridCol w:w="2059"/>
        <w:gridCol w:w="2059"/>
        <w:gridCol w:w="2059"/>
        <w:gridCol w:w="2059"/>
      </w:tblGrid>
      <w:tr w:rsidR="00A65A40" w:rsidTr="00512821">
        <w:trPr>
          <w:trHeight w:val="249"/>
          <w:jc w:val="center"/>
        </w:trPr>
        <w:tc>
          <w:tcPr>
            <w:tcW w:w="2059" w:type="dxa"/>
          </w:tcPr>
          <w:p w:rsidR="00A65A40" w:rsidRDefault="00A65A40" w:rsidP="00512821">
            <w:pPr>
              <w:pStyle w:val="IEEEStdsParagraph"/>
              <w:spacing w:after="0"/>
            </w:pPr>
            <w:r>
              <w:t>Security level</w:t>
            </w:r>
          </w:p>
        </w:tc>
        <w:tc>
          <w:tcPr>
            <w:tcW w:w="2059" w:type="dxa"/>
          </w:tcPr>
          <w:p w:rsidR="00A65A40" w:rsidRDefault="00A65A40" w:rsidP="00512821">
            <w:pPr>
              <w:pStyle w:val="IEEEStdsParagraph"/>
              <w:spacing w:after="0"/>
            </w:pPr>
            <w:r w:rsidRPr="004E353A">
              <w:rPr>
                <w:i/>
              </w:rPr>
              <w:t>a</w:t>
            </w:r>
            <w:r>
              <w:t xml:space="preserve"> data</w:t>
            </w:r>
          </w:p>
        </w:tc>
        <w:tc>
          <w:tcPr>
            <w:tcW w:w="2059" w:type="dxa"/>
          </w:tcPr>
          <w:p w:rsidR="00A65A40" w:rsidRPr="004E353A" w:rsidRDefault="00A65A40" w:rsidP="00512821">
            <w:pPr>
              <w:pStyle w:val="IEEEStdsParagraph"/>
              <w:spacing w:after="0"/>
            </w:pPr>
            <w:r w:rsidRPr="004E353A">
              <w:rPr>
                <w:i/>
              </w:rPr>
              <w:t>m</w:t>
            </w:r>
            <w:r>
              <w:rPr>
                <w:i/>
              </w:rPr>
              <w:t xml:space="preserve"> </w:t>
            </w:r>
            <w:r>
              <w:t>data</w:t>
            </w:r>
          </w:p>
        </w:tc>
        <w:tc>
          <w:tcPr>
            <w:tcW w:w="2059" w:type="dxa"/>
          </w:tcPr>
          <w:p w:rsidR="00A65A40" w:rsidRPr="004E353A" w:rsidRDefault="00A65A40" w:rsidP="00512821">
            <w:pPr>
              <w:pStyle w:val="IEEEStdsParagraph"/>
              <w:spacing w:after="0"/>
              <w:rPr>
                <w:b/>
                <w:i/>
              </w:rPr>
            </w:pPr>
            <w:r>
              <w:rPr>
                <w:i/>
              </w:rPr>
              <w:t xml:space="preserve">c </w:t>
            </w:r>
            <w:r w:rsidRPr="004E353A">
              <w:t>data</w:t>
            </w:r>
          </w:p>
        </w:tc>
      </w:tr>
      <w:tr w:rsidR="00A65A40" w:rsidTr="00512821">
        <w:trPr>
          <w:trHeight w:val="249"/>
          <w:jc w:val="center"/>
        </w:trPr>
        <w:tc>
          <w:tcPr>
            <w:tcW w:w="2059" w:type="dxa"/>
          </w:tcPr>
          <w:p w:rsidR="00A65A40" w:rsidRDefault="00A65A40" w:rsidP="00512821">
            <w:pPr>
              <w:pStyle w:val="IEEEStdsParagraph"/>
              <w:spacing w:after="0"/>
            </w:pPr>
            <w:r>
              <w:t>0</w:t>
            </w:r>
          </w:p>
        </w:tc>
        <w:tc>
          <w:tcPr>
            <w:tcW w:w="2059" w:type="dxa"/>
          </w:tcPr>
          <w:p w:rsidR="00A65A40" w:rsidRDefault="00A65A40" w:rsidP="00512821">
            <w:pPr>
              <w:pStyle w:val="IEEEStdsParagraph"/>
              <w:spacing w:after="0"/>
            </w:pPr>
            <w:r>
              <w:t>Not applicable</w:t>
            </w:r>
          </w:p>
        </w:tc>
        <w:tc>
          <w:tcPr>
            <w:tcW w:w="2059" w:type="dxa"/>
          </w:tcPr>
          <w:p w:rsidR="00A65A40" w:rsidRDefault="00A65A40" w:rsidP="00512821">
            <w:pPr>
              <w:pStyle w:val="IEEEStdsParagraph"/>
              <w:spacing w:after="0"/>
            </w:pPr>
            <w:r>
              <w:t>Not applicable</w:t>
            </w:r>
          </w:p>
        </w:tc>
        <w:tc>
          <w:tcPr>
            <w:tcW w:w="2059" w:type="dxa"/>
          </w:tcPr>
          <w:p w:rsidR="00A65A40" w:rsidRDefault="00A65A40" w:rsidP="00512821">
            <w:pPr>
              <w:pStyle w:val="IEEEStdsParagraph"/>
              <w:spacing w:after="0"/>
            </w:pPr>
            <w:r>
              <w:t>Not applicable</w:t>
            </w:r>
          </w:p>
        </w:tc>
      </w:tr>
      <w:tr w:rsidR="00C84C9A" w:rsidTr="00512821">
        <w:trPr>
          <w:trHeight w:val="249"/>
          <w:jc w:val="center"/>
        </w:trPr>
        <w:tc>
          <w:tcPr>
            <w:tcW w:w="2059" w:type="dxa"/>
          </w:tcPr>
          <w:p w:rsidR="00C84C9A" w:rsidRDefault="00C84C9A" w:rsidP="00512821">
            <w:pPr>
              <w:pStyle w:val="IEEEStdsParagraph"/>
              <w:spacing w:after="0"/>
            </w:pPr>
            <w:r>
              <w:t>1</w:t>
            </w:r>
          </w:p>
        </w:tc>
        <w:tc>
          <w:tcPr>
            <w:tcW w:w="2059" w:type="dxa"/>
          </w:tcPr>
          <w:p w:rsidR="00C84C9A" w:rsidRDefault="006A1451" w:rsidP="001D70C7">
            <w:pPr>
              <w:pStyle w:val="IEEEStdsParagraph"/>
              <w:spacing w:after="0"/>
            </w:pPr>
            <w:r>
              <w:t>MHR || P</w:t>
            </w:r>
            <w:r w:rsidR="006555D5">
              <w:t>Challenge</w:t>
            </w:r>
            <w:r w:rsidR="00C84C9A">
              <w:t>32 ||</w:t>
            </w:r>
            <w:r>
              <w:t xml:space="preserve"> V</w:t>
            </w:r>
            <w:r w:rsidR="006555D5">
              <w:t>Challenge</w:t>
            </w:r>
            <w:r w:rsidR="00C84C9A">
              <w:t>32</w:t>
            </w:r>
          </w:p>
        </w:tc>
        <w:tc>
          <w:tcPr>
            <w:tcW w:w="2059" w:type="dxa"/>
          </w:tcPr>
          <w:p w:rsidR="00C84C9A" w:rsidRDefault="00C84C9A" w:rsidP="00512821">
            <w:pPr>
              <w:pStyle w:val="IEEEStdsParagraph"/>
              <w:spacing w:after="0"/>
            </w:pPr>
            <w:r>
              <w:t>None</w:t>
            </w:r>
          </w:p>
        </w:tc>
        <w:tc>
          <w:tcPr>
            <w:tcW w:w="2059" w:type="dxa"/>
          </w:tcPr>
          <w:p w:rsidR="00C84C9A" w:rsidRDefault="00C84C9A" w:rsidP="00512821">
            <w:pPr>
              <w:pStyle w:val="IEEEStdsParagraph"/>
              <w:spacing w:after="0"/>
            </w:pPr>
            <w:r>
              <w:t>MIC-32</w:t>
            </w:r>
          </w:p>
        </w:tc>
      </w:tr>
      <w:tr w:rsidR="00C84C9A" w:rsidTr="00512821">
        <w:trPr>
          <w:trHeight w:val="249"/>
          <w:jc w:val="center"/>
        </w:trPr>
        <w:tc>
          <w:tcPr>
            <w:tcW w:w="2059" w:type="dxa"/>
          </w:tcPr>
          <w:p w:rsidR="00C84C9A" w:rsidRDefault="00C84C9A" w:rsidP="00512821">
            <w:pPr>
              <w:pStyle w:val="IEEEStdsParagraph"/>
              <w:spacing w:after="0"/>
            </w:pPr>
            <w:r>
              <w:t>2</w:t>
            </w:r>
          </w:p>
        </w:tc>
        <w:tc>
          <w:tcPr>
            <w:tcW w:w="2059" w:type="dxa"/>
          </w:tcPr>
          <w:p w:rsidR="00C84C9A" w:rsidRDefault="006A1451" w:rsidP="001D70C7">
            <w:pPr>
              <w:pStyle w:val="IEEEStdsParagraph"/>
              <w:spacing w:after="0"/>
            </w:pPr>
            <w:r>
              <w:t>MHR || P</w:t>
            </w:r>
            <w:r w:rsidR="006555D5">
              <w:t>Challenge</w:t>
            </w:r>
            <w:r w:rsidR="00C84C9A">
              <w:t>64 ||</w:t>
            </w:r>
            <w:r>
              <w:t xml:space="preserve"> V</w:t>
            </w:r>
            <w:r w:rsidR="006555D5">
              <w:t>Challenge</w:t>
            </w:r>
            <w:r w:rsidR="00C84C9A">
              <w:t>64</w:t>
            </w:r>
          </w:p>
        </w:tc>
        <w:tc>
          <w:tcPr>
            <w:tcW w:w="2059" w:type="dxa"/>
          </w:tcPr>
          <w:p w:rsidR="00C84C9A" w:rsidRDefault="00C84C9A" w:rsidP="00512821">
            <w:pPr>
              <w:pStyle w:val="IEEEStdsParagraph"/>
              <w:spacing w:after="0"/>
            </w:pPr>
            <w:r>
              <w:t>None</w:t>
            </w:r>
          </w:p>
        </w:tc>
        <w:tc>
          <w:tcPr>
            <w:tcW w:w="2059" w:type="dxa"/>
          </w:tcPr>
          <w:p w:rsidR="00C84C9A" w:rsidRDefault="00C84C9A" w:rsidP="00512821">
            <w:pPr>
              <w:pStyle w:val="IEEEStdsParagraph"/>
              <w:spacing w:after="0"/>
            </w:pPr>
            <w:r>
              <w:t>MIC-64</w:t>
            </w:r>
          </w:p>
        </w:tc>
      </w:tr>
      <w:tr w:rsidR="00C84C9A" w:rsidTr="00512821">
        <w:trPr>
          <w:trHeight w:val="249"/>
          <w:jc w:val="center"/>
        </w:trPr>
        <w:tc>
          <w:tcPr>
            <w:tcW w:w="2059" w:type="dxa"/>
          </w:tcPr>
          <w:p w:rsidR="00C84C9A" w:rsidRDefault="00C84C9A" w:rsidP="00512821">
            <w:pPr>
              <w:pStyle w:val="IEEEStdsParagraph"/>
              <w:spacing w:after="0"/>
            </w:pPr>
            <w:r>
              <w:t>3</w:t>
            </w:r>
          </w:p>
        </w:tc>
        <w:tc>
          <w:tcPr>
            <w:tcW w:w="2059" w:type="dxa"/>
          </w:tcPr>
          <w:p w:rsidR="00C84C9A" w:rsidRDefault="006A1451" w:rsidP="001D70C7">
            <w:pPr>
              <w:pStyle w:val="IEEEStdsParagraph"/>
              <w:spacing w:after="0"/>
            </w:pPr>
            <w:r>
              <w:t>MHR || P</w:t>
            </w:r>
            <w:r w:rsidR="006555D5">
              <w:t>Challenge</w:t>
            </w:r>
            <w:r w:rsidR="00C84C9A">
              <w:t>128 ||</w:t>
            </w:r>
            <w:r>
              <w:t xml:space="preserve"> V</w:t>
            </w:r>
            <w:r w:rsidR="006555D5">
              <w:t>Challenge</w:t>
            </w:r>
            <w:r w:rsidR="00673C65">
              <w:t>128</w:t>
            </w:r>
          </w:p>
        </w:tc>
        <w:tc>
          <w:tcPr>
            <w:tcW w:w="2059" w:type="dxa"/>
          </w:tcPr>
          <w:p w:rsidR="00C84C9A" w:rsidRDefault="00C84C9A" w:rsidP="00512821">
            <w:pPr>
              <w:pStyle w:val="IEEEStdsParagraph"/>
              <w:spacing w:after="0"/>
            </w:pPr>
            <w:r>
              <w:t>None</w:t>
            </w:r>
          </w:p>
        </w:tc>
        <w:tc>
          <w:tcPr>
            <w:tcW w:w="2059" w:type="dxa"/>
          </w:tcPr>
          <w:p w:rsidR="00C84C9A" w:rsidRDefault="00C84C9A" w:rsidP="00512821">
            <w:pPr>
              <w:pStyle w:val="IEEEStdsParagraph"/>
              <w:spacing w:after="0"/>
            </w:pPr>
            <w:r>
              <w:t>MIC-128</w:t>
            </w:r>
          </w:p>
        </w:tc>
      </w:tr>
    </w:tbl>
    <w:p w:rsidR="00A65A40" w:rsidRPr="00C84C9A" w:rsidRDefault="002C5B93" w:rsidP="008D3B57">
      <w:pPr>
        <w:pStyle w:val="IEEEStdsParagraph"/>
        <w:rPr>
          <w:rFonts w:asciiTheme="minorHAnsi" w:hAnsiTheme="minorHAnsi"/>
          <w:b/>
          <w:lang w:val="bg-BG"/>
        </w:rPr>
      </w:pPr>
      <w:r>
        <w:rPr>
          <w:rFonts w:ascii="TimesNewRomanPSMT" w:hAnsi="TimesNewRomanPSMT" w:cs="TimesNewRomanPSMT"/>
          <w:sz w:val="18"/>
          <w:szCs w:val="18"/>
        </w:rPr>
        <w:t>NOTE—The MHR contains the Auxiliary Security Header field, as defined in 7.2</w:t>
      </w:r>
    </w:p>
    <w:p w:rsidR="00A96481" w:rsidRDefault="00265109" w:rsidP="008D3B57">
      <w:pPr>
        <w:pStyle w:val="IEEEStdsParagraph"/>
      </w:pPr>
      <w:r>
        <w:rPr>
          <w:b/>
        </w:rPr>
        <w:t>6.17</w:t>
      </w:r>
      <w:r w:rsidR="00A96481">
        <w:rPr>
          <w:b/>
        </w:rPr>
        <w:t>.2.4</w:t>
      </w:r>
      <w:r w:rsidR="00A96481" w:rsidRPr="005E6ACC">
        <w:rPr>
          <w:b/>
        </w:rPr>
        <w:t xml:space="preserve"> </w:t>
      </w:r>
      <w:proofErr w:type="spellStart"/>
      <w:r w:rsidR="00A96481" w:rsidRPr="005E6ACC">
        <w:rPr>
          <w:b/>
        </w:rPr>
        <w:t>V</w:t>
      </w:r>
      <w:r w:rsidR="00A96481">
        <w:rPr>
          <w:b/>
        </w:rPr>
        <w:t>Response</w:t>
      </w:r>
      <w:proofErr w:type="spellEnd"/>
    </w:p>
    <w:p w:rsidR="005840E6" w:rsidRDefault="005840E6" w:rsidP="005840E6">
      <w:pPr>
        <w:pStyle w:val="IEEEStdsParagraph"/>
      </w:pPr>
      <w:proofErr w:type="spellStart"/>
      <w:r w:rsidRPr="00C54E21">
        <w:t>VResponse</w:t>
      </w:r>
      <w:proofErr w:type="spellEnd"/>
      <w:r w:rsidRPr="00C54E21">
        <w:t xml:space="preserve"> </w:t>
      </w:r>
      <w:r w:rsidR="00D63C19">
        <w:t xml:space="preserve">is a secured frame which </w:t>
      </w:r>
      <w:r w:rsidRPr="00C54E21">
        <w:t xml:space="preserve">contains the </w:t>
      </w:r>
      <w:r w:rsidR="00C54E21">
        <w:t xml:space="preserve">received </w:t>
      </w:r>
      <w:proofErr w:type="spellStart"/>
      <w:r w:rsidRPr="00C54E21">
        <w:t>VChallenge</w:t>
      </w:r>
      <w:proofErr w:type="spellEnd"/>
      <w:r w:rsidRPr="00C54E21">
        <w:t xml:space="preserve"> and </w:t>
      </w:r>
      <w:proofErr w:type="spellStart"/>
      <w:r w:rsidRPr="00C54E21">
        <w:t>PChallenge</w:t>
      </w:r>
      <w:proofErr w:type="spellEnd"/>
      <w:r w:rsidRPr="00C54E21">
        <w:t xml:space="preserve"> </w:t>
      </w:r>
      <w:r w:rsidR="00C54E21">
        <w:t>from the Prover</w:t>
      </w:r>
      <w:r w:rsidR="00D63C19">
        <w:t xml:space="preserve"> device and their MIC computed</w:t>
      </w:r>
      <w:r w:rsidRPr="00C54E21">
        <w:t xml:space="preserve"> using the security service of data authenticity as defined in Table 9-4.</w:t>
      </w:r>
    </w:p>
    <w:p w:rsidR="00A65A40" w:rsidRPr="006F0631" w:rsidRDefault="00A65A40" w:rsidP="00A65A40">
      <w:pPr>
        <w:pStyle w:val="IEEEStdsParagraph"/>
      </w:pPr>
      <w:r>
        <w:t xml:space="preserve">Table X defines </w:t>
      </w:r>
      <w:proofErr w:type="gramStart"/>
      <w:r>
        <w:t xml:space="preserve">the </w:t>
      </w:r>
      <w:r w:rsidRPr="004E353A">
        <w:rPr>
          <w:i/>
        </w:rPr>
        <w:t>a</w:t>
      </w:r>
      <w:proofErr w:type="gramEnd"/>
      <w:r>
        <w:rPr>
          <w:b/>
        </w:rPr>
        <w:t xml:space="preserve"> </w:t>
      </w:r>
      <w:r>
        <w:t xml:space="preserve">data to be used for the CCM* transformation to compute the </w:t>
      </w:r>
      <w:r w:rsidRPr="004E353A">
        <w:rPr>
          <w:i/>
        </w:rPr>
        <w:t>c</w:t>
      </w:r>
      <w:r w:rsidR="00E312FF">
        <w:t xml:space="preserve"> data of the </w:t>
      </w:r>
      <w:proofErr w:type="spellStart"/>
      <w:r w:rsidR="00E312FF">
        <w:t>VResponse</w:t>
      </w:r>
      <w:proofErr w:type="spellEnd"/>
      <w:r w:rsidR="00E312FF">
        <w:t xml:space="preserve">. The </w:t>
      </w:r>
      <w:proofErr w:type="spellStart"/>
      <w:r w:rsidR="00E312FF">
        <w:t>VChallenge</w:t>
      </w:r>
      <w:proofErr w:type="spellEnd"/>
      <w:r w:rsidR="00E312FF">
        <w:t xml:space="preserve"> and </w:t>
      </w:r>
      <w:proofErr w:type="spellStart"/>
      <w:r w:rsidR="00E312FF">
        <w:t>PChallenge</w:t>
      </w:r>
      <w:proofErr w:type="spellEnd"/>
      <w:r>
        <w:t xml:space="preserve"> </w:t>
      </w:r>
      <w:r w:rsidR="00E312FF">
        <w:t>shall be</w:t>
      </w:r>
      <w:r>
        <w:t xml:space="preserve"> the Unsecured Private Payload field defined in Table 9.3. </w:t>
      </w:r>
    </w:p>
    <w:tbl>
      <w:tblPr>
        <w:tblStyle w:val="TableGrid"/>
        <w:tblW w:w="0" w:type="auto"/>
        <w:jc w:val="center"/>
        <w:tblLook w:val="04A0"/>
      </w:tblPr>
      <w:tblGrid>
        <w:gridCol w:w="2059"/>
        <w:gridCol w:w="2059"/>
        <w:gridCol w:w="2059"/>
        <w:gridCol w:w="2059"/>
      </w:tblGrid>
      <w:tr w:rsidR="00A65A40" w:rsidTr="00512821">
        <w:trPr>
          <w:trHeight w:val="249"/>
          <w:jc w:val="center"/>
        </w:trPr>
        <w:tc>
          <w:tcPr>
            <w:tcW w:w="2059" w:type="dxa"/>
          </w:tcPr>
          <w:p w:rsidR="00A65A40" w:rsidRDefault="00A65A40" w:rsidP="00512821">
            <w:pPr>
              <w:pStyle w:val="IEEEStdsParagraph"/>
              <w:spacing w:after="0"/>
            </w:pPr>
            <w:r>
              <w:t>Security level</w:t>
            </w:r>
          </w:p>
        </w:tc>
        <w:tc>
          <w:tcPr>
            <w:tcW w:w="2059" w:type="dxa"/>
          </w:tcPr>
          <w:p w:rsidR="00A65A40" w:rsidRDefault="00A65A40" w:rsidP="00512821">
            <w:pPr>
              <w:pStyle w:val="IEEEStdsParagraph"/>
              <w:spacing w:after="0"/>
            </w:pPr>
            <w:r w:rsidRPr="004E353A">
              <w:rPr>
                <w:i/>
              </w:rPr>
              <w:t>a</w:t>
            </w:r>
            <w:r>
              <w:t xml:space="preserve"> data</w:t>
            </w:r>
          </w:p>
        </w:tc>
        <w:tc>
          <w:tcPr>
            <w:tcW w:w="2059" w:type="dxa"/>
          </w:tcPr>
          <w:p w:rsidR="00A65A40" w:rsidRPr="004E353A" w:rsidRDefault="00A65A40" w:rsidP="00512821">
            <w:pPr>
              <w:pStyle w:val="IEEEStdsParagraph"/>
              <w:spacing w:after="0"/>
            </w:pPr>
            <w:r w:rsidRPr="004E353A">
              <w:rPr>
                <w:i/>
              </w:rPr>
              <w:t>m</w:t>
            </w:r>
            <w:r>
              <w:rPr>
                <w:i/>
              </w:rPr>
              <w:t xml:space="preserve"> </w:t>
            </w:r>
            <w:r>
              <w:t>data</w:t>
            </w:r>
          </w:p>
        </w:tc>
        <w:tc>
          <w:tcPr>
            <w:tcW w:w="2059" w:type="dxa"/>
          </w:tcPr>
          <w:p w:rsidR="00A65A40" w:rsidRPr="004E353A" w:rsidRDefault="00A65A40" w:rsidP="00512821">
            <w:pPr>
              <w:pStyle w:val="IEEEStdsParagraph"/>
              <w:spacing w:after="0"/>
              <w:rPr>
                <w:b/>
                <w:i/>
              </w:rPr>
            </w:pPr>
            <w:r>
              <w:rPr>
                <w:i/>
              </w:rPr>
              <w:t xml:space="preserve">c </w:t>
            </w:r>
            <w:r w:rsidRPr="004E353A">
              <w:t>data</w:t>
            </w:r>
          </w:p>
        </w:tc>
      </w:tr>
      <w:tr w:rsidR="00A65A40" w:rsidTr="00512821">
        <w:trPr>
          <w:trHeight w:val="249"/>
          <w:jc w:val="center"/>
        </w:trPr>
        <w:tc>
          <w:tcPr>
            <w:tcW w:w="2059" w:type="dxa"/>
          </w:tcPr>
          <w:p w:rsidR="00A65A40" w:rsidRDefault="00A65A40" w:rsidP="00512821">
            <w:pPr>
              <w:pStyle w:val="IEEEStdsParagraph"/>
              <w:spacing w:after="0"/>
            </w:pPr>
            <w:r>
              <w:t>0</w:t>
            </w:r>
          </w:p>
        </w:tc>
        <w:tc>
          <w:tcPr>
            <w:tcW w:w="2059" w:type="dxa"/>
          </w:tcPr>
          <w:p w:rsidR="00A65A40" w:rsidRDefault="00A65A40" w:rsidP="00512821">
            <w:pPr>
              <w:pStyle w:val="IEEEStdsParagraph"/>
              <w:spacing w:after="0"/>
            </w:pPr>
            <w:r>
              <w:t>Not applicable</w:t>
            </w:r>
          </w:p>
        </w:tc>
        <w:tc>
          <w:tcPr>
            <w:tcW w:w="2059" w:type="dxa"/>
          </w:tcPr>
          <w:p w:rsidR="00A65A40" w:rsidRDefault="00A65A40" w:rsidP="00512821">
            <w:pPr>
              <w:pStyle w:val="IEEEStdsParagraph"/>
              <w:spacing w:after="0"/>
            </w:pPr>
            <w:r>
              <w:t>Not applicable</w:t>
            </w:r>
          </w:p>
        </w:tc>
        <w:tc>
          <w:tcPr>
            <w:tcW w:w="2059" w:type="dxa"/>
          </w:tcPr>
          <w:p w:rsidR="00A65A40" w:rsidRDefault="00A65A40" w:rsidP="00512821">
            <w:pPr>
              <w:pStyle w:val="IEEEStdsParagraph"/>
              <w:spacing w:after="0"/>
            </w:pPr>
            <w:r>
              <w:t>Not applicable</w:t>
            </w:r>
          </w:p>
        </w:tc>
      </w:tr>
      <w:tr w:rsidR="00A65A40" w:rsidTr="00512821">
        <w:trPr>
          <w:trHeight w:val="249"/>
          <w:jc w:val="center"/>
        </w:trPr>
        <w:tc>
          <w:tcPr>
            <w:tcW w:w="2059" w:type="dxa"/>
          </w:tcPr>
          <w:p w:rsidR="00A65A40" w:rsidRDefault="00A65A40" w:rsidP="00512821">
            <w:pPr>
              <w:pStyle w:val="IEEEStdsParagraph"/>
              <w:spacing w:after="0"/>
            </w:pPr>
            <w:r>
              <w:t>1</w:t>
            </w:r>
          </w:p>
        </w:tc>
        <w:tc>
          <w:tcPr>
            <w:tcW w:w="2059" w:type="dxa"/>
          </w:tcPr>
          <w:p w:rsidR="00A65A40" w:rsidRDefault="00265109" w:rsidP="00265109">
            <w:pPr>
              <w:pStyle w:val="IEEEStdsParagraph"/>
              <w:spacing w:after="0"/>
            </w:pPr>
            <w:r>
              <w:t xml:space="preserve">MHR || </w:t>
            </w:r>
            <w:r w:rsidR="006A1451">
              <w:t>V</w:t>
            </w:r>
            <w:r w:rsidR="005840E6">
              <w:t>Challenge</w:t>
            </w:r>
            <w:r>
              <w:t xml:space="preserve">32 </w:t>
            </w:r>
            <w:r w:rsidR="006A1451">
              <w:t>|| P</w:t>
            </w:r>
            <w:r w:rsidR="005840E6">
              <w:t>Challenge</w:t>
            </w:r>
            <w:r w:rsidR="00512821">
              <w:t xml:space="preserve">32 </w:t>
            </w:r>
          </w:p>
        </w:tc>
        <w:tc>
          <w:tcPr>
            <w:tcW w:w="2059" w:type="dxa"/>
          </w:tcPr>
          <w:p w:rsidR="00A65A40" w:rsidRDefault="00A65A40" w:rsidP="00512821">
            <w:pPr>
              <w:pStyle w:val="IEEEStdsParagraph"/>
              <w:spacing w:after="0"/>
            </w:pPr>
            <w:r>
              <w:t>None</w:t>
            </w:r>
          </w:p>
        </w:tc>
        <w:tc>
          <w:tcPr>
            <w:tcW w:w="2059" w:type="dxa"/>
          </w:tcPr>
          <w:p w:rsidR="00A65A40" w:rsidRDefault="00A65A40" w:rsidP="00512821">
            <w:pPr>
              <w:pStyle w:val="IEEEStdsParagraph"/>
              <w:spacing w:after="0"/>
            </w:pPr>
            <w:r>
              <w:t>MIC-32</w:t>
            </w:r>
          </w:p>
        </w:tc>
      </w:tr>
      <w:tr w:rsidR="00A65A40" w:rsidTr="00512821">
        <w:trPr>
          <w:trHeight w:val="249"/>
          <w:jc w:val="center"/>
        </w:trPr>
        <w:tc>
          <w:tcPr>
            <w:tcW w:w="2059" w:type="dxa"/>
          </w:tcPr>
          <w:p w:rsidR="00A65A40" w:rsidRDefault="00A65A40" w:rsidP="00512821">
            <w:pPr>
              <w:pStyle w:val="IEEEStdsParagraph"/>
              <w:spacing w:after="0"/>
            </w:pPr>
            <w:r>
              <w:t>2</w:t>
            </w:r>
          </w:p>
        </w:tc>
        <w:tc>
          <w:tcPr>
            <w:tcW w:w="2059" w:type="dxa"/>
          </w:tcPr>
          <w:p w:rsidR="00A65A40" w:rsidRDefault="00265109" w:rsidP="00265109">
            <w:pPr>
              <w:pStyle w:val="IEEEStdsParagraph"/>
              <w:spacing w:after="0"/>
            </w:pPr>
            <w:r>
              <w:t xml:space="preserve">MHR </w:t>
            </w:r>
            <w:r w:rsidR="006A1451">
              <w:t>|| V</w:t>
            </w:r>
            <w:r w:rsidR="005840E6">
              <w:t>Challenge</w:t>
            </w:r>
            <w:r>
              <w:t xml:space="preserve">64 </w:t>
            </w:r>
            <w:r w:rsidR="006A1451">
              <w:t>|| P</w:t>
            </w:r>
            <w:r w:rsidR="005840E6">
              <w:t>Challenge</w:t>
            </w:r>
            <w:r w:rsidR="00512821">
              <w:t>64</w:t>
            </w:r>
          </w:p>
        </w:tc>
        <w:tc>
          <w:tcPr>
            <w:tcW w:w="2059" w:type="dxa"/>
          </w:tcPr>
          <w:p w:rsidR="00A65A40" w:rsidRDefault="00A65A40" w:rsidP="00512821">
            <w:pPr>
              <w:pStyle w:val="IEEEStdsParagraph"/>
              <w:spacing w:after="0"/>
            </w:pPr>
            <w:r>
              <w:t>None</w:t>
            </w:r>
          </w:p>
        </w:tc>
        <w:tc>
          <w:tcPr>
            <w:tcW w:w="2059" w:type="dxa"/>
          </w:tcPr>
          <w:p w:rsidR="00A65A40" w:rsidRDefault="00A65A40" w:rsidP="00512821">
            <w:pPr>
              <w:pStyle w:val="IEEEStdsParagraph"/>
              <w:spacing w:after="0"/>
            </w:pPr>
            <w:r>
              <w:t>MIC-64</w:t>
            </w:r>
          </w:p>
        </w:tc>
      </w:tr>
      <w:tr w:rsidR="00A65A40" w:rsidTr="00512821">
        <w:trPr>
          <w:trHeight w:val="249"/>
          <w:jc w:val="center"/>
        </w:trPr>
        <w:tc>
          <w:tcPr>
            <w:tcW w:w="2059" w:type="dxa"/>
          </w:tcPr>
          <w:p w:rsidR="00A65A40" w:rsidRDefault="00A65A40" w:rsidP="00512821">
            <w:pPr>
              <w:pStyle w:val="IEEEStdsParagraph"/>
              <w:spacing w:after="0"/>
            </w:pPr>
            <w:r>
              <w:t>3</w:t>
            </w:r>
          </w:p>
        </w:tc>
        <w:tc>
          <w:tcPr>
            <w:tcW w:w="2059" w:type="dxa"/>
          </w:tcPr>
          <w:p w:rsidR="00A65A40" w:rsidRDefault="00265109" w:rsidP="00265109">
            <w:pPr>
              <w:pStyle w:val="IEEEStdsParagraph"/>
              <w:spacing w:after="0"/>
            </w:pPr>
            <w:r>
              <w:t xml:space="preserve">MHR || </w:t>
            </w:r>
            <w:r w:rsidR="006A1451">
              <w:t>V</w:t>
            </w:r>
            <w:r w:rsidR="005840E6">
              <w:t>Challenge</w:t>
            </w:r>
            <w:r>
              <w:t xml:space="preserve">128 </w:t>
            </w:r>
            <w:r w:rsidR="006A1451">
              <w:t>|| P</w:t>
            </w:r>
            <w:r w:rsidR="005840E6">
              <w:t>Challenge</w:t>
            </w:r>
            <w:r w:rsidR="00512821">
              <w:t xml:space="preserve">128  </w:t>
            </w:r>
          </w:p>
        </w:tc>
        <w:tc>
          <w:tcPr>
            <w:tcW w:w="2059" w:type="dxa"/>
          </w:tcPr>
          <w:p w:rsidR="00A65A40" w:rsidRDefault="00A65A40" w:rsidP="00512821">
            <w:pPr>
              <w:pStyle w:val="IEEEStdsParagraph"/>
              <w:spacing w:after="0"/>
            </w:pPr>
            <w:r>
              <w:t>None</w:t>
            </w:r>
          </w:p>
        </w:tc>
        <w:tc>
          <w:tcPr>
            <w:tcW w:w="2059" w:type="dxa"/>
          </w:tcPr>
          <w:p w:rsidR="00A65A40" w:rsidRDefault="00A65A40" w:rsidP="00512821">
            <w:pPr>
              <w:pStyle w:val="IEEEStdsParagraph"/>
              <w:spacing w:after="0"/>
            </w:pPr>
            <w:r>
              <w:t>MIC-128</w:t>
            </w:r>
          </w:p>
        </w:tc>
      </w:tr>
    </w:tbl>
    <w:p w:rsidR="00A96481" w:rsidRDefault="002C5B93">
      <w:pPr>
        <w:rPr>
          <w:rFonts w:ascii="TimesNewRomanPSMT" w:hAnsi="TimesNewRomanPSMT" w:cs="TimesNewRomanPSMT"/>
          <w:sz w:val="18"/>
          <w:szCs w:val="18"/>
        </w:rPr>
      </w:pPr>
      <w:r>
        <w:rPr>
          <w:rFonts w:ascii="TimesNewRomanPSMT" w:hAnsi="TimesNewRomanPSMT" w:cs="TimesNewRomanPSMT"/>
          <w:sz w:val="18"/>
          <w:szCs w:val="18"/>
        </w:rPr>
        <w:t>NOTE—The MHR contains the Auxiliary Security Header field, as defined in 7.2</w:t>
      </w:r>
    </w:p>
    <w:p w:rsidR="005A140A" w:rsidRDefault="005A140A">
      <w:pPr>
        <w:rPr>
          <w:rFonts w:ascii="TimesNewRomanPSMT" w:hAnsi="TimesNewRomanPSMT" w:cs="TimesNewRomanPSMT"/>
          <w:sz w:val="18"/>
          <w:szCs w:val="18"/>
        </w:rPr>
      </w:pPr>
    </w:p>
    <w:p w:rsidR="002C5B93" w:rsidRDefault="002C5B93">
      <w:pPr>
        <w:rPr>
          <w:rFonts w:ascii="TimesNewRomanPSMT" w:hAnsi="TimesNewRomanPSMT" w:cs="TimesNewRomanPSMT"/>
          <w:sz w:val="18"/>
          <w:szCs w:val="18"/>
        </w:rPr>
      </w:pPr>
    </w:p>
    <w:p w:rsidR="00F12EC4" w:rsidRPr="004852E0" w:rsidRDefault="00F12EC4" w:rsidP="00F12EC4">
      <w:pPr>
        <w:pStyle w:val="IEEEStdsParagraph"/>
        <w:rPr>
          <w:rFonts w:ascii="Arial" w:hAnsi="Arial" w:cs="Arial"/>
          <w:b/>
        </w:rPr>
      </w:pPr>
      <w:r w:rsidRPr="004852E0">
        <w:rPr>
          <w:rFonts w:ascii="Arial" w:hAnsi="Arial" w:cs="Arial"/>
          <w:b/>
        </w:rPr>
        <w:t>6.17</w:t>
      </w:r>
      <w:r>
        <w:rPr>
          <w:rFonts w:ascii="Arial" w:hAnsi="Arial" w:cs="Arial"/>
          <w:b/>
        </w:rPr>
        <w:t>.3</w:t>
      </w:r>
      <w:r w:rsidRPr="004852E0">
        <w:rPr>
          <w:rFonts w:ascii="Arial" w:hAnsi="Arial" w:cs="Arial"/>
          <w:b/>
        </w:rPr>
        <w:t xml:space="preserve"> Secure ra</w:t>
      </w:r>
      <w:r>
        <w:rPr>
          <w:rFonts w:ascii="Arial" w:hAnsi="Arial" w:cs="Arial"/>
          <w:b/>
        </w:rPr>
        <w:t xml:space="preserve">nging </w:t>
      </w:r>
      <w:r w:rsidR="00D50B6A">
        <w:rPr>
          <w:rFonts w:ascii="Arial" w:hAnsi="Arial" w:cs="Arial"/>
          <w:b/>
        </w:rPr>
        <w:t xml:space="preserve">with </w:t>
      </w:r>
      <w:r w:rsidR="00B1337E">
        <w:rPr>
          <w:rFonts w:ascii="Arial" w:hAnsi="Arial" w:cs="Arial"/>
          <w:b/>
        </w:rPr>
        <w:t>tolerance of bit errors</w:t>
      </w:r>
    </w:p>
    <w:p w:rsidR="00B1337E" w:rsidRDefault="00E6701B" w:rsidP="00EE1DA9">
      <w:pPr>
        <w:pStyle w:val="IEEEStdsParagraph"/>
      </w:pPr>
      <w:r>
        <w:t xml:space="preserve">This </w:t>
      </w:r>
      <w:proofErr w:type="spellStart"/>
      <w:r>
        <w:t>subclause</w:t>
      </w:r>
      <w:proofErr w:type="spellEnd"/>
      <w:r>
        <w:t xml:space="preserve"> describes the two-way message exchange for secure ranging </w:t>
      </w:r>
      <w:r w:rsidR="00B1337E">
        <w:t>which allows tolerance of bit errors during</w:t>
      </w:r>
      <w:r w:rsidR="004932AA">
        <w:t xml:space="preserve"> the ranging</w:t>
      </w:r>
      <w:r>
        <w:t xml:space="preserve">. </w:t>
      </w:r>
    </w:p>
    <w:p w:rsidR="00BF1CAA" w:rsidRDefault="00E6701B" w:rsidP="00EE1DA9">
      <w:pPr>
        <w:pStyle w:val="IEEEStdsParagraph"/>
      </w:pPr>
      <w:r>
        <w:t xml:space="preserve">This type of secure ranging assumes that </w:t>
      </w:r>
      <w:proofErr w:type="spellStart"/>
      <w:r>
        <w:t>V</w:t>
      </w:r>
      <w:r w:rsidR="005840E6">
        <w:t>Challenge</w:t>
      </w:r>
      <w:proofErr w:type="spellEnd"/>
      <w:r>
        <w:t xml:space="preserve"> and </w:t>
      </w:r>
      <w:proofErr w:type="spellStart"/>
      <w:r>
        <w:t>P</w:t>
      </w:r>
      <w:r w:rsidR="005840E6">
        <w:t>Challenge</w:t>
      </w:r>
      <w:proofErr w:type="spellEnd"/>
      <w:r>
        <w:t xml:space="preserve"> </w:t>
      </w:r>
      <w:r w:rsidR="00D50B6A">
        <w:t xml:space="preserve">are </w:t>
      </w:r>
      <w:r w:rsidR="00B1337E">
        <w:t>exchanged between</w:t>
      </w:r>
      <w:r w:rsidR="00D50B6A">
        <w:t xml:space="preserve"> the Verifier device and Prover device before</w:t>
      </w:r>
      <w:r w:rsidR="004932AA">
        <w:t xml:space="preserve"> the secure ranging takes place or after the secure ranging</w:t>
      </w:r>
      <w:r w:rsidR="00D50B6A">
        <w:t xml:space="preserve"> has taken place.</w:t>
      </w:r>
    </w:p>
    <w:p w:rsidR="00E6701B" w:rsidRDefault="00ED49A2" w:rsidP="00E6701B">
      <w:pPr>
        <w:pStyle w:val="IEEEStdsParagraph"/>
        <w:jc w:val="center"/>
        <w:rPr>
          <w:rFonts w:ascii="Arial" w:hAnsi="Arial" w:cs="Arial"/>
          <w:b/>
        </w:rPr>
      </w:pPr>
      <w:r w:rsidRPr="00ED49A2">
        <w:rPr>
          <w:noProof/>
          <w:lang w:eastAsia="en-US"/>
        </w:rPr>
        <w:lastRenderedPageBreak/>
        <w:drawing>
          <wp:inline distT="0" distB="0" distL="0" distR="0">
            <wp:extent cx="3360420" cy="150876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60420" cy="1508760"/>
                    </a:xfrm>
                    <a:prstGeom prst="rect">
                      <a:avLst/>
                    </a:prstGeom>
                    <a:noFill/>
                    <a:ln w="9525">
                      <a:noFill/>
                      <a:miter lim="800000"/>
                      <a:headEnd/>
                      <a:tailEnd/>
                    </a:ln>
                  </pic:spPr>
                </pic:pic>
              </a:graphicData>
            </a:graphic>
          </wp:inline>
        </w:drawing>
      </w:r>
    </w:p>
    <w:p w:rsidR="00E6701B" w:rsidRDefault="00E6701B" w:rsidP="00EE1DA9">
      <w:pPr>
        <w:pStyle w:val="IEEEStdsParagraph"/>
        <w:rPr>
          <w:rFonts w:ascii="Arial" w:hAnsi="Arial" w:cs="Arial"/>
          <w:b/>
        </w:rPr>
      </w:pPr>
    </w:p>
    <w:p w:rsidR="00D50B6A" w:rsidRPr="00D50B6A" w:rsidRDefault="004932AA" w:rsidP="00BF1CAA">
      <w:pPr>
        <w:pStyle w:val="IEEEStdsParagraph"/>
        <w:rPr>
          <w:rFonts w:ascii="Arial" w:hAnsi="Arial" w:cs="Arial"/>
          <w:b/>
        </w:rPr>
      </w:pPr>
      <w:r>
        <w:t xml:space="preserve">Knowledge of </w:t>
      </w:r>
      <w:proofErr w:type="spellStart"/>
      <w:r w:rsidR="00D50B6A">
        <w:t>VChallenge</w:t>
      </w:r>
      <w:proofErr w:type="spellEnd"/>
      <w:r w:rsidR="00D50B6A">
        <w:t xml:space="preserve"> and </w:t>
      </w:r>
      <w:proofErr w:type="spellStart"/>
      <w:r w:rsidR="00D50B6A">
        <w:t>PChallenge</w:t>
      </w:r>
      <w:proofErr w:type="spellEnd"/>
      <w:r w:rsidR="00D50B6A">
        <w:t xml:space="preserve"> by the Verifier device and Prover device p</w:t>
      </w:r>
      <w:r>
        <w:t>rior to the two-way ranging</w:t>
      </w:r>
      <w:r w:rsidR="00D50B6A">
        <w:t xml:space="preserve"> or </w:t>
      </w:r>
      <w:r>
        <w:t>after the two-way ranging</w:t>
      </w:r>
      <w:r w:rsidR="00B1337E">
        <w:t xml:space="preserve"> allows the upper</w:t>
      </w:r>
      <w:r w:rsidR="00D50B6A">
        <w:t xml:space="preserve"> application layer to </w:t>
      </w:r>
      <w:r w:rsidR="00B1337E">
        <w:t xml:space="preserve">verify the validity of the </w:t>
      </w:r>
      <w:proofErr w:type="spellStart"/>
      <w:r w:rsidR="00B1337E">
        <w:t>VChallenge</w:t>
      </w:r>
      <w:proofErr w:type="spellEnd"/>
      <w:r w:rsidR="00B1337E">
        <w:t xml:space="preserve"> and </w:t>
      </w:r>
      <w:proofErr w:type="spellStart"/>
      <w:r w:rsidR="00B1337E">
        <w:t>PChallenge</w:t>
      </w:r>
      <w:proofErr w:type="spellEnd"/>
      <w:r w:rsidR="00B1337E">
        <w:t xml:space="preserve"> even if </w:t>
      </w:r>
      <w:r w:rsidR="00D50B6A">
        <w:t xml:space="preserve">bit errors </w:t>
      </w:r>
      <w:r w:rsidR="00B1337E">
        <w:t xml:space="preserve">have occurred during the transmission. </w:t>
      </w:r>
      <w:r w:rsidR="00D50B6A">
        <w:t xml:space="preserve">Annex G provides informative information on the sizes of </w:t>
      </w:r>
      <w:proofErr w:type="spellStart"/>
      <w:r w:rsidR="00D50B6A">
        <w:t>VChallenge</w:t>
      </w:r>
      <w:proofErr w:type="spellEnd"/>
      <w:r w:rsidR="00D50B6A">
        <w:t xml:space="preserve"> and </w:t>
      </w:r>
      <w:proofErr w:type="spellStart"/>
      <w:r w:rsidR="00D50B6A">
        <w:t>PChallenge</w:t>
      </w:r>
      <w:proofErr w:type="spellEnd"/>
      <w:r w:rsidR="00D50B6A">
        <w:t xml:space="preserve"> in order to</w:t>
      </w:r>
      <w:r w:rsidR="00B1337E">
        <w:t xml:space="preserve"> achieve the </w:t>
      </w:r>
      <w:r>
        <w:t xml:space="preserve">desired </w:t>
      </w:r>
      <w:r w:rsidR="00B1337E">
        <w:t>Security L</w:t>
      </w:r>
      <w:r w:rsidR="00D50B6A">
        <w:t>evel.</w:t>
      </w:r>
    </w:p>
    <w:p w:rsidR="00BF1CAA" w:rsidRDefault="001D70C7" w:rsidP="00BF1CAA">
      <w:pPr>
        <w:pStyle w:val="IEEEStdsParagraph"/>
      </w:pPr>
      <w:proofErr w:type="spellStart"/>
      <w:r>
        <w:t>VChallenge</w:t>
      </w:r>
      <w:proofErr w:type="spellEnd"/>
      <w:r>
        <w:t xml:space="preserve"> and </w:t>
      </w:r>
      <w:proofErr w:type="spellStart"/>
      <w:r>
        <w:t>PChallenge</w:t>
      </w:r>
      <w:proofErr w:type="spellEnd"/>
      <w:r w:rsidR="00BF1CAA">
        <w:t xml:space="preserve"> </w:t>
      </w:r>
      <w:r w:rsidR="00B1337E">
        <w:t xml:space="preserve">can be securely exchanged </w:t>
      </w:r>
      <w:r w:rsidR="00D50B6A">
        <w:t xml:space="preserve">between the Verifier device and Prover device </w:t>
      </w:r>
      <w:r w:rsidR="00BF1CAA">
        <w:t>by using the security services in Clause 9, out-of-band (OOB) communication or other</w:t>
      </w:r>
      <w:r w:rsidR="00B1337E">
        <w:t xml:space="preserve"> means by</w:t>
      </w:r>
      <w:r w:rsidR="00D50B6A">
        <w:t xml:space="preserve"> the upper application layers</w:t>
      </w:r>
      <w:r w:rsidR="00B1337E">
        <w:t>.</w:t>
      </w:r>
    </w:p>
    <w:p w:rsidR="00BF1CAA" w:rsidRDefault="00BF1CAA" w:rsidP="00BF1CAA">
      <w:pPr>
        <w:pStyle w:val="IEEEStdsParagraph"/>
        <w:rPr>
          <w:b/>
        </w:rPr>
      </w:pPr>
      <w:r>
        <w:rPr>
          <w:b/>
        </w:rPr>
        <w:t>6.17.3</w:t>
      </w:r>
      <w:r w:rsidRPr="005E6ACC">
        <w:rPr>
          <w:b/>
        </w:rPr>
        <w:t xml:space="preserve">.1 </w:t>
      </w:r>
      <w:proofErr w:type="spellStart"/>
      <w:r w:rsidRPr="005E6ACC">
        <w:rPr>
          <w:b/>
        </w:rPr>
        <w:t>V</w:t>
      </w:r>
      <w:r w:rsidR="00ED49A2">
        <w:rPr>
          <w:b/>
        </w:rPr>
        <w:t>Challenge</w:t>
      </w:r>
      <w:proofErr w:type="spellEnd"/>
    </w:p>
    <w:p w:rsidR="00BF1CAA" w:rsidRDefault="00D50B6A" w:rsidP="00BF1CAA">
      <w:pPr>
        <w:pStyle w:val="IEEEStdsParagraph"/>
      </w:pPr>
      <w:proofErr w:type="spellStart"/>
      <w:r>
        <w:t>VChallenge</w:t>
      </w:r>
      <w:proofErr w:type="spellEnd"/>
      <w:r w:rsidR="00BF1CAA">
        <w:t xml:space="preserve"> is a </w:t>
      </w:r>
      <w:r>
        <w:t xml:space="preserve">fresh random number of a given amount of bits. Annex G provides examples on how to compute the amount of bits to be used based on the required Security Level. </w:t>
      </w:r>
      <w:r w:rsidR="00BF1CAA">
        <w:t>The generation mechanism is outside the scope of this standard.</w:t>
      </w:r>
    </w:p>
    <w:p w:rsidR="00BF1CAA" w:rsidRDefault="00BF1CAA" w:rsidP="00BF1CAA">
      <w:pPr>
        <w:pStyle w:val="IEEEStdsParagraph"/>
        <w:rPr>
          <w:b/>
        </w:rPr>
      </w:pPr>
      <w:r>
        <w:rPr>
          <w:b/>
        </w:rPr>
        <w:t>6.17</w:t>
      </w:r>
      <w:r w:rsidR="00293B60">
        <w:rPr>
          <w:b/>
        </w:rPr>
        <w:t>.3</w:t>
      </w:r>
      <w:r>
        <w:rPr>
          <w:b/>
        </w:rPr>
        <w:t>.2</w:t>
      </w:r>
      <w:r w:rsidRPr="005E6ACC">
        <w:rPr>
          <w:b/>
        </w:rPr>
        <w:t xml:space="preserve"> </w:t>
      </w:r>
      <w:proofErr w:type="spellStart"/>
      <w:r>
        <w:rPr>
          <w:b/>
        </w:rPr>
        <w:t>P</w:t>
      </w:r>
      <w:r w:rsidR="001D70C7">
        <w:rPr>
          <w:b/>
        </w:rPr>
        <w:t>Challenge</w:t>
      </w:r>
      <w:proofErr w:type="spellEnd"/>
    </w:p>
    <w:p w:rsidR="00D50B6A" w:rsidRDefault="00D50B6A" w:rsidP="00D50B6A">
      <w:pPr>
        <w:pStyle w:val="IEEEStdsParagraph"/>
      </w:pPr>
      <w:proofErr w:type="spellStart"/>
      <w:r>
        <w:t>PChallenge</w:t>
      </w:r>
      <w:proofErr w:type="spellEnd"/>
      <w:r>
        <w:t xml:space="preserve"> is a fresh random number of a given amount of bits. Annex G provides examples on how to compute the amount of bits to be used based on the required Security Level. The generation mechanism is outside the scope of this standard.</w:t>
      </w:r>
    </w:p>
    <w:p w:rsidR="00EE1DA9" w:rsidRPr="007509DC" w:rsidRDefault="00EE1DA9" w:rsidP="00EE1DA9">
      <w:pPr>
        <w:pStyle w:val="IEEEStdsParagraph"/>
        <w:rPr>
          <w:rFonts w:ascii="Arial" w:hAnsi="Arial" w:cs="Arial"/>
          <w:b/>
        </w:rPr>
      </w:pPr>
      <w:r w:rsidRPr="007509DC">
        <w:rPr>
          <w:rFonts w:ascii="Arial" w:hAnsi="Arial" w:cs="Arial"/>
          <w:b/>
        </w:rPr>
        <w:t>6.17.</w:t>
      </w:r>
      <w:r w:rsidR="00F12EC4">
        <w:rPr>
          <w:rFonts w:ascii="Arial" w:hAnsi="Arial" w:cs="Arial"/>
          <w:b/>
        </w:rPr>
        <w:t>4</w:t>
      </w:r>
      <w:r w:rsidRPr="007509DC">
        <w:rPr>
          <w:rFonts w:ascii="Arial" w:hAnsi="Arial" w:cs="Arial"/>
          <w:b/>
        </w:rPr>
        <w:t xml:space="preserve"> </w:t>
      </w:r>
      <w:r w:rsidR="00A21837" w:rsidRPr="007509DC">
        <w:rPr>
          <w:rFonts w:ascii="Arial" w:hAnsi="Arial" w:cs="Arial"/>
          <w:b/>
        </w:rPr>
        <w:t>Distance commitment</w:t>
      </w:r>
    </w:p>
    <w:p w:rsidR="00991B8C" w:rsidRDefault="00991B8C" w:rsidP="00EE1DA9">
      <w:pPr>
        <w:pStyle w:val="IEEEStdsParagraph"/>
      </w:pPr>
      <w:r>
        <w:t xml:space="preserve">Distance commitment ensures that </w:t>
      </w:r>
      <w:r w:rsidR="008E24E7">
        <w:t xml:space="preserve">the data of the PSDU carrying the </w:t>
      </w:r>
      <w:r w:rsidR="00D8485B">
        <w:t>nonce</w:t>
      </w:r>
      <w:r w:rsidR="008E24E7">
        <w:t xml:space="preserve"> and MIC</w:t>
      </w:r>
      <w:r>
        <w:t xml:space="preserve"> </w:t>
      </w:r>
      <w:r w:rsidR="008E24E7">
        <w:t xml:space="preserve">of the MAC payload </w:t>
      </w:r>
      <w:r>
        <w:t>is decoded at the measured distanc</w:t>
      </w:r>
      <w:r w:rsidR="003840DF">
        <w:t>e by</w:t>
      </w:r>
      <w:r w:rsidR="00D8485B">
        <w:t xml:space="preserve"> the earliest path(s)</w:t>
      </w:r>
      <w:r>
        <w:t xml:space="preserve">. This is </w:t>
      </w:r>
      <w:r w:rsidRPr="00193657">
        <w:t>essential</w:t>
      </w:r>
      <w:r>
        <w:t xml:space="preserve"> to secure </w:t>
      </w:r>
      <w:r w:rsidR="005E1D4F">
        <w:t xml:space="preserve">authenticated </w:t>
      </w:r>
      <w:r>
        <w:t>ranging and provable security as defined in Annex G.</w:t>
      </w:r>
    </w:p>
    <w:p w:rsidR="00991B8C" w:rsidRDefault="00C10B0B" w:rsidP="00EE1DA9">
      <w:pPr>
        <w:pStyle w:val="IEEEStdsParagraph"/>
      </w:pPr>
      <w:r>
        <w:fldChar w:fldCharType="begin"/>
      </w:r>
      <w:r w:rsidR="008E24E7">
        <w:instrText xml:space="preserve"> REF _Ref516141705 \h </w:instrText>
      </w:r>
      <w:r>
        <w:fldChar w:fldCharType="separate"/>
      </w:r>
      <w:r w:rsidR="008E24E7">
        <w:t xml:space="preserve">Figure </w:t>
      </w:r>
      <w:r w:rsidR="008E24E7">
        <w:rPr>
          <w:noProof/>
        </w:rPr>
        <w:t>3</w:t>
      </w:r>
      <w:r>
        <w:fldChar w:fldCharType="end"/>
      </w:r>
      <w:r w:rsidR="008E24E7">
        <w:t xml:space="preserve"> illustrate the distance commitment. </w:t>
      </w:r>
      <w:r w:rsidR="00991B8C">
        <w:t xml:space="preserve">Channel state information (channel impulse response) </w:t>
      </w:r>
      <w:r w:rsidR="00AF400C">
        <w:t>is</w:t>
      </w:r>
      <w:r w:rsidR="00991B8C">
        <w:t xml:space="preserve"> available</w:t>
      </w:r>
      <w:r w:rsidR="00AF400C">
        <w:t xml:space="preserve"> after the SHR. The earliest path(s) are</w:t>
      </w:r>
      <w:r w:rsidR="008E24E7">
        <w:t xml:space="preserve"> detected from the channel state information. During recept</w:t>
      </w:r>
      <w:r w:rsidR="00AF400C">
        <w:t>ion of PSDU only the “earliest path(s)</w:t>
      </w:r>
      <w:r w:rsidR="008E24E7">
        <w:t>” portion of the received signal s</w:t>
      </w:r>
      <w:r w:rsidR="001D68CF">
        <w:t>hall be used for data decoding.</w:t>
      </w:r>
    </w:p>
    <w:p w:rsidR="001D68CF" w:rsidRPr="00991B8C" w:rsidRDefault="001D68CF" w:rsidP="00EE1DA9">
      <w:pPr>
        <w:pStyle w:val="IEEEStdsParagraph"/>
      </w:pPr>
      <w:r w:rsidRPr="001D68CF">
        <w:rPr>
          <w:b/>
          <w:iCs/>
        </w:rPr>
        <w:t>[Comment</w:t>
      </w:r>
      <w:r>
        <w:rPr>
          <w:b/>
          <w:iCs/>
        </w:rPr>
        <w:t xml:space="preserve">&lt;2&gt;: </w:t>
      </w:r>
      <w:r w:rsidR="00AF400C">
        <w:rPr>
          <w:iCs/>
        </w:rPr>
        <w:t>Provide</w:t>
      </w:r>
      <w:r>
        <w:rPr>
          <w:iCs/>
        </w:rPr>
        <w:t xml:space="preserve"> </w:t>
      </w:r>
      <w:r w:rsidR="003166E8">
        <w:rPr>
          <w:iCs/>
        </w:rPr>
        <w:t xml:space="preserve">more </w:t>
      </w:r>
      <w:r>
        <w:rPr>
          <w:iCs/>
        </w:rPr>
        <w:t>pr</w:t>
      </w:r>
      <w:r w:rsidR="00A220A9">
        <w:rPr>
          <w:iCs/>
        </w:rPr>
        <w:t>ecise definition of “earliest path(s)”</w:t>
      </w:r>
      <w:r>
        <w:rPr>
          <w:iCs/>
        </w:rPr>
        <w:t xml:space="preserve"> in order to e</w:t>
      </w:r>
      <w:r w:rsidR="00654B4D">
        <w:rPr>
          <w:iCs/>
        </w:rPr>
        <w:t>nsure strict security</w:t>
      </w:r>
      <w:r w:rsidR="005977D8">
        <w:rPr>
          <w:iCs/>
        </w:rPr>
        <w:t xml:space="preserve"> guarantees between</w:t>
      </w:r>
      <w:r w:rsidR="003166E8">
        <w:rPr>
          <w:iCs/>
        </w:rPr>
        <w:t xml:space="preserve"> different </w:t>
      </w:r>
      <w:r w:rsidR="005977D8">
        <w:rPr>
          <w:iCs/>
        </w:rPr>
        <w:t xml:space="preserve">chip </w:t>
      </w:r>
      <w:r w:rsidR="003166E8">
        <w:rPr>
          <w:iCs/>
        </w:rPr>
        <w:t>vendors</w:t>
      </w:r>
      <w:r w:rsidR="001D70C7">
        <w:rPr>
          <w:iCs/>
        </w:rPr>
        <w:t xml:space="preserve">. </w:t>
      </w:r>
      <w:r w:rsidR="00A220A9">
        <w:rPr>
          <w:iCs/>
        </w:rPr>
        <w:t xml:space="preserve">This </w:t>
      </w:r>
      <w:r w:rsidR="00742EA5">
        <w:rPr>
          <w:iCs/>
        </w:rPr>
        <w:t>would need</w:t>
      </w:r>
      <w:r w:rsidR="00A220A9">
        <w:rPr>
          <w:iCs/>
        </w:rPr>
        <w:t xml:space="preserve"> to be</w:t>
      </w:r>
      <w:r w:rsidR="00F3786A">
        <w:rPr>
          <w:iCs/>
        </w:rPr>
        <w:t xml:space="preserve"> formulate</w:t>
      </w:r>
      <w:r w:rsidR="00A220A9">
        <w:rPr>
          <w:iCs/>
        </w:rPr>
        <w:t>d</w:t>
      </w:r>
      <w:r w:rsidR="00F3786A">
        <w:rPr>
          <w:iCs/>
        </w:rPr>
        <w:t xml:space="preserve"> in Annex G as normative.</w:t>
      </w:r>
      <w:r w:rsidRPr="001D68CF">
        <w:rPr>
          <w:b/>
          <w:iCs/>
        </w:rPr>
        <w:t>]</w:t>
      </w:r>
    </w:p>
    <w:p w:rsidR="00991B8C" w:rsidRDefault="0091173B" w:rsidP="003840DF">
      <w:pPr>
        <w:pStyle w:val="IEEEStdsParagraph"/>
        <w:keepNext/>
        <w:jc w:val="center"/>
      </w:pPr>
      <w:r w:rsidRPr="0091173B">
        <w:rPr>
          <w:noProof/>
          <w:lang w:eastAsia="en-US"/>
        </w:rPr>
        <w:lastRenderedPageBreak/>
        <w:drawing>
          <wp:inline distT="0" distB="0" distL="0" distR="0">
            <wp:extent cx="5943600" cy="2655811"/>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2655811"/>
                    </a:xfrm>
                    <a:prstGeom prst="rect">
                      <a:avLst/>
                    </a:prstGeom>
                    <a:noFill/>
                    <a:ln w="9525">
                      <a:noFill/>
                      <a:miter lim="800000"/>
                      <a:headEnd/>
                      <a:tailEnd/>
                    </a:ln>
                  </pic:spPr>
                </pic:pic>
              </a:graphicData>
            </a:graphic>
          </wp:inline>
        </w:drawing>
      </w:r>
    </w:p>
    <w:p w:rsidR="00991B8C" w:rsidRDefault="00991B8C" w:rsidP="00991B8C">
      <w:pPr>
        <w:pStyle w:val="Caption"/>
        <w:jc w:val="center"/>
      </w:pPr>
      <w:bookmarkStart w:id="0" w:name="_Ref516141705"/>
      <w:r>
        <w:t xml:space="preserve">Figure </w:t>
      </w:r>
      <w:r w:rsidR="00C10B0B">
        <w:rPr>
          <w:noProof/>
        </w:rPr>
        <w:fldChar w:fldCharType="begin"/>
      </w:r>
      <w:r w:rsidR="00683FDC">
        <w:rPr>
          <w:noProof/>
        </w:rPr>
        <w:instrText xml:space="preserve"> SEQ Figure \* ARABIC </w:instrText>
      </w:r>
      <w:r w:rsidR="00C10B0B">
        <w:rPr>
          <w:noProof/>
        </w:rPr>
        <w:fldChar w:fldCharType="separate"/>
      </w:r>
      <w:r>
        <w:rPr>
          <w:noProof/>
        </w:rPr>
        <w:t>3</w:t>
      </w:r>
      <w:r w:rsidR="00C10B0B">
        <w:rPr>
          <w:noProof/>
        </w:rPr>
        <w:fldChar w:fldCharType="end"/>
      </w:r>
      <w:bookmarkEnd w:id="0"/>
      <w:r>
        <w:t xml:space="preserve"> Distance commitment</w:t>
      </w:r>
    </w:p>
    <w:p w:rsidR="002C5B93" w:rsidRDefault="002C5B93">
      <w:pPr>
        <w:rPr>
          <w:rFonts w:ascii="TimesNewRomanPSMT" w:hAnsi="TimesNewRomanPSMT" w:cs="TimesNewRomanPSMT"/>
          <w:sz w:val="18"/>
          <w:szCs w:val="18"/>
        </w:rPr>
      </w:pPr>
    </w:p>
    <w:p w:rsidR="008E24E7" w:rsidRDefault="008E24E7">
      <w:pPr>
        <w:rPr>
          <w:rFonts w:ascii="TimesNewRomanPSMT" w:hAnsi="TimesNewRomanPSMT" w:cs="TimesNewRomanPSMT"/>
          <w:sz w:val="18"/>
          <w:szCs w:val="18"/>
        </w:rPr>
      </w:pPr>
    </w:p>
    <w:p w:rsidR="008E24E7" w:rsidRPr="00D84A70" w:rsidRDefault="008E24E7" w:rsidP="008E24E7">
      <w:pPr>
        <w:pStyle w:val="IEEEStdsParagraph"/>
        <w:rPr>
          <w:rFonts w:ascii="Arial" w:hAnsi="Arial" w:cs="Arial"/>
          <w:b/>
        </w:rPr>
      </w:pPr>
      <w:r w:rsidRPr="00D84A70">
        <w:rPr>
          <w:rFonts w:ascii="Arial" w:hAnsi="Arial" w:cs="Arial"/>
          <w:b/>
        </w:rPr>
        <w:t>6.17.</w:t>
      </w:r>
      <w:r w:rsidR="00F12EC4">
        <w:rPr>
          <w:rFonts w:ascii="Arial" w:hAnsi="Arial" w:cs="Arial"/>
          <w:b/>
        </w:rPr>
        <w:t>5</w:t>
      </w:r>
      <w:r w:rsidRPr="00D84A70">
        <w:rPr>
          <w:rFonts w:ascii="Arial" w:hAnsi="Arial" w:cs="Arial"/>
          <w:b/>
        </w:rPr>
        <w:t xml:space="preserve"> </w:t>
      </w:r>
      <w:r w:rsidR="00022B72" w:rsidRPr="00D84A70">
        <w:rPr>
          <w:rFonts w:ascii="Arial" w:hAnsi="Arial" w:cs="Arial"/>
          <w:b/>
        </w:rPr>
        <w:t>Protocol v</w:t>
      </w:r>
      <w:r w:rsidRPr="00D84A70">
        <w:rPr>
          <w:rFonts w:ascii="Arial" w:hAnsi="Arial" w:cs="Arial"/>
          <w:b/>
        </w:rPr>
        <w:t>erification</w:t>
      </w:r>
    </w:p>
    <w:p w:rsidR="006E532F" w:rsidRDefault="00D84A70" w:rsidP="008E24E7">
      <w:pPr>
        <w:pStyle w:val="IEEEStdsParagraph"/>
      </w:pPr>
      <w:r>
        <w:t>Verification for success or</w:t>
      </w:r>
      <w:r w:rsidR="006E532F">
        <w:t xml:space="preserve"> failure is performed by </w:t>
      </w:r>
      <w:r w:rsidR="00193657">
        <w:t xml:space="preserve">the Verifier </w:t>
      </w:r>
      <w:r w:rsidR="006E532F">
        <w:t>in the one-way authentication and by both</w:t>
      </w:r>
      <w:r w:rsidR="00193657">
        <w:t xml:space="preserve"> the Verifier and the Prover in the mutual authentication</w:t>
      </w:r>
      <w:r w:rsidR="006E532F">
        <w:t>.</w:t>
      </w:r>
    </w:p>
    <w:p w:rsidR="008E24E7" w:rsidRPr="008E24E7" w:rsidRDefault="006E532F" w:rsidP="008E24E7">
      <w:pPr>
        <w:pStyle w:val="IEEEStdsParagraph"/>
      </w:pPr>
      <w:r>
        <w:t xml:space="preserve">The verification procedure of secure </w:t>
      </w:r>
      <w:r w:rsidR="007509DC">
        <w:t xml:space="preserve">authenticated </w:t>
      </w:r>
      <w:r>
        <w:t xml:space="preserve">ranging consists of </w:t>
      </w:r>
      <w:r w:rsidR="0045689A">
        <w:t xml:space="preserve">bit-wise </w:t>
      </w:r>
      <w:r>
        <w:t xml:space="preserve">matching </w:t>
      </w:r>
      <w:r w:rsidR="00193657">
        <w:t xml:space="preserve">the received </w:t>
      </w:r>
      <w:proofErr w:type="spellStart"/>
      <w:r w:rsidR="00193657">
        <w:t>nonces</w:t>
      </w:r>
      <w:proofErr w:type="spellEnd"/>
      <w:r w:rsidR="00193657">
        <w:t xml:space="preserve"> and </w:t>
      </w:r>
      <w:r w:rsidR="009C48C9">
        <w:t>computed</w:t>
      </w:r>
      <w:r w:rsidR="0045689A">
        <w:t xml:space="preserve"> </w:t>
      </w:r>
      <w:r>
        <w:t>MIC</w:t>
      </w:r>
      <w:r w:rsidR="00193657">
        <w:t>.</w:t>
      </w:r>
    </w:p>
    <w:p w:rsidR="008E24E7" w:rsidRDefault="008E24E7">
      <w:pPr>
        <w:rPr>
          <w:rFonts w:ascii="TimesNewRomanPSMT" w:hAnsi="TimesNewRomanPSMT" w:cs="TimesNewRomanPSMT"/>
          <w:sz w:val="18"/>
          <w:szCs w:val="18"/>
        </w:rPr>
      </w:pPr>
    </w:p>
    <w:p w:rsidR="00B65A66" w:rsidRPr="00B05B3B" w:rsidRDefault="00B65A66" w:rsidP="00B05B3B">
      <w:pPr>
        <w:pStyle w:val="IEEEStdsParagraph"/>
        <w:rPr>
          <w:iCs/>
        </w:rPr>
      </w:pPr>
      <w:r w:rsidRPr="001D68CF">
        <w:rPr>
          <w:b/>
          <w:iCs/>
        </w:rPr>
        <w:t>[Comment</w:t>
      </w:r>
      <w:r>
        <w:rPr>
          <w:b/>
          <w:iCs/>
        </w:rPr>
        <w:t xml:space="preserve">&lt;3&gt;: </w:t>
      </w:r>
      <w:r>
        <w:rPr>
          <w:iCs/>
        </w:rPr>
        <w:t xml:space="preserve">Include </w:t>
      </w:r>
      <w:r w:rsidR="000C72FB">
        <w:rPr>
          <w:iCs/>
        </w:rPr>
        <w:t>a section on the type</w:t>
      </w:r>
      <w:r>
        <w:rPr>
          <w:iCs/>
        </w:rPr>
        <w:t xml:space="preserve"> of shared keys</w:t>
      </w:r>
      <w:r w:rsidR="000C72FB">
        <w:rPr>
          <w:iCs/>
        </w:rPr>
        <w:t xml:space="preserve"> to be used</w:t>
      </w:r>
      <w:r>
        <w:rPr>
          <w:iCs/>
        </w:rPr>
        <w:t xml:space="preserve">. Especially, mandate the use of </w:t>
      </w:r>
      <w:r w:rsidRPr="00B65A66">
        <w:rPr>
          <w:iCs/>
        </w:rPr>
        <w:t>only link keys (i.e., pair-wise shared keys)</w:t>
      </w:r>
      <w:r>
        <w:rPr>
          <w:iCs/>
        </w:rPr>
        <w:t xml:space="preserve"> between devices and not group keys</w:t>
      </w:r>
      <w:r w:rsidR="000C72FB">
        <w:rPr>
          <w:iCs/>
        </w:rPr>
        <w:t xml:space="preserve">. Keys shared by a group of devices </w:t>
      </w:r>
      <w:r w:rsidR="000C72FB" w:rsidRPr="000C72FB">
        <w:rPr>
          <w:iCs/>
        </w:rPr>
        <w:t>can be subject to insider attacks, i.e., the attacker can impersonate as an innocent device, associate with the group, thereby obtain the group key for launching the forgery attacks.</w:t>
      </w:r>
      <w:r w:rsidR="00ED49A2">
        <w:rPr>
          <w:iCs/>
        </w:rPr>
        <w:t xml:space="preserve"> </w:t>
      </w:r>
      <w:r w:rsidR="00B05B3B">
        <w:rPr>
          <w:iCs/>
        </w:rPr>
        <w:t xml:space="preserve"> </w:t>
      </w:r>
      <w:r w:rsidR="00ED49A2">
        <w:t>Can be stated as requirement when using</w:t>
      </w:r>
      <w:r w:rsidR="00ED49A2" w:rsidRPr="00C2784C">
        <w:t xml:space="preserve"> </w:t>
      </w:r>
      <w:proofErr w:type="gramStart"/>
      <w:r w:rsidR="00ED49A2" w:rsidRPr="00C2784C">
        <w:t>Secure</w:t>
      </w:r>
      <w:proofErr w:type="gramEnd"/>
      <w:r w:rsidR="00ED49A2" w:rsidRPr="00C2784C">
        <w:t xml:space="preserve"> authenticated ranging</w:t>
      </w:r>
      <w:r w:rsidR="00ED49A2">
        <w:t xml:space="preserve">, or as a strong recommendation TBD] </w:t>
      </w:r>
    </w:p>
    <w:p w:rsidR="008E24E7" w:rsidRDefault="008E24E7">
      <w:pPr>
        <w:rPr>
          <w:rFonts w:ascii="TimesNewRomanPSMT" w:hAnsi="TimesNewRomanPSMT" w:cs="TimesNewRomanPSMT"/>
          <w:sz w:val="18"/>
          <w:szCs w:val="18"/>
        </w:rPr>
      </w:pPr>
    </w:p>
    <w:p w:rsidR="008E24E7" w:rsidRDefault="008E24E7">
      <w:pPr>
        <w:rPr>
          <w:rFonts w:ascii="TimesNewRomanPSMT" w:hAnsi="TimesNewRomanPSMT" w:cs="TimesNewRomanPSMT"/>
          <w:sz w:val="18"/>
          <w:szCs w:val="18"/>
        </w:rPr>
      </w:pPr>
    </w:p>
    <w:p w:rsidR="002C5B93" w:rsidRDefault="002C5B93">
      <w:pPr>
        <w:rPr>
          <w:rFonts w:ascii="TimesNewRomanPSMT" w:hAnsi="TimesNewRomanPSMT" w:cs="TimesNewRomanPSMT"/>
          <w:sz w:val="18"/>
          <w:szCs w:val="18"/>
        </w:rPr>
      </w:pPr>
      <w:r>
        <w:rPr>
          <w:rFonts w:ascii="TimesNewRomanPSMT" w:hAnsi="TimesNewRomanPSMT" w:cs="TimesNewRomanPSMT"/>
          <w:sz w:val="18"/>
          <w:szCs w:val="18"/>
        </w:rPr>
        <w:br w:type="page"/>
      </w:r>
    </w:p>
    <w:p w:rsidR="008D3B57" w:rsidRPr="008D3B57" w:rsidRDefault="008D3B57" w:rsidP="008D3B57">
      <w:pPr>
        <w:pStyle w:val="IEEEStdsLevel2Header"/>
        <w:numPr>
          <w:ilvl w:val="0"/>
          <w:numId w:val="0"/>
        </w:numPr>
      </w:pPr>
      <w:r>
        <w:lastRenderedPageBreak/>
        <w:t>Annex G (</w:t>
      </w:r>
      <w:r w:rsidR="00B05B3B">
        <w:t>informative</w:t>
      </w:r>
      <w:r>
        <w:t>)</w:t>
      </w:r>
      <w:r w:rsidR="00877C85">
        <w:t xml:space="preserve"> </w:t>
      </w:r>
      <w:r w:rsidR="002C3F04">
        <w:t xml:space="preserve">Security guarantees of </w:t>
      </w:r>
      <w:r w:rsidR="00877C85">
        <w:t xml:space="preserve">secure </w:t>
      </w:r>
      <w:r w:rsidR="002C3F04">
        <w:t xml:space="preserve">authenticated </w:t>
      </w:r>
      <w:r w:rsidR="00281CE5">
        <w:t>ranging</w:t>
      </w:r>
      <w:r>
        <w:t xml:space="preserve"> </w:t>
      </w:r>
    </w:p>
    <w:p w:rsidR="00B05B3B" w:rsidRPr="00B05B3B" w:rsidRDefault="00B05B3B" w:rsidP="009A4644">
      <w:pPr>
        <w:pStyle w:val="IEEEStdsParagraph"/>
        <w:rPr>
          <w:iCs/>
        </w:rPr>
      </w:pPr>
      <w:r w:rsidRPr="001D68CF">
        <w:rPr>
          <w:b/>
          <w:iCs/>
        </w:rPr>
        <w:t>[Comment</w:t>
      </w:r>
      <w:r>
        <w:rPr>
          <w:b/>
          <w:iCs/>
        </w:rPr>
        <w:t xml:space="preserve">&lt;4&gt;: </w:t>
      </w:r>
      <w:r w:rsidR="00AA13CE">
        <w:rPr>
          <w:iCs/>
        </w:rPr>
        <w:t>Some aspects need to</w:t>
      </w:r>
      <w:r>
        <w:rPr>
          <w:iCs/>
        </w:rPr>
        <w:t xml:space="preserve"> be normative</w:t>
      </w:r>
      <w:r>
        <w:t xml:space="preserve">] </w:t>
      </w:r>
    </w:p>
    <w:p w:rsidR="009A4644" w:rsidRDefault="009A4644" w:rsidP="009A4644">
      <w:pPr>
        <w:pStyle w:val="IEEEStdsParagraph"/>
        <w:rPr>
          <w:b/>
        </w:rPr>
      </w:pPr>
      <w:r w:rsidRPr="00CB441D">
        <w:rPr>
          <w:b/>
          <w:u w:val="single"/>
        </w:rPr>
        <w:t>Protocols/Logical Layer:</w:t>
      </w:r>
      <w:r w:rsidRPr="00CB441D">
        <w:rPr>
          <w:b/>
        </w:rPr>
        <w:t xml:space="preserve"> </w:t>
      </w:r>
    </w:p>
    <w:p w:rsidR="009A4644" w:rsidRPr="00CB441D" w:rsidRDefault="009A4644" w:rsidP="009A4644">
      <w:pPr>
        <w:pStyle w:val="IEEEStdsParagraph"/>
        <w:rPr>
          <w:b/>
        </w:rPr>
      </w:pPr>
      <w:r>
        <w:t>The presented secure ranging protocols are natural extensions of one-way and mutual authentication protocols. However, since the analysis of ranging protocols includes notions of time and distance, proving their security requires being able to reason about such notions. [TISSEC2011] presents a formal model for the analysis of such protocols. In particular, it describes (Section 3) and formally proves the security of a signature-based “authenticated ranging protocol”</w:t>
      </w:r>
      <w:r w:rsidR="008710CE">
        <w:t xml:space="preserve"> </w:t>
      </w:r>
      <w:r>
        <w:t xml:space="preserve">(Section 5.1). Secure ranging with one-way authentication described in this standard (6.17.1) aims to achieve the same security properties as authenticated ranging, namely, authentication and prevention of any distance reduction attacks. Namely, assuming mutually trusted parties, their measured distance should constitute an upper bound on their actual distance. The only difference between the two protocols is that for message authentication, the protocol in </w:t>
      </w:r>
      <w:r w:rsidR="00C2784C">
        <w:t xml:space="preserve">this </w:t>
      </w:r>
      <w:r>
        <w:t xml:space="preserve">standard uses a Message Integrity Code (based on the shared secret keys), and includes principal names in the messages, as opposed to the protocol in [TISSEC2011] which relies on public-key signatures. Given this, the formal proof can be easily extended to cover the protocol described in the standard and the results naturally carry over. </w:t>
      </w:r>
    </w:p>
    <w:p w:rsidR="009A4644" w:rsidRDefault="009A4644" w:rsidP="009A4644">
      <w:pPr>
        <w:pStyle w:val="IEEEStdsParagraph"/>
      </w:pPr>
      <w:r>
        <w:t xml:space="preserve">The proofs in [TISSEC2011] are done in the symbolic model, assuming that the cryptographic primitives (i.e., signature and MIC) are ideal. This means that the </w:t>
      </w:r>
      <w:proofErr w:type="spellStart"/>
      <w:r>
        <w:t>nonces</w:t>
      </w:r>
      <w:proofErr w:type="spellEnd"/>
      <w:r>
        <w:t xml:space="preserve">, signatures and MICs are assumed to be unguessable and unforgeable. The protocols are therefore proven secure under that assumption. Assuming that the signature and MIC cannot be forged by the attacker (without the knowledge of the key), the remaining ways for the attacker to violate the security guarantees of these protocols are by guessing the </w:t>
      </w:r>
      <w:proofErr w:type="spellStart"/>
      <w:r>
        <w:t>nonces</w:t>
      </w:r>
      <w:proofErr w:type="spellEnd"/>
      <w:r>
        <w:t>/MICs or by collecting all nonce/MIC pairs. The guessing probabilities of such an attack, for different nonce and MIC sizes are given in Table 1. If the nonce is lar</w:t>
      </w:r>
      <w:r w:rsidR="00754978">
        <w:t xml:space="preserve">ge enough or if the system rate </w:t>
      </w:r>
      <w:r>
        <w:t xml:space="preserve">limits </w:t>
      </w:r>
      <w:r w:rsidR="00754978">
        <w:t xml:space="preserve">the </w:t>
      </w:r>
      <w:r>
        <w:t>interaction</w:t>
      </w:r>
      <w:r w:rsidR="00754978">
        <w:t>s</w:t>
      </w:r>
      <w:r>
        <w:t>, then the attacker c</w:t>
      </w:r>
      <w:r w:rsidR="00754978">
        <w:t xml:space="preserve">annot collect all or most nonce and </w:t>
      </w:r>
      <w:r>
        <w:t xml:space="preserve">MIC pairs. The security reasoning for the secure ranging with mutual authentication follows the same reasoning. Namely, this protocol simply combines two one-way secure ranging protocols. </w:t>
      </w:r>
    </w:p>
    <w:p w:rsidR="009A4644" w:rsidRDefault="009A4644" w:rsidP="009A4644">
      <w:pPr>
        <w:pStyle w:val="IEEEStdsParagraph"/>
      </w:pPr>
      <w:r>
        <w:t>Assuming that the devices can support public key signatures, the proposed protocols can be simply used with public key signatures, replacing MICs. This design is proven in [TISSEC2011].</w:t>
      </w:r>
    </w:p>
    <w:p w:rsidR="009A4644" w:rsidRDefault="009A4644" w:rsidP="009A4644">
      <w:pPr>
        <w:pStyle w:val="IEEEStdsParagraph"/>
        <w:rPr>
          <w:b/>
        </w:rPr>
      </w:pPr>
      <w:r>
        <w:rPr>
          <w:b/>
          <w:u w:val="single"/>
        </w:rPr>
        <w:t>Physical Layer</w:t>
      </w:r>
      <w:r w:rsidRPr="00CB441D">
        <w:rPr>
          <w:b/>
          <w:u w:val="single"/>
        </w:rPr>
        <w:t>:</w:t>
      </w:r>
      <w:r w:rsidRPr="00CB441D">
        <w:rPr>
          <w:b/>
        </w:rPr>
        <w:t xml:space="preserve"> </w:t>
      </w:r>
    </w:p>
    <w:p w:rsidR="009A4644" w:rsidRDefault="009A4644" w:rsidP="009A4644">
      <w:pPr>
        <w:pStyle w:val="IEEEStdsParagraph"/>
      </w:pPr>
      <w:r>
        <w:t xml:space="preserve">In [ESAS2006] the authors argued that, if implemented naively, secure ranging protocols will be vulnerable to physical layer attacks. Most prominent of these attacks is the early detect / late commit attack that exploits long symbols and allows the attacker to cheat on the distance up to the symbol length even if the logical layer protocol is secure. </w:t>
      </w:r>
      <w:r>
        <w:br/>
        <w:t xml:space="preserve">One safe way to prevent such attacks is to use short symbols (only few ns long). In that case, the attacker can cheat up to few nanoseconds. For </w:t>
      </w:r>
      <w:r w:rsidR="00754978">
        <w:t>an LRP UWB system</w:t>
      </w:r>
      <w:r>
        <w:t xml:space="preserve"> this means that the attacker’s ability to cheat will depend on </w:t>
      </w:r>
      <w:r w:rsidR="00754978">
        <w:t>the pulse duration</w:t>
      </w:r>
      <w:r>
        <w:t xml:space="preserve"> and therefore be proportional to the bandwidth of </w:t>
      </w:r>
      <w:r w:rsidR="00754978">
        <w:t xml:space="preserve">LRP UWB </w:t>
      </w:r>
      <w:r>
        <w:t xml:space="preserve">(400MHz – 2.14GHz). The corresponding range of the maximum distance decrease for different bandwidth is given in Table 1. For </w:t>
      </w:r>
      <w:r w:rsidR="00754978">
        <w:t xml:space="preserve">a bandwidth of </w:t>
      </w:r>
      <w:r>
        <w:t>2.14</w:t>
      </w:r>
      <w:r w:rsidR="00754978">
        <w:t xml:space="preserve"> GHz the maximum</w:t>
      </w:r>
      <w:r>
        <w:t xml:space="preserve"> </w:t>
      </w:r>
      <w:r w:rsidR="00754978">
        <w:t xml:space="preserve">distance </w:t>
      </w:r>
      <w:r>
        <w:t xml:space="preserve">decrease is 14 cm whereas for 400MHz it is 75cm. These are worst-case numbers. In all realistic scenarios, where the attacker has non-zero </w:t>
      </w:r>
      <w:r w:rsidR="00754978">
        <w:t xml:space="preserve">detection and non-zero </w:t>
      </w:r>
      <w:r>
        <w:t xml:space="preserve">processing time, the maximum distance decrease will be lower. </w:t>
      </w:r>
    </w:p>
    <w:p w:rsidR="009A4644" w:rsidRDefault="009A4644" w:rsidP="009A4644">
      <w:pPr>
        <w:pStyle w:val="IEEEStdsParagraph"/>
      </w:pPr>
      <w:r>
        <w:t xml:space="preserve">The secure ranging design in described in 6.17.3 follows the </w:t>
      </w:r>
      <w:r w:rsidRPr="00164AFE">
        <w:rPr>
          <w:i/>
        </w:rPr>
        <w:t>distance commitment</w:t>
      </w:r>
      <w:r>
        <w:t xml:space="preserve"> design that was first described in [WISEC15]. A distance commitment allows a sender to claim to be in a certain distance (by the transmission time of the preamble), which he has to prove later by supplying the correct secret at the correct time on the channel.</w:t>
      </w:r>
      <w:r>
        <w:br/>
        <w:t xml:space="preserve">The exact transmission timing of the preamble tells the receiver when to sample the channel to extract symbols to demodulate. In this sense, it is a commitment by the sender to send the data at exactly those times, as defined by the </w:t>
      </w:r>
      <w:r>
        <w:lastRenderedPageBreak/>
        <w:t>physical-layer protocol. The receiver will start sampling the channel for each symbol with timing as defined by the arrival of the preamble. In other words, the insecure distance measurement based only on the preamble simplifies and enables the secure distance measurement by providing correct synchronizatio</w:t>
      </w:r>
      <w:r w:rsidR="00754978">
        <w:t>n. If the preamble is sent earlier</w:t>
      </w:r>
      <w:r>
        <w:t xml:space="preserve"> by the attacker, the receiver will expect the data pulses earlier as well and thus start the sampling intervals earlier. If the attacker cannot provide correct data pulses in these earlier sampling intervals (e.g., because the </w:t>
      </w:r>
      <w:proofErr w:type="spellStart"/>
      <w:r>
        <w:t>prover</w:t>
      </w:r>
      <w:proofErr w:type="spellEnd"/>
      <w:r>
        <w:t xml:space="preserve"> did not send them yet), the receiver will demodulate random data. Even if he advances the preamble, the attacker therefore cannot cheat on the distance since it cannot provide the correct data (nonce and MIC) before they are sent by V or P. </w:t>
      </w:r>
    </w:p>
    <w:p w:rsidR="009A4644" w:rsidRPr="00CB441D" w:rsidRDefault="009A4644" w:rsidP="009A4644">
      <w:pPr>
        <w:pStyle w:val="IEEEStdsParagraph"/>
      </w:pPr>
      <w:proofErr w:type="gramStart"/>
      <w:r>
        <w:t>Table 1.</w:t>
      </w:r>
      <w:proofErr w:type="gramEnd"/>
    </w:p>
    <w:tbl>
      <w:tblPr>
        <w:tblStyle w:val="TableGrid"/>
        <w:tblW w:w="0" w:type="auto"/>
        <w:jc w:val="center"/>
        <w:tblLook w:val="04A0"/>
      </w:tblPr>
      <w:tblGrid>
        <w:gridCol w:w="1506"/>
        <w:gridCol w:w="1506"/>
        <w:gridCol w:w="1686"/>
        <w:gridCol w:w="1866"/>
        <w:gridCol w:w="1506"/>
      </w:tblGrid>
      <w:tr w:rsidR="00C363F1" w:rsidRPr="00196679" w:rsidTr="00C363F1">
        <w:trPr>
          <w:jc w:val="center"/>
        </w:trPr>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Security Level</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Nonce length (bits)</w:t>
            </w:r>
          </w:p>
        </w:tc>
        <w:tc>
          <w:tcPr>
            <w:tcW w:w="1686" w:type="dxa"/>
          </w:tcPr>
          <w:p w:rsidR="00C363F1" w:rsidRPr="00196679" w:rsidRDefault="00C363F1" w:rsidP="001D70C7">
            <w:pPr>
              <w:pStyle w:val="IEEEStdsParagraph"/>
              <w:jc w:val="left"/>
              <w:rPr>
                <w:color w:val="000000" w:themeColor="text1"/>
                <w:sz w:val="18"/>
              </w:rPr>
            </w:pPr>
            <w:r w:rsidRPr="00196679">
              <w:rPr>
                <w:color w:val="000000" w:themeColor="text1"/>
                <w:sz w:val="18"/>
              </w:rPr>
              <w:t xml:space="preserve">Probability of </w:t>
            </w:r>
            <w:r>
              <w:rPr>
                <w:color w:val="000000" w:themeColor="text1"/>
                <w:sz w:val="18"/>
              </w:rPr>
              <w:t>g</w:t>
            </w:r>
            <w:r w:rsidRPr="00196679">
              <w:rPr>
                <w:color w:val="000000" w:themeColor="text1"/>
                <w:sz w:val="18"/>
              </w:rPr>
              <w:t>uessing</w:t>
            </w:r>
            <w:r>
              <w:rPr>
                <w:color w:val="000000" w:themeColor="text1"/>
                <w:sz w:val="18"/>
              </w:rPr>
              <w:t xml:space="preserve"> the nonce</w:t>
            </w:r>
          </w:p>
        </w:tc>
        <w:tc>
          <w:tcPr>
            <w:tcW w:w="1866" w:type="dxa"/>
          </w:tcPr>
          <w:p w:rsidR="00C363F1" w:rsidRPr="00196679" w:rsidRDefault="00C363F1" w:rsidP="001D70C7">
            <w:pPr>
              <w:pStyle w:val="IEEEStdsParagraph"/>
              <w:spacing w:after="0"/>
              <w:jc w:val="left"/>
              <w:rPr>
                <w:color w:val="000000" w:themeColor="text1"/>
                <w:sz w:val="18"/>
              </w:rPr>
            </w:pPr>
            <w:r>
              <w:rPr>
                <w:color w:val="000000" w:themeColor="text1"/>
                <w:sz w:val="18"/>
              </w:rPr>
              <w:t>F</w:t>
            </w:r>
            <w:r w:rsidRPr="00196679">
              <w:rPr>
                <w:color w:val="000000" w:themeColor="text1"/>
                <w:sz w:val="18"/>
              </w:rPr>
              <w:t>orging</w:t>
            </w:r>
            <w:r>
              <w:rPr>
                <w:color w:val="000000" w:themeColor="text1"/>
                <w:sz w:val="18"/>
              </w:rPr>
              <w:t xml:space="preserve"> of MIC</w:t>
            </w:r>
          </w:p>
          <w:p w:rsidR="00C363F1" w:rsidRPr="00196679" w:rsidRDefault="00C363F1" w:rsidP="001D70C7">
            <w:pPr>
              <w:pStyle w:val="IEEEStdsParagraph"/>
              <w:spacing w:after="0"/>
              <w:jc w:val="left"/>
              <w:rPr>
                <w:color w:val="000000" w:themeColor="text1"/>
                <w:sz w:val="18"/>
              </w:rPr>
            </w:pPr>
            <w:r w:rsidRPr="00196679">
              <w:rPr>
                <w:color w:val="000000" w:themeColor="text1"/>
                <w:sz w:val="18"/>
              </w:rPr>
              <w:t>(as per AES CCM* in Clause 9)</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 xml:space="preserve">Worst Case Maximum </w:t>
            </w:r>
            <w:r w:rsidRPr="00196679">
              <w:rPr>
                <w:color w:val="000000" w:themeColor="text1"/>
                <w:sz w:val="18"/>
              </w:rPr>
              <w:t>Distance Decrease</w:t>
            </w:r>
            <w:r>
              <w:rPr>
                <w:color w:val="000000" w:themeColor="text1"/>
                <w:sz w:val="18"/>
              </w:rPr>
              <w:t xml:space="preserve"> (</w:t>
            </w:r>
            <w:r w:rsidRPr="001267BE">
              <w:rPr>
                <w:color w:val="000000" w:themeColor="text1"/>
                <w:sz w:val="18"/>
                <w:vertAlign w:val="superscript"/>
              </w:rPr>
              <w:t>1</w:t>
            </w:r>
            <w:r>
              <w:rPr>
                <w:color w:val="000000" w:themeColor="text1"/>
                <w:sz w:val="18"/>
              </w:rPr>
              <w:t>)</w:t>
            </w:r>
          </w:p>
        </w:tc>
      </w:tr>
      <w:tr w:rsidR="00C363F1" w:rsidRPr="00196679" w:rsidTr="00C363F1">
        <w:trPr>
          <w:jc w:val="center"/>
        </w:trPr>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0</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Not applicable</w:t>
            </w:r>
          </w:p>
        </w:tc>
        <w:tc>
          <w:tcPr>
            <w:tcW w:w="1686" w:type="dxa"/>
          </w:tcPr>
          <w:p w:rsidR="00C363F1" w:rsidRPr="00196679" w:rsidRDefault="00C363F1" w:rsidP="001D70C7">
            <w:pPr>
              <w:pStyle w:val="IEEEStdsParagraph"/>
              <w:jc w:val="left"/>
              <w:rPr>
                <w:color w:val="000000" w:themeColor="text1"/>
                <w:sz w:val="18"/>
              </w:rPr>
            </w:pPr>
            <w:r w:rsidRPr="00196679">
              <w:rPr>
                <w:color w:val="000000" w:themeColor="text1"/>
                <w:sz w:val="18"/>
              </w:rPr>
              <w:t>Not applicable</w:t>
            </w:r>
          </w:p>
        </w:tc>
        <w:tc>
          <w:tcPr>
            <w:tcW w:w="1866" w:type="dxa"/>
          </w:tcPr>
          <w:p w:rsidR="00C363F1" w:rsidRPr="00196679" w:rsidRDefault="00C363F1" w:rsidP="001D70C7">
            <w:pPr>
              <w:pStyle w:val="IEEEStdsParagraph"/>
              <w:jc w:val="left"/>
              <w:rPr>
                <w:color w:val="000000" w:themeColor="text1"/>
                <w:sz w:val="18"/>
              </w:rPr>
            </w:pPr>
            <w:r w:rsidRPr="00196679">
              <w:rPr>
                <w:color w:val="000000" w:themeColor="text1"/>
                <w:sz w:val="18"/>
              </w:rPr>
              <w:t>Not applicable</w:t>
            </w:r>
          </w:p>
        </w:tc>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Not applicable</w:t>
            </w:r>
          </w:p>
        </w:tc>
      </w:tr>
      <w:tr w:rsidR="00C363F1" w:rsidRPr="00196679" w:rsidTr="00C363F1">
        <w:trPr>
          <w:jc w:val="center"/>
        </w:trPr>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1</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32</w:t>
            </w:r>
          </w:p>
        </w:tc>
        <w:tc>
          <w:tcPr>
            <w:tcW w:w="1686" w:type="dxa"/>
          </w:tcPr>
          <w:p w:rsidR="00C363F1" w:rsidRPr="00196679" w:rsidRDefault="00C363F1" w:rsidP="001D70C7">
            <w:pPr>
              <w:pStyle w:val="IEEEStdsParagraph"/>
              <w:jc w:val="left"/>
              <w:rPr>
                <w:color w:val="000000" w:themeColor="text1"/>
                <w:sz w:val="18"/>
              </w:rPr>
            </w:pPr>
            <w:r w:rsidRPr="00196679">
              <w:rPr>
                <w:color w:val="000000" w:themeColor="text1"/>
                <w:sz w:val="18"/>
              </w:rPr>
              <w:t>1/2^32 (2.32e-10)</w:t>
            </w:r>
          </w:p>
        </w:tc>
        <w:tc>
          <w:tcPr>
            <w:tcW w:w="1866" w:type="dxa"/>
          </w:tcPr>
          <w:p w:rsidR="00C363F1" w:rsidRPr="00196679" w:rsidRDefault="00C363F1" w:rsidP="001D70C7">
            <w:pPr>
              <w:pStyle w:val="IEEEStdsParagraph"/>
              <w:jc w:val="left"/>
              <w:rPr>
                <w:color w:val="000000" w:themeColor="text1"/>
                <w:sz w:val="18"/>
              </w:rPr>
            </w:pPr>
            <w:r w:rsidRPr="00196679">
              <w:rPr>
                <w:color w:val="000000" w:themeColor="text1"/>
                <w:sz w:val="18"/>
              </w:rPr>
              <w:t>MIC-32</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r w:rsidR="00C363F1" w:rsidRPr="00196679" w:rsidTr="00C363F1">
        <w:trPr>
          <w:jc w:val="center"/>
        </w:trPr>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2</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64</w:t>
            </w:r>
          </w:p>
        </w:tc>
        <w:tc>
          <w:tcPr>
            <w:tcW w:w="1686" w:type="dxa"/>
          </w:tcPr>
          <w:p w:rsidR="00C363F1" w:rsidRPr="00196679" w:rsidRDefault="00C363F1" w:rsidP="001D70C7">
            <w:pPr>
              <w:pStyle w:val="IEEEStdsParagraph"/>
              <w:jc w:val="left"/>
              <w:rPr>
                <w:color w:val="000000" w:themeColor="text1"/>
                <w:sz w:val="18"/>
              </w:rPr>
            </w:pPr>
            <w:r w:rsidRPr="00196679">
              <w:rPr>
                <w:color w:val="000000" w:themeColor="text1"/>
                <w:sz w:val="18"/>
              </w:rPr>
              <w:t>1/2^64 (5.42e-20)</w:t>
            </w:r>
          </w:p>
        </w:tc>
        <w:tc>
          <w:tcPr>
            <w:tcW w:w="1866" w:type="dxa"/>
          </w:tcPr>
          <w:p w:rsidR="00C363F1" w:rsidRPr="00196679" w:rsidRDefault="00C363F1" w:rsidP="001D70C7">
            <w:pPr>
              <w:pStyle w:val="IEEEStdsParagraph"/>
              <w:jc w:val="left"/>
              <w:rPr>
                <w:color w:val="000000" w:themeColor="text1"/>
                <w:sz w:val="18"/>
              </w:rPr>
            </w:pPr>
            <w:r w:rsidRPr="00196679">
              <w:rPr>
                <w:color w:val="000000" w:themeColor="text1"/>
                <w:sz w:val="18"/>
              </w:rPr>
              <w:t>MIC-64</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r w:rsidR="00C363F1" w:rsidRPr="00196679" w:rsidTr="00C363F1">
        <w:trPr>
          <w:jc w:val="center"/>
        </w:trPr>
        <w:tc>
          <w:tcPr>
            <w:tcW w:w="1506" w:type="dxa"/>
          </w:tcPr>
          <w:p w:rsidR="00C363F1" w:rsidRPr="00196679" w:rsidRDefault="00C363F1" w:rsidP="001D70C7">
            <w:pPr>
              <w:pStyle w:val="IEEEStdsParagraph"/>
              <w:jc w:val="left"/>
              <w:rPr>
                <w:color w:val="000000" w:themeColor="text1"/>
                <w:sz w:val="18"/>
              </w:rPr>
            </w:pPr>
            <w:r w:rsidRPr="00196679">
              <w:rPr>
                <w:color w:val="000000" w:themeColor="text1"/>
                <w:sz w:val="18"/>
              </w:rPr>
              <w:t>3</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128</w:t>
            </w:r>
          </w:p>
        </w:tc>
        <w:tc>
          <w:tcPr>
            <w:tcW w:w="1686" w:type="dxa"/>
          </w:tcPr>
          <w:p w:rsidR="00C363F1" w:rsidRPr="00196679" w:rsidRDefault="00C363F1" w:rsidP="001D70C7">
            <w:pPr>
              <w:pStyle w:val="IEEEStdsParagraph"/>
              <w:jc w:val="left"/>
              <w:rPr>
                <w:color w:val="000000" w:themeColor="text1"/>
                <w:sz w:val="18"/>
              </w:rPr>
            </w:pPr>
            <w:r w:rsidRPr="00196679">
              <w:rPr>
                <w:color w:val="000000" w:themeColor="text1"/>
                <w:sz w:val="18"/>
              </w:rPr>
              <w:t xml:space="preserve">1/2^128 (2.93e-39) </w:t>
            </w:r>
          </w:p>
        </w:tc>
        <w:tc>
          <w:tcPr>
            <w:tcW w:w="1866" w:type="dxa"/>
          </w:tcPr>
          <w:p w:rsidR="00C363F1" w:rsidRPr="00196679" w:rsidRDefault="00C363F1" w:rsidP="001D70C7">
            <w:pPr>
              <w:pStyle w:val="IEEEStdsParagraph"/>
              <w:jc w:val="left"/>
              <w:rPr>
                <w:color w:val="000000" w:themeColor="text1"/>
                <w:sz w:val="18"/>
              </w:rPr>
            </w:pPr>
            <w:r w:rsidRPr="00196679">
              <w:rPr>
                <w:color w:val="000000" w:themeColor="text1"/>
                <w:sz w:val="18"/>
              </w:rPr>
              <w:t>MIC-128</w:t>
            </w:r>
          </w:p>
        </w:tc>
        <w:tc>
          <w:tcPr>
            <w:tcW w:w="1506" w:type="dxa"/>
          </w:tcPr>
          <w:p w:rsidR="00C363F1" w:rsidRPr="00196679" w:rsidRDefault="00C363F1" w:rsidP="001D70C7">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bl>
    <w:p w:rsidR="009A4644" w:rsidRDefault="009A4644" w:rsidP="009A4644">
      <w:pPr>
        <w:pStyle w:val="IEEEStdsParagraph"/>
        <w:rPr>
          <w:i/>
          <w:sz w:val="18"/>
        </w:rPr>
      </w:pPr>
      <w:r>
        <w:rPr>
          <w:color w:val="0070C0"/>
        </w:rPr>
        <w:br/>
      </w:r>
      <w:r w:rsidRPr="00794255">
        <w:rPr>
          <w:i/>
          <w:sz w:val="18"/>
        </w:rPr>
        <w:t xml:space="preserve">Footnote 1: </w:t>
      </w:r>
      <w:r w:rsidR="00754978">
        <w:rPr>
          <w:i/>
          <w:sz w:val="18"/>
        </w:rPr>
        <w:t>Worst Case Maximum Distance D</w:t>
      </w:r>
      <w:r w:rsidRPr="00794255">
        <w:rPr>
          <w:i/>
          <w:sz w:val="18"/>
        </w:rPr>
        <w:t>ecrease for strongest theoretical attacker with zero detection time and zero processing time is proporti</w:t>
      </w:r>
      <w:r w:rsidR="00754978">
        <w:rPr>
          <w:i/>
          <w:sz w:val="18"/>
        </w:rPr>
        <w:t>onal to the bandwidth of LRP UWB</w:t>
      </w:r>
      <w:r w:rsidRPr="00794255">
        <w:rPr>
          <w:i/>
          <w:sz w:val="18"/>
        </w:rPr>
        <w:t xml:space="preserve"> ranging from 400 MHz to 2.14 GHz </w:t>
      </w:r>
    </w:p>
    <w:p w:rsidR="00512762" w:rsidRDefault="00512762" w:rsidP="00512762">
      <w:pPr>
        <w:pStyle w:val="CommentText"/>
      </w:pPr>
      <w:r w:rsidRPr="001D68CF">
        <w:rPr>
          <w:b/>
          <w:iCs/>
        </w:rPr>
        <w:t>Comment</w:t>
      </w:r>
      <w:r w:rsidR="00B05B3B">
        <w:rPr>
          <w:b/>
          <w:iCs/>
        </w:rPr>
        <w:t>&lt;5</w:t>
      </w:r>
      <w:r>
        <w:rPr>
          <w:b/>
          <w:iCs/>
        </w:rPr>
        <w:t xml:space="preserve">&gt;: </w:t>
      </w:r>
      <w:r>
        <w:t xml:space="preserve"> Worst Case Maximum Distance Decrease depends on the window. We have to specify window for demodulation of the cryptographic data bit</w:t>
      </w:r>
      <w:r w:rsidR="006E11E5">
        <w:t>s based on signal bandwidth e.g.</w:t>
      </w:r>
      <w:proofErr w:type="gramStart"/>
      <w:r w:rsidR="006E11E5">
        <w:t>,  (</w:t>
      </w:r>
      <w:proofErr w:type="gramEnd"/>
      <w:r w:rsidR="006E11E5">
        <w:t xml:space="preserve"> mask of the pulse – 400 MHz  at -10 dB bandwidth). This would need</w:t>
      </w:r>
      <w:r>
        <w:t xml:space="preserve"> to be normative in the case of secure authenticated rang</w:t>
      </w:r>
      <w:r w:rsidR="00225DC2">
        <w:t>ing! Otherwise the system may not be</w:t>
      </w:r>
      <w:r>
        <w:t xml:space="preserve"> secure. Restate as normative requirement.</w:t>
      </w:r>
    </w:p>
    <w:p w:rsidR="00F3786A" w:rsidRDefault="00F3786A" w:rsidP="009A4644">
      <w:pPr>
        <w:pStyle w:val="IEEEStdsParagraph"/>
      </w:pPr>
    </w:p>
    <w:p w:rsidR="006E11E5" w:rsidRPr="00CB441D" w:rsidRDefault="008822C7" w:rsidP="006E11E5">
      <w:pPr>
        <w:pStyle w:val="IEEEStdsParagraph"/>
      </w:pPr>
      <w:r>
        <w:rPr>
          <w:b/>
        </w:rPr>
        <w:t>Security Levels in case of secure ranging with t</w:t>
      </w:r>
      <w:r w:rsidR="006E11E5" w:rsidRPr="006E11E5">
        <w:rPr>
          <w:b/>
        </w:rPr>
        <w:t>olerance of bit errors</w:t>
      </w:r>
    </w:p>
    <w:p w:rsidR="006E11E5" w:rsidRDefault="008822C7" w:rsidP="009A4644">
      <w:pPr>
        <w:pStyle w:val="IEEEStdsParagraph"/>
      </w:pPr>
      <w:r>
        <w:t xml:space="preserve">Table 2 shows </w:t>
      </w:r>
      <w:r w:rsidR="006E11E5">
        <w:t>recommended le</w:t>
      </w:r>
      <w:r>
        <w:t>ngth of the challenge and response nonce</w:t>
      </w:r>
      <w:r w:rsidR="006E11E5">
        <w:t xml:space="preserve"> in case of </w:t>
      </w:r>
      <w:r>
        <w:t xml:space="preserve">that the higher security application layer tolerates 10% </w:t>
      </w:r>
      <w:r w:rsidR="006E11E5">
        <w:t>bit errors.</w:t>
      </w:r>
      <w:r>
        <w:t xml:space="preserve"> </w:t>
      </w:r>
    </w:p>
    <w:p w:rsidR="006E11E5" w:rsidRDefault="008822C7" w:rsidP="009A4644">
      <w:pPr>
        <w:pStyle w:val="IEEEStdsParagraph"/>
      </w:pPr>
      <w:proofErr w:type="gramStart"/>
      <w:r>
        <w:t>Table 2.</w:t>
      </w:r>
      <w:proofErr w:type="gramEnd"/>
    </w:p>
    <w:tbl>
      <w:tblPr>
        <w:tblStyle w:val="TableGrid"/>
        <w:tblW w:w="0" w:type="auto"/>
        <w:jc w:val="center"/>
        <w:tblLook w:val="04A0"/>
      </w:tblPr>
      <w:tblGrid>
        <w:gridCol w:w="1506"/>
        <w:gridCol w:w="1506"/>
        <w:gridCol w:w="2139"/>
        <w:gridCol w:w="1731"/>
      </w:tblGrid>
      <w:tr w:rsidR="008822C7" w:rsidRPr="00196679" w:rsidTr="008822C7">
        <w:trPr>
          <w:jc w:val="center"/>
        </w:trPr>
        <w:tc>
          <w:tcPr>
            <w:tcW w:w="1506" w:type="dxa"/>
          </w:tcPr>
          <w:p w:rsidR="008822C7" w:rsidRPr="00196679" w:rsidRDefault="008822C7" w:rsidP="00E6573D">
            <w:pPr>
              <w:pStyle w:val="IEEEStdsParagraph"/>
              <w:jc w:val="left"/>
              <w:rPr>
                <w:color w:val="000000" w:themeColor="text1"/>
                <w:sz w:val="18"/>
              </w:rPr>
            </w:pPr>
            <w:r w:rsidRPr="00196679">
              <w:rPr>
                <w:color w:val="000000" w:themeColor="text1"/>
                <w:sz w:val="18"/>
              </w:rPr>
              <w:t>Security Level</w:t>
            </w:r>
          </w:p>
        </w:tc>
        <w:tc>
          <w:tcPr>
            <w:tcW w:w="1506" w:type="dxa"/>
          </w:tcPr>
          <w:p w:rsidR="008822C7" w:rsidRPr="00196679" w:rsidRDefault="008822C7" w:rsidP="00E6573D">
            <w:pPr>
              <w:pStyle w:val="IEEEStdsParagraph"/>
              <w:jc w:val="left"/>
              <w:rPr>
                <w:color w:val="000000" w:themeColor="text1"/>
                <w:sz w:val="18"/>
              </w:rPr>
            </w:pPr>
            <w:r>
              <w:rPr>
                <w:color w:val="000000" w:themeColor="text1"/>
                <w:sz w:val="18"/>
              </w:rPr>
              <w:t xml:space="preserve">Recommended </w:t>
            </w:r>
            <w:r>
              <w:rPr>
                <w:color w:val="000000" w:themeColor="text1"/>
                <w:sz w:val="18"/>
              </w:rPr>
              <w:t>Nonce length (bits)</w:t>
            </w:r>
          </w:p>
        </w:tc>
        <w:tc>
          <w:tcPr>
            <w:tcW w:w="2139" w:type="dxa"/>
          </w:tcPr>
          <w:p w:rsidR="008822C7" w:rsidRPr="00196679" w:rsidRDefault="008822C7" w:rsidP="00E6573D">
            <w:pPr>
              <w:pStyle w:val="IEEEStdsParagraph"/>
              <w:jc w:val="left"/>
              <w:rPr>
                <w:color w:val="000000" w:themeColor="text1"/>
                <w:sz w:val="18"/>
              </w:rPr>
            </w:pPr>
            <w:r w:rsidRPr="00196679">
              <w:rPr>
                <w:color w:val="000000" w:themeColor="text1"/>
                <w:sz w:val="18"/>
              </w:rPr>
              <w:t xml:space="preserve">Probability of </w:t>
            </w:r>
            <w:r>
              <w:rPr>
                <w:color w:val="000000" w:themeColor="text1"/>
                <w:sz w:val="18"/>
              </w:rPr>
              <w:t>g</w:t>
            </w:r>
            <w:r w:rsidRPr="00196679">
              <w:rPr>
                <w:color w:val="000000" w:themeColor="text1"/>
                <w:sz w:val="18"/>
              </w:rPr>
              <w:t>uessing</w:t>
            </w:r>
            <w:r>
              <w:rPr>
                <w:color w:val="000000" w:themeColor="text1"/>
                <w:sz w:val="18"/>
              </w:rPr>
              <w:t xml:space="preserve"> the nonce</w:t>
            </w:r>
            <w:r>
              <w:rPr>
                <w:color w:val="000000" w:themeColor="text1"/>
                <w:sz w:val="18"/>
              </w:rPr>
              <w:t xml:space="preserve"> in case of 10% bit errors</w:t>
            </w:r>
          </w:p>
        </w:tc>
        <w:tc>
          <w:tcPr>
            <w:tcW w:w="1731" w:type="dxa"/>
          </w:tcPr>
          <w:p w:rsidR="008822C7" w:rsidRPr="00196679" w:rsidRDefault="008822C7" w:rsidP="00E6573D">
            <w:pPr>
              <w:pStyle w:val="IEEEStdsParagraph"/>
              <w:jc w:val="left"/>
              <w:rPr>
                <w:color w:val="000000" w:themeColor="text1"/>
                <w:sz w:val="18"/>
              </w:rPr>
            </w:pPr>
            <w:r>
              <w:rPr>
                <w:color w:val="000000" w:themeColor="text1"/>
                <w:sz w:val="18"/>
              </w:rPr>
              <w:t xml:space="preserve">Worst Case Maximum </w:t>
            </w:r>
            <w:r w:rsidRPr="00196679">
              <w:rPr>
                <w:color w:val="000000" w:themeColor="text1"/>
                <w:sz w:val="18"/>
              </w:rPr>
              <w:t>Distance Decrease</w:t>
            </w:r>
            <w:r>
              <w:rPr>
                <w:color w:val="000000" w:themeColor="text1"/>
                <w:sz w:val="18"/>
              </w:rPr>
              <w:t xml:space="preserve"> (</w:t>
            </w:r>
            <w:r w:rsidRPr="001267BE">
              <w:rPr>
                <w:color w:val="000000" w:themeColor="text1"/>
                <w:sz w:val="18"/>
                <w:vertAlign w:val="superscript"/>
              </w:rPr>
              <w:t>1</w:t>
            </w:r>
            <w:r>
              <w:rPr>
                <w:color w:val="000000" w:themeColor="text1"/>
                <w:sz w:val="18"/>
              </w:rPr>
              <w:t>)</w:t>
            </w:r>
          </w:p>
        </w:tc>
      </w:tr>
      <w:tr w:rsidR="008822C7" w:rsidRPr="00196679" w:rsidTr="008822C7">
        <w:trPr>
          <w:jc w:val="center"/>
        </w:trPr>
        <w:tc>
          <w:tcPr>
            <w:tcW w:w="1506" w:type="dxa"/>
          </w:tcPr>
          <w:p w:rsidR="008822C7" w:rsidRPr="00196679" w:rsidRDefault="008822C7" w:rsidP="00E6573D">
            <w:pPr>
              <w:pStyle w:val="IEEEStdsParagraph"/>
              <w:jc w:val="left"/>
              <w:rPr>
                <w:color w:val="000000" w:themeColor="text1"/>
                <w:sz w:val="18"/>
              </w:rPr>
            </w:pPr>
            <w:r w:rsidRPr="00196679">
              <w:rPr>
                <w:color w:val="000000" w:themeColor="text1"/>
                <w:sz w:val="18"/>
              </w:rPr>
              <w:t>0</w:t>
            </w:r>
          </w:p>
        </w:tc>
        <w:tc>
          <w:tcPr>
            <w:tcW w:w="1506" w:type="dxa"/>
          </w:tcPr>
          <w:p w:rsidR="008822C7" w:rsidRPr="00196679" w:rsidRDefault="008822C7" w:rsidP="00E6573D">
            <w:pPr>
              <w:pStyle w:val="IEEEStdsParagraph"/>
              <w:jc w:val="left"/>
              <w:rPr>
                <w:color w:val="000000" w:themeColor="text1"/>
                <w:sz w:val="18"/>
              </w:rPr>
            </w:pPr>
            <w:r>
              <w:rPr>
                <w:color w:val="000000" w:themeColor="text1"/>
                <w:sz w:val="18"/>
              </w:rPr>
              <w:t>Not applicable</w:t>
            </w:r>
          </w:p>
        </w:tc>
        <w:tc>
          <w:tcPr>
            <w:tcW w:w="2139" w:type="dxa"/>
          </w:tcPr>
          <w:p w:rsidR="008822C7" w:rsidRPr="00196679" w:rsidRDefault="008822C7" w:rsidP="00E6573D">
            <w:pPr>
              <w:pStyle w:val="IEEEStdsParagraph"/>
              <w:jc w:val="left"/>
              <w:rPr>
                <w:color w:val="000000" w:themeColor="text1"/>
                <w:sz w:val="18"/>
              </w:rPr>
            </w:pPr>
            <w:r w:rsidRPr="00196679">
              <w:rPr>
                <w:color w:val="000000" w:themeColor="text1"/>
                <w:sz w:val="18"/>
              </w:rPr>
              <w:t>Not applicable</w:t>
            </w:r>
          </w:p>
        </w:tc>
        <w:tc>
          <w:tcPr>
            <w:tcW w:w="1731" w:type="dxa"/>
          </w:tcPr>
          <w:p w:rsidR="008822C7" w:rsidRPr="00196679" w:rsidRDefault="008822C7" w:rsidP="00E6573D">
            <w:pPr>
              <w:pStyle w:val="IEEEStdsParagraph"/>
              <w:jc w:val="left"/>
              <w:rPr>
                <w:color w:val="000000" w:themeColor="text1"/>
                <w:sz w:val="18"/>
              </w:rPr>
            </w:pPr>
            <w:r w:rsidRPr="00196679">
              <w:rPr>
                <w:color w:val="000000" w:themeColor="text1"/>
                <w:sz w:val="18"/>
              </w:rPr>
              <w:t>Not applicable</w:t>
            </w:r>
          </w:p>
        </w:tc>
      </w:tr>
      <w:tr w:rsidR="008822C7" w:rsidRPr="00196679" w:rsidTr="008822C7">
        <w:trPr>
          <w:jc w:val="center"/>
        </w:trPr>
        <w:tc>
          <w:tcPr>
            <w:tcW w:w="1506" w:type="dxa"/>
          </w:tcPr>
          <w:p w:rsidR="008822C7" w:rsidRPr="00196679" w:rsidRDefault="008822C7" w:rsidP="00E6573D">
            <w:pPr>
              <w:pStyle w:val="IEEEStdsParagraph"/>
              <w:jc w:val="left"/>
              <w:rPr>
                <w:color w:val="000000" w:themeColor="text1"/>
                <w:sz w:val="18"/>
              </w:rPr>
            </w:pPr>
            <w:r w:rsidRPr="00196679">
              <w:rPr>
                <w:color w:val="000000" w:themeColor="text1"/>
                <w:sz w:val="18"/>
              </w:rPr>
              <w:t>1</w:t>
            </w:r>
          </w:p>
        </w:tc>
        <w:tc>
          <w:tcPr>
            <w:tcW w:w="1506" w:type="dxa"/>
          </w:tcPr>
          <w:p w:rsidR="008822C7" w:rsidRPr="00196679" w:rsidRDefault="008822C7" w:rsidP="00E6573D">
            <w:pPr>
              <w:pStyle w:val="IEEEStdsParagraph"/>
              <w:jc w:val="left"/>
              <w:rPr>
                <w:color w:val="000000" w:themeColor="text1"/>
                <w:sz w:val="18"/>
              </w:rPr>
            </w:pPr>
            <w:r>
              <w:rPr>
                <w:color w:val="000000" w:themeColor="text1"/>
                <w:sz w:val="18"/>
              </w:rPr>
              <w:t>60</w:t>
            </w:r>
          </w:p>
        </w:tc>
        <w:tc>
          <w:tcPr>
            <w:tcW w:w="2139" w:type="dxa"/>
          </w:tcPr>
          <w:p w:rsidR="008822C7" w:rsidRPr="00196679" w:rsidRDefault="008822C7" w:rsidP="00E6573D">
            <w:pPr>
              <w:pStyle w:val="IEEEStdsParagraph"/>
              <w:jc w:val="left"/>
              <w:rPr>
                <w:color w:val="000000" w:themeColor="text1"/>
                <w:sz w:val="18"/>
              </w:rPr>
            </w:pPr>
            <w:r>
              <w:rPr>
                <w:color w:val="000000" w:themeColor="text1"/>
                <w:sz w:val="18"/>
              </w:rPr>
              <w:t xml:space="preserve">&gt; </w:t>
            </w:r>
            <w:r w:rsidRPr="00196679">
              <w:rPr>
                <w:color w:val="000000" w:themeColor="text1"/>
                <w:sz w:val="18"/>
              </w:rPr>
              <w:t>1/2^32 (2.32e-10)</w:t>
            </w:r>
          </w:p>
        </w:tc>
        <w:tc>
          <w:tcPr>
            <w:tcW w:w="1731" w:type="dxa"/>
          </w:tcPr>
          <w:p w:rsidR="008822C7" w:rsidRPr="00196679" w:rsidRDefault="008822C7" w:rsidP="00E6573D">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r w:rsidR="008822C7" w:rsidRPr="00196679" w:rsidTr="008822C7">
        <w:trPr>
          <w:jc w:val="center"/>
        </w:trPr>
        <w:tc>
          <w:tcPr>
            <w:tcW w:w="1506" w:type="dxa"/>
          </w:tcPr>
          <w:p w:rsidR="008822C7" w:rsidRPr="00196679" w:rsidRDefault="008822C7" w:rsidP="00E6573D">
            <w:pPr>
              <w:pStyle w:val="IEEEStdsParagraph"/>
              <w:jc w:val="left"/>
              <w:rPr>
                <w:color w:val="000000" w:themeColor="text1"/>
                <w:sz w:val="18"/>
              </w:rPr>
            </w:pPr>
            <w:r w:rsidRPr="00196679">
              <w:rPr>
                <w:color w:val="000000" w:themeColor="text1"/>
                <w:sz w:val="18"/>
              </w:rPr>
              <w:t>2</w:t>
            </w:r>
          </w:p>
        </w:tc>
        <w:tc>
          <w:tcPr>
            <w:tcW w:w="1506" w:type="dxa"/>
          </w:tcPr>
          <w:p w:rsidR="008822C7" w:rsidRPr="00196679" w:rsidRDefault="008822C7" w:rsidP="00E6573D">
            <w:pPr>
              <w:pStyle w:val="IEEEStdsParagraph"/>
              <w:jc w:val="left"/>
              <w:rPr>
                <w:color w:val="000000" w:themeColor="text1"/>
                <w:sz w:val="18"/>
              </w:rPr>
            </w:pPr>
            <w:r>
              <w:rPr>
                <w:color w:val="000000" w:themeColor="text1"/>
                <w:sz w:val="18"/>
              </w:rPr>
              <w:t>120</w:t>
            </w:r>
          </w:p>
        </w:tc>
        <w:tc>
          <w:tcPr>
            <w:tcW w:w="2139" w:type="dxa"/>
          </w:tcPr>
          <w:p w:rsidR="008822C7" w:rsidRPr="00196679" w:rsidRDefault="008822C7" w:rsidP="00E6573D">
            <w:pPr>
              <w:pStyle w:val="IEEEStdsParagraph"/>
              <w:jc w:val="left"/>
              <w:rPr>
                <w:color w:val="000000" w:themeColor="text1"/>
                <w:sz w:val="18"/>
              </w:rPr>
            </w:pPr>
            <w:r>
              <w:rPr>
                <w:color w:val="000000" w:themeColor="text1"/>
                <w:sz w:val="18"/>
              </w:rPr>
              <w:t xml:space="preserve">&gt; </w:t>
            </w:r>
            <w:r w:rsidRPr="00196679">
              <w:rPr>
                <w:color w:val="000000" w:themeColor="text1"/>
                <w:sz w:val="18"/>
              </w:rPr>
              <w:t>1/2^64 (5.42e-20)</w:t>
            </w:r>
          </w:p>
        </w:tc>
        <w:tc>
          <w:tcPr>
            <w:tcW w:w="1731" w:type="dxa"/>
          </w:tcPr>
          <w:p w:rsidR="008822C7" w:rsidRPr="00196679" w:rsidRDefault="008822C7" w:rsidP="00E6573D">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r w:rsidR="008822C7" w:rsidRPr="00196679" w:rsidTr="008822C7">
        <w:trPr>
          <w:jc w:val="center"/>
        </w:trPr>
        <w:tc>
          <w:tcPr>
            <w:tcW w:w="1506" w:type="dxa"/>
          </w:tcPr>
          <w:p w:rsidR="008822C7" w:rsidRPr="00196679" w:rsidRDefault="008822C7" w:rsidP="00E6573D">
            <w:pPr>
              <w:pStyle w:val="IEEEStdsParagraph"/>
              <w:jc w:val="left"/>
              <w:rPr>
                <w:color w:val="000000" w:themeColor="text1"/>
                <w:sz w:val="18"/>
              </w:rPr>
            </w:pPr>
            <w:r w:rsidRPr="00196679">
              <w:rPr>
                <w:color w:val="000000" w:themeColor="text1"/>
                <w:sz w:val="18"/>
              </w:rPr>
              <w:t>3</w:t>
            </w:r>
          </w:p>
        </w:tc>
        <w:tc>
          <w:tcPr>
            <w:tcW w:w="1506" w:type="dxa"/>
          </w:tcPr>
          <w:p w:rsidR="008822C7" w:rsidRPr="00196679" w:rsidRDefault="008822C7" w:rsidP="00E6573D">
            <w:pPr>
              <w:pStyle w:val="IEEEStdsParagraph"/>
              <w:jc w:val="left"/>
              <w:rPr>
                <w:color w:val="000000" w:themeColor="text1"/>
                <w:sz w:val="18"/>
              </w:rPr>
            </w:pPr>
            <w:r>
              <w:rPr>
                <w:color w:val="000000" w:themeColor="text1"/>
                <w:sz w:val="18"/>
              </w:rPr>
              <w:t>230</w:t>
            </w:r>
          </w:p>
        </w:tc>
        <w:tc>
          <w:tcPr>
            <w:tcW w:w="2139" w:type="dxa"/>
          </w:tcPr>
          <w:p w:rsidR="008822C7" w:rsidRPr="00196679" w:rsidRDefault="008822C7" w:rsidP="008822C7">
            <w:pPr>
              <w:pStyle w:val="IEEEStdsParagraph"/>
              <w:jc w:val="left"/>
              <w:rPr>
                <w:color w:val="000000" w:themeColor="text1"/>
                <w:sz w:val="18"/>
              </w:rPr>
            </w:pPr>
            <w:r>
              <w:rPr>
                <w:color w:val="000000" w:themeColor="text1"/>
                <w:sz w:val="18"/>
              </w:rPr>
              <w:t>&gt;</w:t>
            </w:r>
            <w:r w:rsidRPr="00196679">
              <w:rPr>
                <w:color w:val="000000" w:themeColor="text1"/>
                <w:sz w:val="18"/>
              </w:rPr>
              <w:t xml:space="preserve">1/2^128 (2.93e-39) </w:t>
            </w:r>
          </w:p>
        </w:tc>
        <w:tc>
          <w:tcPr>
            <w:tcW w:w="1731" w:type="dxa"/>
          </w:tcPr>
          <w:p w:rsidR="008822C7" w:rsidRPr="00196679" w:rsidRDefault="008822C7" w:rsidP="00E6573D">
            <w:pPr>
              <w:pStyle w:val="IEEEStdsParagraph"/>
              <w:jc w:val="left"/>
              <w:rPr>
                <w:color w:val="000000" w:themeColor="text1"/>
                <w:sz w:val="18"/>
              </w:rPr>
            </w:pPr>
            <w:r>
              <w:rPr>
                <w:color w:val="000000" w:themeColor="text1"/>
                <w:sz w:val="18"/>
              </w:rPr>
              <w:t>14</w:t>
            </w:r>
            <w:r w:rsidRPr="00196679">
              <w:rPr>
                <w:color w:val="000000" w:themeColor="text1"/>
                <w:sz w:val="18"/>
              </w:rPr>
              <w:t xml:space="preserve"> cm</w:t>
            </w:r>
            <w:r>
              <w:rPr>
                <w:color w:val="000000" w:themeColor="text1"/>
                <w:sz w:val="18"/>
              </w:rPr>
              <w:t xml:space="preserve"> – 75 cm</w:t>
            </w:r>
          </w:p>
        </w:tc>
      </w:tr>
    </w:tbl>
    <w:p w:rsidR="009A4644" w:rsidRDefault="009A4644" w:rsidP="009A4644">
      <w:pPr>
        <w:pStyle w:val="IEEEStdsParagraph"/>
      </w:pPr>
      <w:r>
        <w:lastRenderedPageBreak/>
        <w:t xml:space="preserve">[TISSEC2011] </w:t>
      </w:r>
      <w:proofErr w:type="gramStart"/>
      <w:r>
        <w:t xml:space="preserve">David A. Basin, </w:t>
      </w:r>
      <w:proofErr w:type="spellStart"/>
      <w:r>
        <w:t>Srdjan</w:t>
      </w:r>
      <w:proofErr w:type="spellEnd"/>
      <w:r>
        <w:t xml:space="preserve"> </w:t>
      </w:r>
      <w:proofErr w:type="spellStart"/>
      <w:r>
        <w:t>Capkun</w:t>
      </w:r>
      <w:proofErr w:type="spellEnd"/>
      <w:r>
        <w:t xml:space="preserve">, Patrick Schaller, </w:t>
      </w:r>
      <w:proofErr w:type="spellStart"/>
      <w:r>
        <w:t>Benedikt</w:t>
      </w:r>
      <w:proofErr w:type="spellEnd"/>
      <w:r>
        <w:t xml:space="preserve"> Schmidt, Formal Reasoning about Physical Properties of Security Protocols.</w:t>
      </w:r>
      <w:proofErr w:type="gramEnd"/>
      <w:r>
        <w:t xml:space="preserve"> </w:t>
      </w:r>
      <w:proofErr w:type="gramStart"/>
      <w:r>
        <w:t xml:space="preserve">ACM Trans. Inf. Syst. </w:t>
      </w:r>
      <w:proofErr w:type="spellStart"/>
      <w:r>
        <w:t>Secur</w:t>
      </w:r>
      <w:proofErr w:type="spellEnd"/>
      <w:r>
        <w:t>.</w:t>
      </w:r>
      <w:proofErr w:type="gramEnd"/>
      <w:r>
        <w:t xml:space="preserve"> 14(2): 16:1-16:28 (2011)</w:t>
      </w:r>
    </w:p>
    <w:p w:rsidR="009A4644" w:rsidRDefault="009A4644" w:rsidP="009A4644">
      <w:pPr>
        <w:pStyle w:val="IEEEStdsParagraph"/>
      </w:pPr>
      <w:r>
        <w:t xml:space="preserve">[WISEC15] Nils Ole </w:t>
      </w:r>
      <w:proofErr w:type="spellStart"/>
      <w:r>
        <w:t>Tippenhauer</w:t>
      </w:r>
      <w:proofErr w:type="spellEnd"/>
      <w:r>
        <w:t xml:space="preserve">, Heinrich </w:t>
      </w:r>
      <w:proofErr w:type="spellStart"/>
      <w:r>
        <w:t>Luecken</w:t>
      </w:r>
      <w:proofErr w:type="spellEnd"/>
      <w:r>
        <w:t xml:space="preserve">, Marc Kuhn and </w:t>
      </w:r>
      <w:proofErr w:type="spellStart"/>
      <w:r>
        <w:t>Srdjan</w:t>
      </w:r>
      <w:proofErr w:type="spellEnd"/>
      <w:r>
        <w:t xml:space="preserve"> </w:t>
      </w:r>
      <w:proofErr w:type="spellStart"/>
      <w:r>
        <w:t>Capkun</w:t>
      </w:r>
      <w:proofErr w:type="spellEnd"/>
      <w:r>
        <w:t>, UWB Rapid-Bit-Exchange System for Distance Bounding, In Proceedings of the ACM Conference on Security and Privacy in Wireless and Mobile Networks (</w:t>
      </w:r>
      <w:proofErr w:type="spellStart"/>
      <w:r>
        <w:t>WiSec</w:t>
      </w:r>
      <w:proofErr w:type="spellEnd"/>
      <w:r>
        <w:t>), 2015</w:t>
      </w:r>
    </w:p>
    <w:p w:rsidR="009A4644" w:rsidRDefault="009A4644" w:rsidP="009A4644">
      <w:pPr>
        <w:pStyle w:val="IEEEStdsParagraph"/>
      </w:pPr>
      <w:r>
        <w:t xml:space="preserve">[ESAS2006] </w:t>
      </w:r>
      <w:proofErr w:type="spellStart"/>
      <w:proofErr w:type="gramStart"/>
      <w:r>
        <w:t>Jolyon</w:t>
      </w:r>
      <w:proofErr w:type="spellEnd"/>
      <w:r>
        <w:t xml:space="preserve"> </w:t>
      </w:r>
      <w:proofErr w:type="spellStart"/>
      <w:r>
        <w:t>Clulow</w:t>
      </w:r>
      <w:proofErr w:type="spellEnd"/>
      <w:r>
        <w:t xml:space="preserve">, Gerhard P. </w:t>
      </w:r>
      <w:proofErr w:type="spellStart"/>
      <w:r>
        <w:t>Hancke</w:t>
      </w:r>
      <w:proofErr w:type="spellEnd"/>
      <w:r>
        <w:t xml:space="preserve">, Markus </w:t>
      </w:r>
      <w:proofErr w:type="spellStart"/>
      <w:r>
        <w:t>G.Kuhn</w:t>
      </w:r>
      <w:proofErr w:type="spellEnd"/>
      <w:r>
        <w:t>, and Tyler Moore.</w:t>
      </w:r>
      <w:proofErr w:type="gramEnd"/>
      <w:r>
        <w:t xml:space="preserve"> So near and yet so far: Distance-bounding attacks in wireless networks. </w:t>
      </w:r>
      <w:proofErr w:type="gramStart"/>
      <w:r>
        <w:t>In Proceedings of the European Workshop on Security and Privacy in Ad-hoc and Sensor Networks (ESAS), 2006.</w:t>
      </w:r>
      <w:proofErr w:type="gramEnd"/>
    </w:p>
    <w:p w:rsidR="009A4644" w:rsidRPr="00C363F1" w:rsidRDefault="009A4644" w:rsidP="001267BE">
      <w:pPr>
        <w:pStyle w:val="IEEEStdsParagraph"/>
        <w:rPr>
          <w:sz w:val="18"/>
        </w:rPr>
      </w:pPr>
    </w:p>
    <w:p w:rsidR="001D70C7" w:rsidRPr="00C363F1" w:rsidRDefault="001D70C7">
      <w:pPr>
        <w:pStyle w:val="IEEEStdsParagraph"/>
        <w:rPr>
          <w:sz w:val="18"/>
        </w:rPr>
      </w:pPr>
    </w:p>
    <w:sectPr w:rsidR="001D70C7" w:rsidRPr="00C363F1" w:rsidSect="007039F0">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6E026" w15:done="0"/>
  <w15:commentEx w15:paraId="6AFC4433" w15:done="0"/>
  <w15:commentEx w15:paraId="39328FF0" w15:done="0"/>
  <w15:commentEx w15:paraId="356BA7BA" w15:done="0"/>
  <w15:commentEx w15:paraId="46E08854" w15:done="0"/>
  <w15:commentEx w15:paraId="6D09AAB1" w15:done="0"/>
  <w15:commentEx w15:paraId="021052F2" w15:done="0"/>
  <w15:commentEx w15:paraId="448E747A" w15:done="0"/>
  <w15:commentEx w15:paraId="745A94CB" w15:done="0"/>
  <w15:commentEx w15:paraId="6CD30F5A" w15:done="0"/>
  <w15:commentEx w15:paraId="1574EE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71" w:rsidRDefault="00387271">
      <w:r>
        <w:separator/>
      </w:r>
    </w:p>
  </w:endnote>
  <w:endnote w:type="continuationSeparator" w:id="0">
    <w:p w:rsidR="00387271" w:rsidRDefault="003872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rsidR="00C10B0B">
      <w:fldChar w:fldCharType="begin"/>
    </w:r>
    <w:r w:rsidRPr="00EE025E">
      <w:rPr>
        <w:lang w:val="fr-CH"/>
      </w:rPr>
      <w:instrText xml:space="preserve"> AUTHOR  \* MERGEFORMAT </w:instrText>
    </w:r>
    <w:r w:rsidR="00C10B0B">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 xml:space="preserve">D. Kawaguchi, </w:t>
    </w:r>
    <w:proofErr w:type="spellStart"/>
    <w:r w:rsidRPr="00EE025E">
      <w:rPr>
        <w:lang w:val="fr-CH"/>
      </w:rPr>
      <w:t>Symbol</w:t>
    </w:r>
    <w:proofErr w:type="spellEnd"/>
    <w:r w:rsidRPr="00EE025E">
      <w:rPr>
        <w:lang w:val="fr-CH"/>
      </w:rPr>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71" w:rsidRDefault="00387271">
      <w:r>
        <w:separator/>
      </w:r>
    </w:p>
  </w:footnote>
  <w:footnote w:type="continuationSeparator" w:id="0">
    <w:p w:rsidR="00387271" w:rsidRDefault="00387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C7" w:rsidRDefault="001D70C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 2018</w:t>
    </w:r>
    <w:r>
      <w:rPr>
        <w:b/>
        <w:sz w:val="28"/>
      </w:rPr>
      <w:tab/>
      <w:t xml:space="preserve"> IEEE P802.</w:t>
    </w:r>
    <w:r w:rsidRPr="0034241F">
      <w:t xml:space="preserve"> </w:t>
    </w:r>
    <w:r w:rsidRPr="0034241F">
      <w:rPr>
        <w:b/>
        <w:sz w:val="28"/>
      </w:rPr>
      <w:t>15</w:t>
    </w:r>
    <w:r w:rsidRPr="0098117B">
      <w:rPr>
        <w:b/>
        <w:sz w:val="28"/>
      </w:rPr>
      <w:t>-18-0301-00-004z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C7" w:rsidRDefault="001D70C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DA9"/>
    <w:multiLevelType w:val="multilevel"/>
    <w:tmpl w:val="1F9C282E"/>
    <w:numStyleLink w:val="Headings"/>
  </w:abstractNum>
  <w:abstractNum w:abstractNumId="12">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pos w:val="beneathText"/>
    <w:footnote w:id="-1"/>
    <w:footnote w:id="0"/>
  </w:footnotePr>
  <w:endnotePr>
    <w:endnote w:id="-1"/>
    <w:endnote w:id="0"/>
  </w:endnotePr>
  <w:compat/>
  <w:rsids>
    <w:rsidRoot w:val="001513B7"/>
    <w:rsid w:val="000228C5"/>
    <w:rsid w:val="00022B72"/>
    <w:rsid w:val="0003690E"/>
    <w:rsid w:val="00040DEC"/>
    <w:rsid w:val="00041860"/>
    <w:rsid w:val="00046CBF"/>
    <w:rsid w:val="000544BD"/>
    <w:rsid w:val="000671A9"/>
    <w:rsid w:val="00077D44"/>
    <w:rsid w:val="000806AF"/>
    <w:rsid w:val="0008728D"/>
    <w:rsid w:val="00097022"/>
    <w:rsid w:val="000A3E4A"/>
    <w:rsid w:val="000B187A"/>
    <w:rsid w:val="000C2AF2"/>
    <w:rsid w:val="000C72FB"/>
    <w:rsid w:val="000D6225"/>
    <w:rsid w:val="000F1360"/>
    <w:rsid w:val="0012115A"/>
    <w:rsid w:val="00123C75"/>
    <w:rsid w:val="001267BE"/>
    <w:rsid w:val="001469E2"/>
    <w:rsid w:val="0015034F"/>
    <w:rsid w:val="001513B7"/>
    <w:rsid w:val="00157C71"/>
    <w:rsid w:val="0017651E"/>
    <w:rsid w:val="00183051"/>
    <w:rsid w:val="00187BD4"/>
    <w:rsid w:val="00193657"/>
    <w:rsid w:val="00196679"/>
    <w:rsid w:val="00197383"/>
    <w:rsid w:val="001A66A4"/>
    <w:rsid w:val="001B118C"/>
    <w:rsid w:val="001B3740"/>
    <w:rsid w:val="001C52EE"/>
    <w:rsid w:val="001C6D8E"/>
    <w:rsid w:val="001D3715"/>
    <w:rsid w:val="001D68CF"/>
    <w:rsid w:val="001D70C7"/>
    <w:rsid w:val="001E550D"/>
    <w:rsid w:val="001E6AF1"/>
    <w:rsid w:val="001F3F74"/>
    <w:rsid w:val="00200B94"/>
    <w:rsid w:val="00204495"/>
    <w:rsid w:val="00205ACC"/>
    <w:rsid w:val="00225DC2"/>
    <w:rsid w:val="00246EB2"/>
    <w:rsid w:val="0025237A"/>
    <w:rsid w:val="0025468D"/>
    <w:rsid w:val="00257CF2"/>
    <w:rsid w:val="00265109"/>
    <w:rsid w:val="00281CE5"/>
    <w:rsid w:val="002910CF"/>
    <w:rsid w:val="00293B60"/>
    <w:rsid w:val="002C3F04"/>
    <w:rsid w:val="002C5B93"/>
    <w:rsid w:val="002D0FD4"/>
    <w:rsid w:val="003030D4"/>
    <w:rsid w:val="003166DB"/>
    <w:rsid w:val="003166E8"/>
    <w:rsid w:val="00321096"/>
    <w:rsid w:val="0034241F"/>
    <w:rsid w:val="00351975"/>
    <w:rsid w:val="00363D91"/>
    <w:rsid w:val="003823CE"/>
    <w:rsid w:val="003840DF"/>
    <w:rsid w:val="00387271"/>
    <w:rsid w:val="003A147C"/>
    <w:rsid w:val="003F0936"/>
    <w:rsid w:val="003F0AF9"/>
    <w:rsid w:val="003F7D8F"/>
    <w:rsid w:val="004412EC"/>
    <w:rsid w:val="00452358"/>
    <w:rsid w:val="0045689A"/>
    <w:rsid w:val="00471B04"/>
    <w:rsid w:val="004852E0"/>
    <w:rsid w:val="004932AA"/>
    <w:rsid w:val="004B477D"/>
    <w:rsid w:val="004B6C95"/>
    <w:rsid w:val="004C6307"/>
    <w:rsid w:val="004D669A"/>
    <w:rsid w:val="004E353A"/>
    <w:rsid w:val="004F2BD8"/>
    <w:rsid w:val="004F4FC1"/>
    <w:rsid w:val="0050367A"/>
    <w:rsid w:val="00505979"/>
    <w:rsid w:val="00512762"/>
    <w:rsid w:val="00512821"/>
    <w:rsid w:val="00514F03"/>
    <w:rsid w:val="00524A88"/>
    <w:rsid w:val="005308FA"/>
    <w:rsid w:val="00541E0A"/>
    <w:rsid w:val="00543782"/>
    <w:rsid w:val="0055757C"/>
    <w:rsid w:val="005648C2"/>
    <w:rsid w:val="00574CE9"/>
    <w:rsid w:val="005803F0"/>
    <w:rsid w:val="00580794"/>
    <w:rsid w:val="005840E6"/>
    <w:rsid w:val="00593768"/>
    <w:rsid w:val="005977D8"/>
    <w:rsid w:val="005A140A"/>
    <w:rsid w:val="005B1AD2"/>
    <w:rsid w:val="005B49DC"/>
    <w:rsid w:val="005C73D2"/>
    <w:rsid w:val="005D0A39"/>
    <w:rsid w:val="005D23FF"/>
    <w:rsid w:val="005D475E"/>
    <w:rsid w:val="005E1D4F"/>
    <w:rsid w:val="005E38C3"/>
    <w:rsid w:val="005E4AFF"/>
    <w:rsid w:val="005E5E73"/>
    <w:rsid w:val="005E6ACC"/>
    <w:rsid w:val="00605AEC"/>
    <w:rsid w:val="00620D88"/>
    <w:rsid w:val="00621892"/>
    <w:rsid w:val="00621E1A"/>
    <w:rsid w:val="006471C2"/>
    <w:rsid w:val="0065394F"/>
    <w:rsid w:val="00654B4D"/>
    <w:rsid w:val="006555D5"/>
    <w:rsid w:val="0066085F"/>
    <w:rsid w:val="00666015"/>
    <w:rsid w:val="00673C65"/>
    <w:rsid w:val="00683FDC"/>
    <w:rsid w:val="0068600B"/>
    <w:rsid w:val="006A1451"/>
    <w:rsid w:val="006A5286"/>
    <w:rsid w:val="006A535C"/>
    <w:rsid w:val="006C3C9A"/>
    <w:rsid w:val="006D0FED"/>
    <w:rsid w:val="006D4C1C"/>
    <w:rsid w:val="006E11E5"/>
    <w:rsid w:val="006E2346"/>
    <w:rsid w:val="006E532F"/>
    <w:rsid w:val="006F0631"/>
    <w:rsid w:val="007023E3"/>
    <w:rsid w:val="007039F0"/>
    <w:rsid w:val="0070642C"/>
    <w:rsid w:val="00712336"/>
    <w:rsid w:val="007142AC"/>
    <w:rsid w:val="00727BB9"/>
    <w:rsid w:val="0073266A"/>
    <w:rsid w:val="00742EA5"/>
    <w:rsid w:val="007509DC"/>
    <w:rsid w:val="00754978"/>
    <w:rsid w:val="00760BB0"/>
    <w:rsid w:val="0076107F"/>
    <w:rsid w:val="00765391"/>
    <w:rsid w:val="00775803"/>
    <w:rsid w:val="00776173"/>
    <w:rsid w:val="0079297D"/>
    <w:rsid w:val="007935DA"/>
    <w:rsid w:val="00794255"/>
    <w:rsid w:val="007A7396"/>
    <w:rsid w:val="007B2EDC"/>
    <w:rsid w:val="007D2621"/>
    <w:rsid w:val="0080439C"/>
    <w:rsid w:val="00805DC0"/>
    <w:rsid w:val="00822ECE"/>
    <w:rsid w:val="00833A0D"/>
    <w:rsid w:val="00834510"/>
    <w:rsid w:val="00836381"/>
    <w:rsid w:val="00844F5C"/>
    <w:rsid w:val="00847D20"/>
    <w:rsid w:val="008506F5"/>
    <w:rsid w:val="00851423"/>
    <w:rsid w:val="00853618"/>
    <w:rsid w:val="00863860"/>
    <w:rsid w:val="008710CE"/>
    <w:rsid w:val="00877C85"/>
    <w:rsid w:val="008822C7"/>
    <w:rsid w:val="00890E21"/>
    <w:rsid w:val="0089240C"/>
    <w:rsid w:val="00896E2B"/>
    <w:rsid w:val="008D0CF6"/>
    <w:rsid w:val="008D3B57"/>
    <w:rsid w:val="008E13C8"/>
    <w:rsid w:val="008E24E7"/>
    <w:rsid w:val="008E598A"/>
    <w:rsid w:val="0091173B"/>
    <w:rsid w:val="00920811"/>
    <w:rsid w:val="00930057"/>
    <w:rsid w:val="0093689F"/>
    <w:rsid w:val="009474BA"/>
    <w:rsid w:val="00953188"/>
    <w:rsid w:val="0098117B"/>
    <w:rsid w:val="009831D7"/>
    <w:rsid w:val="00991B8C"/>
    <w:rsid w:val="009934C6"/>
    <w:rsid w:val="009A4644"/>
    <w:rsid w:val="009C08D2"/>
    <w:rsid w:val="009C48C9"/>
    <w:rsid w:val="009D03E8"/>
    <w:rsid w:val="009D2677"/>
    <w:rsid w:val="009D6449"/>
    <w:rsid w:val="009D783E"/>
    <w:rsid w:val="009F1AE5"/>
    <w:rsid w:val="00A00295"/>
    <w:rsid w:val="00A15F93"/>
    <w:rsid w:val="00A21837"/>
    <w:rsid w:val="00A21C20"/>
    <w:rsid w:val="00A220A9"/>
    <w:rsid w:val="00A22970"/>
    <w:rsid w:val="00A23D87"/>
    <w:rsid w:val="00A3070E"/>
    <w:rsid w:val="00A335A8"/>
    <w:rsid w:val="00A3753B"/>
    <w:rsid w:val="00A5314D"/>
    <w:rsid w:val="00A56467"/>
    <w:rsid w:val="00A57410"/>
    <w:rsid w:val="00A60F5F"/>
    <w:rsid w:val="00A62124"/>
    <w:rsid w:val="00A65A40"/>
    <w:rsid w:val="00A65C96"/>
    <w:rsid w:val="00A755E9"/>
    <w:rsid w:val="00A75800"/>
    <w:rsid w:val="00A84D8D"/>
    <w:rsid w:val="00A87358"/>
    <w:rsid w:val="00A93B1A"/>
    <w:rsid w:val="00A96481"/>
    <w:rsid w:val="00AA13CE"/>
    <w:rsid w:val="00AA20C6"/>
    <w:rsid w:val="00AC3123"/>
    <w:rsid w:val="00AC7373"/>
    <w:rsid w:val="00AD61CB"/>
    <w:rsid w:val="00AD6B45"/>
    <w:rsid w:val="00AD7B58"/>
    <w:rsid w:val="00AE2901"/>
    <w:rsid w:val="00AF400C"/>
    <w:rsid w:val="00AF744A"/>
    <w:rsid w:val="00B000B0"/>
    <w:rsid w:val="00B002D5"/>
    <w:rsid w:val="00B05B3B"/>
    <w:rsid w:val="00B1337E"/>
    <w:rsid w:val="00B167F8"/>
    <w:rsid w:val="00B47E41"/>
    <w:rsid w:val="00B50DDE"/>
    <w:rsid w:val="00B65A66"/>
    <w:rsid w:val="00BA2B23"/>
    <w:rsid w:val="00BA5081"/>
    <w:rsid w:val="00BD03D0"/>
    <w:rsid w:val="00BF1CAA"/>
    <w:rsid w:val="00BF41F7"/>
    <w:rsid w:val="00C03760"/>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356D"/>
    <w:rsid w:val="00C75263"/>
    <w:rsid w:val="00C777E1"/>
    <w:rsid w:val="00C83D57"/>
    <w:rsid w:val="00C84C9A"/>
    <w:rsid w:val="00C9637C"/>
    <w:rsid w:val="00CA2B24"/>
    <w:rsid w:val="00CC50D6"/>
    <w:rsid w:val="00CD4A4F"/>
    <w:rsid w:val="00CD557B"/>
    <w:rsid w:val="00CE074A"/>
    <w:rsid w:val="00CE10A0"/>
    <w:rsid w:val="00D0259D"/>
    <w:rsid w:val="00D50B6A"/>
    <w:rsid w:val="00D559F1"/>
    <w:rsid w:val="00D63C19"/>
    <w:rsid w:val="00D67BC8"/>
    <w:rsid w:val="00D83395"/>
    <w:rsid w:val="00D8485B"/>
    <w:rsid w:val="00D84A70"/>
    <w:rsid w:val="00D84E1F"/>
    <w:rsid w:val="00D90B8E"/>
    <w:rsid w:val="00D912DD"/>
    <w:rsid w:val="00D9170C"/>
    <w:rsid w:val="00D95E33"/>
    <w:rsid w:val="00DA235E"/>
    <w:rsid w:val="00DA2BC5"/>
    <w:rsid w:val="00DA4522"/>
    <w:rsid w:val="00DD28B6"/>
    <w:rsid w:val="00DD4FD4"/>
    <w:rsid w:val="00DF0ADC"/>
    <w:rsid w:val="00DF20A8"/>
    <w:rsid w:val="00DF5A3B"/>
    <w:rsid w:val="00E13840"/>
    <w:rsid w:val="00E1668A"/>
    <w:rsid w:val="00E220B0"/>
    <w:rsid w:val="00E222FC"/>
    <w:rsid w:val="00E2465D"/>
    <w:rsid w:val="00E312FF"/>
    <w:rsid w:val="00E360AD"/>
    <w:rsid w:val="00E442A2"/>
    <w:rsid w:val="00E54D63"/>
    <w:rsid w:val="00E5709E"/>
    <w:rsid w:val="00E62B37"/>
    <w:rsid w:val="00E65141"/>
    <w:rsid w:val="00E6701B"/>
    <w:rsid w:val="00E768FB"/>
    <w:rsid w:val="00E967DD"/>
    <w:rsid w:val="00EA0C4F"/>
    <w:rsid w:val="00EA1A27"/>
    <w:rsid w:val="00ED203D"/>
    <w:rsid w:val="00ED49A2"/>
    <w:rsid w:val="00ED4B33"/>
    <w:rsid w:val="00EE025E"/>
    <w:rsid w:val="00EE1DA9"/>
    <w:rsid w:val="00EE4A79"/>
    <w:rsid w:val="00EE7637"/>
    <w:rsid w:val="00EE79B0"/>
    <w:rsid w:val="00EF79E2"/>
    <w:rsid w:val="00F12EC4"/>
    <w:rsid w:val="00F140E8"/>
    <w:rsid w:val="00F23DE4"/>
    <w:rsid w:val="00F3786A"/>
    <w:rsid w:val="00F444DB"/>
    <w:rsid w:val="00F60329"/>
    <w:rsid w:val="00F63073"/>
    <w:rsid w:val="00F6406F"/>
    <w:rsid w:val="00F773EB"/>
    <w:rsid w:val="00F77B14"/>
    <w:rsid w:val="00F87100"/>
    <w:rsid w:val="00F876DB"/>
    <w:rsid w:val="00F922CC"/>
    <w:rsid w:val="00F96C5E"/>
    <w:rsid w:val="00FA2EC7"/>
    <w:rsid w:val="00FE1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D6D3-F213-4A72-A172-E2A44F29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2574</Words>
  <Characters>14678</Characters>
  <Application>Microsoft Office Word</Application>
  <DocSecurity>0</DocSecurity>
  <Lines>122</Lines>
  <Paragraphs>34</Paragraphs>
  <ScaleCrop>false</ScaleCrop>
  <HeadingPairs>
    <vt:vector size="6" baseType="variant">
      <vt:variant>
        <vt:lpstr>Title</vt:lpstr>
      </vt:variant>
      <vt:variant>
        <vt:i4>1</vt:i4>
      </vt:variant>
      <vt:variant>
        <vt:lpstr>Titre</vt:lpstr>
      </vt:variant>
      <vt:variant>
        <vt:i4>1</vt:i4>
      </vt:variant>
      <vt:variant>
        <vt:lpstr>Titres</vt:lpstr>
      </vt:variant>
      <vt:variant>
        <vt:i4>18</vt:i4>
      </vt:variant>
    </vt:vector>
  </HeadingPairs>
  <TitlesOfParts>
    <vt:vector size="20"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PHR</vt:lpstr>
      <vt:lpstr>        </vt:lpstr>
      <vt:lpstr>    LRP UWB transmitter specification</vt:lpstr>
      <vt:lpstr>        Pulse shape</vt:lpstr>
      <vt:lpstr>    LRP UWB receiver specification</vt:lpstr>
      <vt:lpstr>    LRP UWB Loopback and Turnaround Requirements</vt:lpstr>
      <vt:lpstr>        Rx-to-Tx Loopback Time</vt:lpstr>
      <vt:lpstr>        Tx-to-Rx turnaround time</vt:lpstr>
      <vt:lpstr>    LRP UWB receiver specification</vt:lpstr>
    </vt:vector>
  </TitlesOfParts>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2018-08-23T07:39:00Z</dcterms:created>
  <dcterms:modified xsi:type="dcterms:W3CDTF">2018-09-03T08:56:00Z</dcterms:modified>
</cp:coreProperties>
</file>