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1A9" w:rsidRDefault="0079297D">
      <w:pPr>
        <w:jc w:val="center"/>
        <w:rPr>
          <w:b/>
          <w:sz w:val="28"/>
        </w:rPr>
      </w:pPr>
      <w:r>
        <w:rPr>
          <w:b/>
          <w:sz w:val="28"/>
        </w:rPr>
        <w:t>IEEE P802.15</w:t>
      </w:r>
    </w:p>
    <w:p w:rsidR="000671A9" w:rsidRDefault="0079297D">
      <w:pPr>
        <w:jc w:val="center"/>
        <w:rPr>
          <w:b/>
          <w:sz w:val="28"/>
        </w:rPr>
      </w:pPr>
      <w:r>
        <w:rPr>
          <w:b/>
          <w:sz w:val="28"/>
        </w:rPr>
        <w:t>Wireless Personal Area Networks</w:t>
      </w:r>
    </w:p>
    <w:p w:rsidR="000671A9" w:rsidRDefault="000671A9">
      <w:pPr>
        <w:jc w:val="center"/>
        <w:rPr>
          <w:b/>
          <w:sz w:val="28"/>
        </w:rPr>
      </w:pPr>
    </w:p>
    <w:tbl>
      <w:tblPr>
        <w:tblW w:w="9450" w:type="dxa"/>
        <w:tblInd w:w="108" w:type="dxa"/>
        <w:tblLayout w:type="fixed"/>
        <w:tblLook w:val="0000" w:firstRow="0" w:lastRow="0" w:firstColumn="0" w:lastColumn="0" w:noHBand="0" w:noVBand="0"/>
      </w:tblPr>
      <w:tblGrid>
        <w:gridCol w:w="1260"/>
        <w:gridCol w:w="4869"/>
        <w:gridCol w:w="3321"/>
      </w:tblGrid>
      <w:tr w:rsidR="000671A9" w:rsidTr="00BE2863">
        <w:tc>
          <w:tcPr>
            <w:tcW w:w="1260" w:type="dxa"/>
            <w:tcBorders>
              <w:top w:val="single" w:sz="6" w:space="0" w:color="auto"/>
            </w:tcBorders>
          </w:tcPr>
          <w:p w:rsidR="000671A9" w:rsidRDefault="0079297D">
            <w:pPr>
              <w:pStyle w:val="covertext"/>
            </w:pPr>
            <w:r>
              <w:t>Project</w:t>
            </w:r>
          </w:p>
        </w:tc>
        <w:tc>
          <w:tcPr>
            <w:tcW w:w="8190" w:type="dxa"/>
            <w:gridSpan w:val="2"/>
            <w:tcBorders>
              <w:top w:val="single" w:sz="6" w:space="0" w:color="auto"/>
            </w:tcBorders>
          </w:tcPr>
          <w:p w:rsidR="000671A9" w:rsidRDefault="0079297D">
            <w:pPr>
              <w:pStyle w:val="covertext"/>
            </w:pPr>
            <w:r>
              <w:t>IEEE P802.15 Working Group for Wireless Personal Area Networks (WPANs)</w:t>
            </w:r>
          </w:p>
        </w:tc>
      </w:tr>
      <w:tr w:rsidR="000671A9" w:rsidTr="00BE2863">
        <w:tc>
          <w:tcPr>
            <w:tcW w:w="1260" w:type="dxa"/>
            <w:tcBorders>
              <w:top w:val="single" w:sz="6" w:space="0" w:color="auto"/>
            </w:tcBorders>
          </w:tcPr>
          <w:p w:rsidR="000671A9" w:rsidRDefault="0079297D">
            <w:pPr>
              <w:pStyle w:val="covertext"/>
            </w:pPr>
            <w:r>
              <w:t>Title</w:t>
            </w:r>
          </w:p>
        </w:tc>
        <w:tc>
          <w:tcPr>
            <w:tcW w:w="8190" w:type="dxa"/>
            <w:gridSpan w:val="2"/>
            <w:tcBorders>
              <w:top w:val="single" w:sz="6" w:space="0" w:color="auto"/>
            </w:tcBorders>
          </w:tcPr>
          <w:p w:rsidR="000671A9" w:rsidRDefault="00961926" w:rsidP="00EE025E">
            <w:pPr>
              <w:pStyle w:val="covertext"/>
            </w:pPr>
            <w:r>
              <w:t>Text</w:t>
            </w:r>
            <w:r w:rsidR="004B6C95">
              <w:t xml:space="preserve"> </w:t>
            </w:r>
            <w:r>
              <w:t>p</w:t>
            </w:r>
            <w:r w:rsidR="00EE025E">
              <w:t xml:space="preserve">roposal </w:t>
            </w:r>
            <w:r>
              <w:t>to 15.4z for enhancing</w:t>
            </w:r>
            <w:r w:rsidR="004B6C95" w:rsidRPr="001513B7">
              <w:t xml:space="preserve"> UWB </w:t>
            </w:r>
            <w:r w:rsidR="00EE025E">
              <w:t>PHY</w:t>
            </w:r>
            <w:r>
              <w:t>s</w:t>
            </w:r>
            <w:r w:rsidR="0079297D">
              <w:rPr>
                <w:b/>
                <w:sz w:val="28"/>
              </w:rPr>
              <w:fldChar w:fldCharType="begin"/>
            </w:r>
            <w:r w:rsidR="0079297D">
              <w:rPr>
                <w:b/>
                <w:sz w:val="28"/>
              </w:rPr>
              <w:instrText xml:space="preserve"> TITLE  \* MERGEFORMAT </w:instrText>
            </w:r>
            <w:r w:rsidR="0079297D">
              <w:rPr>
                <w:b/>
                <w:sz w:val="28"/>
              </w:rPr>
              <w:fldChar w:fldCharType="end"/>
            </w:r>
          </w:p>
        </w:tc>
      </w:tr>
      <w:tr w:rsidR="000671A9" w:rsidTr="00BE2863">
        <w:tc>
          <w:tcPr>
            <w:tcW w:w="1260" w:type="dxa"/>
            <w:tcBorders>
              <w:top w:val="single" w:sz="6" w:space="0" w:color="auto"/>
            </w:tcBorders>
          </w:tcPr>
          <w:p w:rsidR="000671A9" w:rsidRDefault="0079297D">
            <w:pPr>
              <w:pStyle w:val="covertext"/>
            </w:pPr>
            <w:r>
              <w:t>Date Submitted</w:t>
            </w:r>
          </w:p>
        </w:tc>
        <w:tc>
          <w:tcPr>
            <w:tcW w:w="8190" w:type="dxa"/>
            <w:gridSpan w:val="2"/>
            <w:tcBorders>
              <w:top w:val="single" w:sz="6" w:space="0" w:color="auto"/>
            </w:tcBorders>
          </w:tcPr>
          <w:p w:rsidR="000671A9" w:rsidRDefault="0079297D" w:rsidP="006A5286">
            <w:pPr>
              <w:pStyle w:val="covertext"/>
            </w:pPr>
            <w:r>
              <w:t>[</w:t>
            </w:r>
            <w:r w:rsidR="00961926">
              <w:t>6</w:t>
            </w:r>
            <w:r>
              <w:t xml:space="preserve"> </w:t>
            </w:r>
            <w:proofErr w:type="gramStart"/>
            <w:r w:rsidR="00961926">
              <w:t>July</w:t>
            </w:r>
            <w:r>
              <w:t>,</w:t>
            </w:r>
            <w:proofErr w:type="gramEnd"/>
            <w:r>
              <w:t xml:space="preserve"> </w:t>
            </w:r>
            <w:r w:rsidR="006A5286">
              <w:t>2018</w:t>
            </w:r>
            <w:r>
              <w:t>]</w:t>
            </w:r>
          </w:p>
        </w:tc>
        <w:bookmarkStart w:id="0" w:name="_GoBack"/>
        <w:bookmarkEnd w:id="0"/>
      </w:tr>
      <w:tr w:rsidR="000671A9" w:rsidRPr="000806AF" w:rsidTr="00BE2863">
        <w:tc>
          <w:tcPr>
            <w:tcW w:w="1260" w:type="dxa"/>
            <w:tcBorders>
              <w:top w:val="single" w:sz="4" w:space="0" w:color="auto"/>
              <w:bottom w:val="single" w:sz="4" w:space="0" w:color="auto"/>
            </w:tcBorders>
          </w:tcPr>
          <w:p w:rsidR="000671A9" w:rsidRDefault="0079297D">
            <w:pPr>
              <w:pStyle w:val="covertext"/>
            </w:pPr>
            <w:r>
              <w:t>Source</w:t>
            </w:r>
          </w:p>
        </w:tc>
        <w:tc>
          <w:tcPr>
            <w:tcW w:w="4869" w:type="dxa"/>
            <w:tcBorders>
              <w:top w:val="single" w:sz="4" w:space="0" w:color="auto"/>
              <w:bottom w:val="single" w:sz="4" w:space="0" w:color="auto"/>
            </w:tcBorders>
          </w:tcPr>
          <w:p w:rsidR="00BE2863" w:rsidRPr="00DE47C1" w:rsidRDefault="00BE2863" w:rsidP="006A5286">
            <w:pPr>
              <w:pStyle w:val="covertext"/>
              <w:spacing w:before="0" w:after="0"/>
            </w:pPr>
            <w:r w:rsidRPr="00DE47C1">
              <w:rPr>
                <w:rFonts w:hint="eastAsia"/>
                <w:lang w:eastAsia="ja-JP"/>
              </w:rPr>
              <w:t xml:space="preserve">H.-B. Li, K. Takizawa </w:t>
            </w:r>
            <w:r w:rsidRPr="00DE47C1">
              <w:rPr>
                <w:lang w:eastAsia="ja-JP"/>
              </w:rPr>
              <w:t>and F. Kojima</w:t>
            </w:r>
            <w:r w:rsidR="00EE025E" w:rsidRPr="00DE47C1">
              <w:t xml:space="preserve"> (</w:t>
            </w:r>
            <w:r w:rsidRPr="00DE47C1">
              <w:t>NICT</w:t>
            </w:r>
            <w:r w:rsidR="00EE025E" w:rsidRPr="00DE47C1">
              <w:t>)</w:t>
            </w:r>
          </w:p>
          <w:p w:rsidR="00471B04" w:rsidRPr="00DE47C1" w:rsidRDefault="00BE2863" w:rsidP="006A5286">
            <w:pPr>
              <w:pStyle w:val="covertext"/>
              <w:spacing w:before="0" w:after="0"/>
            </w:pPr>
            <w:r w:rsidRPr="00DE47C1">
              <w:t>H. Nishikawa</w:t>
            </w:r>
            <w:r w:rsidR="00EE025E" w:rsidRPr="00DE47C1">
              <w:t xml:space="preserve"> (</w:t>
            </w:r>
            <w:r w:rsidRPr="00DE47C1">
              <w:t xml:space="preserve">GIT </w:t>
            </w:r>
            <w:r w:rsidR="00DE47C1" w:rsidRPr="00DE47C1">
              <w:rPr>
                <w:rFonts w:hint="eastAsia"/>
                <w:lang w:eastAsia="ja-JP"/>
              </w:rPr>
              <w:t>Japan</w:t>
            </w:r>
            <w:r w:rsidR="00DE47C1" w:rsidRPr="00DE47C1">
              <w:t xml:space="preserve"> </w:t>
            </w:r>
            <w:r w:rsidRPr="00DE47C1">
              <w:t>Inc.</w:t>
            </w:r>
            <w:r w:rsidR="00EE025E" w:rsidRPr="00DE47C1">
              <w:t>)</w:t>
            </w:r>
          </w:p>
        </w:tc>
        <w:tc>
          <w:tcPr>
            <w:tcW w:w="3321" w:type="dxa"/>
            <w:tcBorders>
              <w:top w:val="single" w:sz="4" w:space="0" w:color="auto"/>
              <w:bottom w:val="single" w:sz="4" w:space="0" w:color="auto"/>
            </w:tcBorders>
          </w:tcPr>
          <w:p w:rsidR="000671A9" w:rsidRPr="000806AF" w:rsidRDefault="0016327F">
            <w:pPr>
              <w:pStyle w:val="covertext"/>
              <w:tabs>
                <w:tab w:val="left" w:pos="1152"/>
              </w:tabs>
              <w:spacing w:before="0" w:after="0"/>
              <w:rPr>
                <w:sz w:val="18"/>
                <w:lang w:val="de-CH"/>
              </w:rPr>
            </w:pPr>
            <w:r w:rsidRPr="0016327F">
              <w:rPr>
                <w:sz w:val="18"/>
                <w:lang w:val="de-CH"/>
              </w:rPr>
              <w:t>E-Mail:[lee (at) nict.go.jp</w:t>
            </w:r>
          </w:p>
        </w:tc>
      </w:tr>
      <w:tr w:rsidR="000671A9" w:rsidTr="00BE2863">
        <w:tc>
          <w:tcPr>
            <w:tcW w:w="1260" w:type="dxa"/>
            <w:tcBorders>
              <w:top w:val="single" w:sz="6" w:space="0" w:color="auto"/>
            </w:tcBorders>
          </w:tcPr>
          <w:p w:rsidR="000671A9" w:rsidRDefault="0079297D">
            <w:pPr>
              <w:pStyle w:val="covertext"/>
            </w:pPr>
            <w:r>
              <w:t>Re:</w:t>
            </w:r>
          </w:p>
        </w:tc>
        <w:tc>
          <w:tcPr>
            <w:tcW w:w="8190" w:type="dxa"/>
            <w:gridSpan w:val="2"/>
            <w:tcBorders>
              <w:top w:val="single" w:sz="6" w:space="0" w:color="auto"/>
            </w:tcBorders>
          </w:tcPr>
          <w:p w:rsidR="000671A9" w:rsidRDefault="0079297D">
            <w:pPr>
              <w:pStyle w:val="covertext"/>
            </w:pPr>
            <w:r>
              <w:t>[If this is a proposed revision, cite the original document.]</w:t>
            </w:r>
          </w:p>
          <w:p w:rsidR="000671A9" w:rsidRDefault="0079297D">
            <w:pPr>
              <w:pStyle w:val="covertext"/>
            </w:pPr>
            <w:r>
              <w:t>[</w:t>
            </w:r>
            <w:r w:rsidR="00BE2863">
              <w:t>T</w:t>
            </w:r>
            <w:r>
              <w:t xml:space="preserve">his is a response to </w:t>
            </w:r>
            <w:r w:rsidR="00BE2863">
              <w:t xml:space="preserve">the </w:t>
            </w:r>
            <w:r w:rsidR="00BE2863">
              <w:rPr>
                <w:color w:val="000000"/>
                <w:lang w:val="fr-FR"/>
              </w:rPr>
              <w:t>IEEE 802.15.4Z EIR</w:t>
            </w:r>
            <w:r w:rsidR="00BE2863" w:rsidRPr="00EC4261">
              <w:rPr>
                <w:color w:val="000000"/>
                <w:lang w:val="fr-FR"/>
              </w:rPr>
              <w:t>.4z EIR</w:t>
            </w:r>
            <w:r w:rsidR="00BE2863">
              <w:rPr>
                <w:rFonts w:hint="eastAsia"/>
                <w:color w:val="000000"/>
                <w:lang w:val="fr-FR"/>
              </w:rPr>
              <w:t xml:space="preserve"> Call for </w:t>
            </w:r>
            <w:r w:rsidR="00BE2863" w:rsidRPr="00ED27DF">
              <w:rPr>
                <w:color w:val="000000"/>
              </w:rPr>
              <w:t>Proposals</w:t>
            </w:r>
            <w:r w:rsidR="00BE2863">
              <w:rPr>
                <w:color w:val="000000"/>
              </w:rPr>
              <w:t xml:space="preserve"> Doc.</w:t>
            </w:r>
            <w:r w:rsidR="00BE2863">
              <w:t xml:space="preserve"> </w:t>
            </w:r>
            <w:r w:rsidR="00BE2863" w:rsidRPr="00BE2863">
              <w:rPr>
                <w:color w:val="000000"/>
              </w:rPr>
              <w:t>15-18-0259-00-004z</w:t>
            </w:r>
            <w:r w:rsidR="00BE2863">
              <w:rPr>
                <w:color w:val="000000"/>
              </w:rPr>
              <w:t>, which is issued in May 2018</w:t>
            </w:r>
            <w:r>
              <w:t>]</w:t>
            </w:r>
          </w:p>
          <w:p w:rsidR="000671A9" w:rsidRDefault="0079297D">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671A9" w:rsidTr="00BE2863">
        <w:tc>
          <w:tcPr>
            <w:tcW w:w="1260" w:type="dxa"/>
            <w:tcBorders>
              <w:top w:val="single" w:sz="6" w:space="0" w:color="auto"/>
            </w:tcBorders>
          </w:tcPr>
          <w:p w:rsidR="000671A9" w:rsidRDefault="0079297D">
            <w:pPr>
              <w:pStyle w:val="covertext"/>
            </w:pPr>
            <w:r>
              <w:t>Abstract</w:t>
            </w:r>
          </w:p>
        </w:tc>
        <w:tc>
          <w:tcPr>
            <w:tcW w:w="8190" w:type="dxa"/>
            <w:gridSpan w:val="2"/>
            <w:tcBorders>
              <w:top w:val="single" w:sz="6" w:space="0" w:color="auto"/>
            </w:tcBorders>
          </w:tcPr>
          <w:p w:rsidR="000671A9" w:rsidRDefault="0079297D">
            <w:pPr>
              <w:pStyle w:val="covertext"/>
            </w:pPr>
            <w:r>
              <w:t>[</w:t>
            </w:r>
            <w:r w:rsidR="006E5DA6" w:rsidRPr="006E5DA6">
              <w:t>Contribute a proposal to the enhanced impulse radio group 15.4z</w:t>
            </w:r>
            <w:r>
              <w:t>]</w:t>
            </w:r>
          </w:p>
        </w:tc>
      </w:tr>
      <w:tr w:rsidR="000671A9" w:rsidTr="00BE2863">
        <w:tc>
          <w:tcPr>
            <w:tcW w:w="1260" w:type="dxa"/>
            <w:tcBorders>
              <w:top w:val="single" w:sz="6" w:space="0" w:color="auto"/>
            </w:tcBorders>
          </w:tcPr>
          <w:p w:rsidR="000671A9" w:rsidRDefault="0079297D">
            <w:pPr>
              <w:pStyle w:val="covertext"/>
            </w:pPr>
            <w:r>
              <w:t>Purpose</w:t>
            </w:r>
          </w:p>
        </w:tc>
        <w:tc>
          <w:tcPr>
            <w:tcW w:w="8190" w:type="dxa"/>
            <w:gridSpan w:val="2"/>
            <w:tcBorders>
              <w:top w:val="single" w:sz="6" w:space="0" w:color="auto"/>
            </w:tcBorders>
          </w:tcPr>
          <w:p w:rsidR="000671A9" w:rsidRDefault="0079297D" w:rsidP="00EE025E">
            <w:pPr>
              <w:pStyle w:val="covertext"/>
            </w:pPr>
            <w:r>
              <w:t>[</w:t>
            </w:r>
            <w:r w:rsidR="006E5DA6" w:rsidRPr="006E5DA6">
              <w:t>Propose the modifications of the HRP as well as LRP UWB PHYs</w:t>
            </w:r>
            <w:r>
              <w:t>]</w:t>
            </w:r>
          </w:p>
        </w:tc>
      </w:tr>
      <w:tr w:rsidR="000671A9" w:rsidTr="00BE2863">
        <w:tc>
          <w:tcPr>
            <w:tcW w:w="1260" w:type="dxa"/>
            <w:tcBorders>
              <w:top w:val="single" w:sz="6" w:space="0" w:color="auto"/>
              <w:bottom w:val="single" w:sz="6" w:space="0" w:color="auto"/>
            </w:tcBorders>
          </w:tcPr>
          <w:p w:rsidR="000671A9" w:rsidRDefault="0079297D">
            <w:pPr>
              <w:pStyle w:val="covertext"/>
            </w:pPr>
            <w:r>
              <w:t>Notice</w:t>
            </w:r>
          </w:p>
        </w:tc>
        <w:tc>
          <w:tcPr>
            <w:tcW w:w="8190" w:type="dxa"/>
            <w:gridSpan w:val="2"/>
            <w:tcBorders>
              <w:top w:val="single" w:sz="6" w:space="0" w:color="auto"/>
              <w:bottom w:val="single" w:sz="6" w:space="0" w:color="auto"/>
            </w:tcBorders>
          </w:tcPr>
          <w:p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rsidTr="00BE2863">
        <w:tc>
          <w:tcPr>
            <w:tcW w:w="1260" w:type="dxa"/>
            <w:tcBorders>
              <w:top w:val="single" w:sz="6" w:space="0" w:color="auto"/>
              <w:bottom w:val="single" w:sz="6" w:space="0" w:color="auto"/>
            </w:tcBorders>
          </w:tcPr>
          <w:p w:rsidR="000671A9" w:rsidRDefault="0079297D">
            <w:pPr>
              <w:pStyle w:val="covertext"/>
            </w:pPr>
            <w:r>
              <w:t>Release</w:t>
            </w:r>
          </w:p>
        </w:tc>
        <w:tc>
          <w:tcPr>
            <w:tcW w:w="8190" w:type="dxa"/>
            <w:gridSpan w:val="2"/>
            <w:tcBorders>
              <w:top w:val="single" w:sz="6" w:space="0" w:color="auto"/>
              <w:bottom w:val="single" w:sz="6" w:space="0" w:color="auto"/>
            </w:tcBorders>
          </w:tcPr>
          <w:p w:rsidR="000671A9" w:rsidRDefault="0079297D">
            <w:pPr>
              <w:pStyle w:val="covertext"/>
            </w:pPr>
            <w:r>
              <w:t>The contributor acknowledges and accepts that this contribution becomes the property of IEEE and may be made publicly available by P802.15.</w:t>
            </w:r>
          </w:p>
        </w:tc>
      </w:tr>
    </w:tbl>
    <w:p w:rsidR="009D03E8" w:rsidRDefault="009D03E8" w:rsidP="009D03E8">
      <w:pPr>
        <w:pStyle w:val="IEEEStdsParagraph"/>
        <w:rPr>
          <w:b/>
          <w:sz w:val="24"/>
        </w:rPr>
      </w:pPr>
    </w:p>
    <w:p w:rsidR="009D03E8" w:rsidRDefault="009D03E8" w:rsidP="009D03E8">
      <w:pPr>
        <w:pStyle w:val="IEEEStdsParagraph"/>
        <w:rPr>
          <w:b/>
          <w:sz w:val="24"/>
        </w:rPr>
      </w:pPr>
      <w:r w:rsidRPr="009D03E8">
        <w:rPr>
          <w:b/>
          <w:sz w:val="24"/>
        </w:rPr>
        <w:t>Proposed add-ons</w:t>
      </w:r>
      <w:r>
        <w:rPr>
          <w:b/>
          <w:sz w:val="24"/>
        </w:rPr>
        <w:t xml:space="preserve"> </w:t>
      </w:r>
      <w:r w:rsidRPr="009D03E8">
        <w:rPr>
          <w:b/>
          <w:sz w:val="24"/>
        </w:rPr>
        <w:t xml:space="preserve">are highlighted in </w:t>
      </w:r>
      <w:r w:rsidRPr="009D03E8">
        <w:rPr>
          <w:b/>
          <w:color w:val="0070C0"/>
          <w:sz w:val="24"/>
        </w:rPr>
        <w:t>blue</w:t>
      </w:r>
      <w:r w:rsidR="00DA4522">
        <w:rPr>
          <w:b/>
          <w:color w:val="000000" w:themeColor="text1"/>
          <w:sz w:val="24"/>
        </w:rPr>
        <w:t>.</w:t>
      </w:r>
    </w:p>
    <w:p w:rsidR="00B167F8" w:rsidRPr="00A30A01" w:rsidRDefault="0079297D" w:rsidP="00A30A01">
      <w:pPr>
        <w:pStyle w:val="IEEEStdsLevel1Header"/>
      </w:pPr>
      <w:r>
        <w:br w:type="page"/>
      </w:r>
    </w:p>
    <w:p w:rsidR="00BB4384" w:rsidRPr="00BE2863" w:rsidRDefault="00BB4384" w:rsidP="00BE2863">
      <w:pPr>
        <w:pStyle w:val="IEEEStdsLevel1Header"/>
        <w:numPr>
          <w:ilvl w:val="0"/>
          <w:numId w:val="0"/>
        </w:numPr>
      </w:pPr>
      <w:r>
        <w:rPr>
          <w:rFonts w:hint="eastAsia"/>
        </w:rPr>
        <w:lastRenderedPageBreak/>
        <w:t>1</w:t>
      </w:r>
      <w:r>
        <w:t>6. HRP UWB PHY</w:t>
      </w:r>
    </w:p>
    <w:p w:rsidR="00BB4384" w:rsidRDefault="00BB4384" w:rsidP="00BB4384">
      <w:pPr>
        <w:pStyle w:val="IEEEStdsParagraph"/>
        <w:rPr>
          <w:b/>
        </w:rPr>
      </w:pPr>
      <w:r>
        <w:rPr>
          <w:b/>
        </w:rPr>
        <w:t>… …</w:t>
      </w:r>
    </w:p>
    <w:p w:rsidR="00BB4384" w:rsidRPr="00BB4384" w:rsidRDefault="00BB4384" w:rsidP="00BB4384">
      <w:pPr>
        <w:pStyle w:val="IEEEStdsParagraph"/>
        <w:rPr>
          <w:b/>
        </w:rPr>
      </w:pPr>
    </w:p>
    <w:p w:rsidR="00B37507" w:rsidRPr="00143112" w:rsidRDefault="00B37507" w:rsidP="00B37507">
      <w:pPr>
        <w:pStyle w:val="IEEEStdsParagraph"/>
        <w:rPr>
          <w:b/>
        </w:rPr>
      </w:pPr>
      <w:r w:rsidRPr="00143112">
        <w:rPr>
          <w:b/>
        </w:rPr>
        <w:t>16.2.2 Symbol structure</w:t>
      </w:r>
    </w:p>
    <w:p w:rsidR="00B37507" w:rsidRDefault="00B37507" w:rsidP="00B37507">
      <w:pPr>
        <w:pStyle w:val="IEEEStdsParagraph"/>
      </w:pPr>
      <w:r>
        <w:t>In the BPM-BPSK modulation scheme, each symbol is capable of carrying two bits of information: one bit is used to determine the position of a burst of pulses, while an additional bit is used to modulate the phase (polarity) of this same burst.</w:t>
      </w:r>
    </w:p>
    <w:p w:rsidR="00143112" w:rsidRPr="00A30A01" w:rsidRDefault="00B37507" w:rsidP="00B37507">
      <w:pPr>
        <w:pStyle w:val="IEEEStdsParagraph"/>
        <w:rPr>
          <w:color w:val="0070C0"/>
        </w:rPr>
      </w:pPr>
      <w:r>
        <w:t xml:space="preserve">The structure and timing of a symbol is illustrated in Figure16-3. Each symbol shall consist of an integer number of possible chip positions, </w:t>
      </w:r>
      <w:proofErr w:type="spellStart"/>
      <w:r>
        <w:t>Nc</w:t>
      </w:r>
      <w:proofErr w:type="spellEnd"/>
      <w:r>
        <w:t xml:space="preserve">, each with duration Tc. The overall symbol period denoted by </w:t>
      </w:r>
      <w:proofErr w:type="spellStart"/>
      <w:r>
        <w:t>Tdsym</w:t>
      </w:r>
      <w:proofErr w:type="spellEnd"/>
      <w:r>
        <w:t xml:space="preserve"> is given by </w:t>
      </w:r>
      <w:proofErr w:type="spellStart"/>
      <w:r>
        <w:t>Tdsym</w:t>
      </w:r>
      <w:proofErr w:type="spellEnd"/>
      <w:r>
        <w:t xml:space="preserve"> = </w:t>
      </w:r>
      <w:proofErr w:type="spellStart"/>
      <w:r>
        <w:t>NcTc</w:t>
      </w:r>
      <w:proofErr w:type="spellEnd"/>
      <w:r>
        <w:t xml:space="preserve">. Furthermore, </w:t>
      </w:r>
      <w:r w:rsidR="00A30A01">
        <w:rPr>
          <w:color w:val="0070C0"/>
        </w:rPr>
        <w:t xml:space="preserve">for combined BPM and BPSK mode, </w:t>
      </w:r>
      <w:r>
        <w:t>each symbol is divided into two BPM intervals each with duration TBPM =</w:t>
      </w:r>
      <w:proofErr w:type="spellStart"/>
      <w:r>
        <w:t>Tdsym</w:t>
      </w:r>
      <w:proofErr w:type="spellEnd"/>
      <w:r>
        <w:t xml:space="preserve"> /2, which enables binary position modulation.</w:t>
      </w:r>
      <w:r w:rsidR="00A30A01">
        <w:t xml:space="preserve"> </w:t>
      </w:r>
      <w:r w:rsidR="00A30A01">
        <w:rPr>
          <w:color w:val="0070C0"/>
        </w:rPr>
        <w:t xml:space="preserve">For OOK/BPSK mode, one symbol period is half of that of the BPM and BPSK mode. </w:t>
      </w:r>
    </w:p>
    <w:p w:rsidR="00143112" w:rsidRDefault="00E05C44" w:rsidP="00B37507">
      <w:pPr>
        <w:pStyle w:val="IEEEStdsParagraph"/>
      </w:pPr>
      <w:r w:rsidRPr="00E05C44">
        <w:rPr>
          <w:noProof/>
        </w:rPr>
        <w:drawing>
          <wp:inline distT="0" distB="0" distL="0" distR="0" wp14:anchorId="1EFAA454" wp14:editId="6E64C773">
            <wp:extent cx="5943600" cy="1550035"/>
            <wp:effectExtent l="0" t="0" r="0" b="0"/>
            <wp:docPr id="4" name="図 3">
              <a:extLst xmlns:a="http://schemas.openxmlformats.org/drawingml/2006/main">
                <a:ext uri="{FF2B5EF4-FFF2-40B4-BE49-F238E27FC236}">
                  <a16:creationId xmlns:a16="http://schemas.microsoft.com/office/drawing/2014/main" id="{44AC845A-DA67-48C2-A5FF-DC7873C844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44AC845A-DA67-48C2-A5FF-DC7873C8441B}"/>
                        </a:ext>
                      </a:extLst>
                    </pic:cNvPr>
                    <pic:cNvPicPr>
                      <a:picLocks noChangeAspect="1"/>
                    </pic:cNvPicPr>
                  </pic:nvPicPr>
                  <pic:blipFill>
                    <a:blip r:embed="rId8"/>
                    <a:stretch>
                      <a:fillRect/>
                    </a:stretch>
                  </pic:blipFill>
                  <pic:spPr>
                    <a:xfrm>
                      <a:off x="0" y="0"/>
                      <a:ext cx="5943600" cy="1550035"/>
                    </a:xfrm>
                    <a:prstGeom prst="rect">
                      <a:avLst/>
                    </a:prstGeom>
                  </pic:spPr>
                </pic:pic>
              </a:graphicData>
            </a:graphic>
          </wp:inline>
        </w:drawing>
      </w:r>
    </w:p>
    <w:p w:rsidR="00124AB5" w:rsidRPr="00BE2863" w:rsidRDefault="00BE2863" w:rsidP="00BE2863">
      <w:pPr>
        <w:pStyle w:val="IEEEStdsParagraph"/>
        <w:numPr>
          <w:ilvl w:val="0"/>
          <w:numId w:val="24"/>
        </w:numPr>
        <w:jc w:val="center"/>
        <w:rPr>
          <w:color w:val="0070C0"/>
        </w:rPr>
      </w:pPr>
      <w:r w:rsidRPr="00BE2863">
        <w:rPr>
          <w:color w:val="0070C0"/>
        </w:rPr>
        <w:t xml:space="preserve">Symbol frame structure of combined BPM and BPSK </w:t>
      </w:r>
    </w:p>
    <w:p w:rsidR="00124AB5" w:rsidRDefault="00124AB5" w:rsidP="00B37507">
      <w:pPr>
        <w:pStyle w:val="IEEEStdsParagraph"/>
      </w:pPr>
    </w:p>
    <w:p w:rsidR="00124AB5" w:rsidRDefault="0016327F" w:rsidP="0016327F">
      <w:pPr>
        <w:pStyle w:val="IEEEStdsParagraph"/>
        <w:jc w:val="center"/>
      </w:pPr>
      <w:r>
        <w:rPr>
          <w:noProof/>
        </w:rPr>
        <w:drawing>
          <wp:inline distT="0" distB="0" distL="0" distR="0">
            <wp:extent cx="3021357" cy="1551007"/>
            <wp:effectExtent l="19050" t="19050" r="26670" b="1143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2261" cy="1566871"/>
                    </a:xfrm>
                    <a:prstGeom prst="rect">
                      <a:avLst/>
                    </a:prstGeom>
                    <a:noFill/>
                    <a:ln w="12700">
                      <a:solidFill>
                        <a:srgbClr val="0070C0"/>
                      </a:solidFill>
                    </a:ln>
                  </pic:spPr>
                </pic:pic>
              </a:graphicData>
            </a:graphic>
          </wp:inline>
        </w:drawing>
      </w:r>
    </w:p>
    <w:p w:rsidR="00BE2863" w:rsidRPr="00BE2863" w:rsidRDefault="00BE2863" w:rsidP="00BE2863">
      <w:pPr>
        <w:pStyle w:val="IEEEStdsParagraph"/>
        <w:numPr>
          <w:ilvl w:val="0"/>
          <w:numId w:val="24"/>
        </w:numPr>
        <w:jc w:val="center"/>
        <w:rPr>
          <w:color w:val="0070C0"/>
        </w:rPr>
      </w:pPr>
      <w:r>
        <w:rPr>
          <w:color w:val="0070C0"/>
        </w:rPr>
        <w:t>Symbol frame structure of OOK/BPSK</w:t>
      </w:r>
    </w:p>
    <w:p w:rsidR="00124AB5" w:rsidRDefault="00BE2863" w:rsidP="00BE2863">
      <w:pPr>
        <w:pStyle w:val="IEEEStdsParagraph"/>
        <w:jc w:val="center"/>
      </w:pPr>
      <w:r w:rsidRPr="0073608E">
        <w:t>Figure 16-3—HRP UWB PHY symbol structure</w:t>
      </w:r>
    </w:p>
    <w:p w:rsidR="00B37507" w:rsidRDefault="00B37507" w:rsidP="00B37507">
      <w:pPr>
        <w:pStyle w:val="IEEEStdsParagraph"/>
      </w:pPr>
      <w:r>
        <w:lastRenderedPageBreak/>
        <w:t xml:space="preserve">A burst is formed by grouping </w:t>
      </w:r>
      <w:proofErr w:type="spellStart"/>
      <w:r>
        <w:t>Ncpb</w:t>
      </w:r>
      <w:proofErr w:type="spellEnd"/>
      <w:r>
        <w:t xml:space="preserve"> consecutive chips and has duration </w:t>
      </w:r>
      <w:proofErr w:type="spellStart"/>
      <w:r>
        <w:t>Tburst</w:t>
      </w:r>
      <w:proofErr w:type="spellEnd"/>
      <w:r>
        <w:t xml:space="preserve"> = </w:t>
      </w:r>
      <w:proofErr w:type="spellStart"/>
      <w:r>
        <w:t>NcpbTc</w:t>
      </w:r>
      <w:proofErr w:type="spellEnd"/>
      <w:r>
        <w:t>. The location of the burst in either the first half or the second half of the symbol indicates one bit of information. Additionally, the phase of the burst (either –1 or +1) is used to indicate a second bit of information.</w:t>
      </w:r>
    </w:p>
    <w:p w:rsidR="00143112" w:rsidRDefault="00B37507" w:rsidP="00143112">
      <w:pPr>
        <w:pStyle w:val="IEEEStdsParagraph"/>
      </w:pPr>
      <w:r>
        <w:t xml:space="preserve">In each symbol interval, a single burst event shall be transmitted. The fact that burst duration is typically much shorter than the BPM duration, i.e., </w:t>
      </w:r>
      <w:proofErr w:type="spellStart"/>
      <w:r>
        <w:t>Tburst</w:t>
      </w:r>
      <w:proofErr w:type="spellEnd"/>
      <w:r>
        <w:t xml:space="preserve"> &lt;&lt; TBPM, provides for some multi-user access interference rejection in the form of time hopping. The total number of burst durations per symbol, </w:t>
      </w:r>
      <w:proofErr w:type="spellStart"/>
      <w:r>
        <w:t>Nburst</w:t>
      </w:r>
      <w:proofErr w:type="spellEnd"/>
      <w:r>
        <w:t xml:space="preserve">, is given by </w:t>
      </w:r>
      <w:proofErr w:type="spellStart"/>
      <w:r>
        <w:t>Nburst</w:t>
      </w:r>
      <w:proofErr w:type="spellEnd"/>
      <w:r>
        <w:t xml:space="preserve"> = </w:t>
      </w:r>
      <w:proofErr w:type="spellStart"/>
      <w:r>
        <w:t>Tdsym</w:t>
      </w:r>
      <w:proofErr w:type="spellEnd"/>
      <w:r>
        <w:t xml:space="preserve"> /</w:t>
      </w:r>
      <w:proofErr w:type="spellStart"/>
      <w:r>
        <w:t>Tburst</w:t>
      </w:r>
      <w:proofErr w:type="spellEnd"/>
      <w:r>
        <w:t xml:space="preserve">. In order to limit the amount of inter-symbol interference caused by multipath, only the first half of each TBPM period shall contain a burst. Therefore, only the first </w:t>
      </w:r>
      <w:proofErr w:type="spellStart"/>
      <w:r>
        <w:t>Nhop</w:t>
      </w:r>
      <w:proofErr w:type="spellEnd"/>
      <w:r>
        <w:t xml:space="preserve">= </w:t>
      </w:r>
      <w:proofErr w:type="spellStart"/>
      <w:r>
        <w:t>Nburst</w:t>
      </w:r>
      <w:proofErr w:type="spellEnd"/>
      <w:r>
        <w:t>/4 possible burst positions are candidate hopping burst positions within each BPM interval. Each burst position can be varied on a symbol-to-symbol basis according to a time hopp</w:t>
      </w:r>
      <w:r w:rsidR="00143112">
        <w:t xml:space="preserve">ing code as described in 16.3. </w:t>
      </w:r>
    </w:p>
    <w:p w:rsidR="00847575" w:rsidRDefault="00847575" w:rsidP="00143112">
      <w:pPr>
        <w:pStyle w:val="IEEEStdsParagraph"/>
      </w:pPr>
    </w:p>
    <w:p w:rsidR="00847575" w:rsidRPr="0097724A" w:rsidRDefault="00847575" w:rsidP="00143112">
      <w:pPr>
        <w:pStyle w:val="IEEEStdsParagraph"/>
      </w:pPr>
    </w:p>
    <w:p w:rsidR="00847575" w:rsidRPr="0097724A" w:rsidRDefault="00847575" w:rsidP="00143112">
      <w:pPr>
        <w:pStyle w:val="IEEEStdsParagraph"/>
      </w:pPr>
    </w:p>
    <w:p w:rsidR="0097724A" w:rsidRPr="0097724A" w:rsidRDefault="0097724A" w:rsidP="00414C8B">
      <w:pPr>
        <w:pStyle w:val="IEEEStdsLevel2Header"/>
        <w:numPr>
          <w:ilvl w:val="0"/>
          <w:numId w:val="0"/>
        </w:numPr>
        <w:rPr>
          <w:rFonts w:ascii="Times New Roman" w:hAnsi="Times New Roman"/>
          <w:b w:val="0"/>
          <w:sz w:val="20"/>
          <w:lang w:eastAsia="en-US"/>
        </w:rPr>
      </w:pPr>
      <w:r w:rsidRPr="0097724A">
        <w:rPr>
          <w:rFonts w:ascii="Times New Roman" w:hAnsi="Times New Roman"/>
          <w:b w:val="0"/>
          <w:sz w:val="20"/>
          <w:lang w:eastAsia="en-US"/>
        </w:rPr>
        <w:t>10.1.2.7 Channel numbering for LRP UWB PHY</w:t>
      </w:r>
    </w:p>
    <w:p w:rsidR="0097724A" w:rsidRDefault="0097724A" w:rsidP="00414C8B">
      <w:pPr>
        <w:rPr>
          <w:sz w:val="20"/>
        </w:rPr>
      </w:pPr>
      <w:r w:rsidRPr="00414C8B">
        <w:rPr>
          <w:sz w:val="20"/>
        </w:rPr>
        <w:t xml:space="preserve">The LRP UWB PHY uses channel page 8 with the channel numbers defined in Table10-9. A total of three frequency channels, numbered 0 to 2, are available in the 6289.6 MHz to 9185.6 MHz frequency bands. Different subsets of these frequency channels are available in different regions of the world. In North America and Europe, a shared channel may be used. </w:t>
      </w:r>
    </w:p>
    <w:p w:rsidR="00414C8B" w:rsidRDefault="00414C8B" w:rsidP="00414C8B">
      <w:pPr>
        <w:rPr>
          <w:sz w:val="20"/>
        </w:rPr>
      </w:pPr>
    </w:p>
    <w:p w:rsidR="00414C8B" w:rsidRPr="0097724A" w:rsidRDefault="00414C8B" w:rsidP="00414C8B">
      <w:pPr>
        <w:pStyle w:val="IEEEStdsLevel2Header"/>
        <w:numPr>
          <w:ilvl w:val="0"/>
          <w:numId w:val="0"/>
        </w:numPr>
        <w:jc w:val="center"/>
        <w:rPr>
          <w:rFonts w:ascii="Times New Roman" w:hAnsi="Times New Roman"/>
          <w:b w:val="0"/>
          <w:sz w:val="20"/>
          <w:lang w:eastAsia="en-US"/>
        </w:rPr>
      </w:pPr>
      <w:r w:rsidRPr="0097724A">
        <w:rPr>
          <w:rFonts w:ascii="Times New Roman" w:hAnsi="Times New Roman"/>
          <w:b w:val="0"/>
          <w:sz w:val="20"/>
          <w:lang w:eastAsia="en-US"/>
        </w:rPr>
        <w:t>Table 10-9—LRP UWB PHY channel frequencies</w:t>
      </w:r>
    </w:p>
    <w:p w:rsidR="00414C8B" w:rsidRDefault="00414C8B" w:rsidP="00414C8B">
      <w:pPr>
        <w:jc w:val="center"/>
        <w:rPr>
          <w:sz w:val="20"/>
        </w:rPr>
      </w:pPr>
      <w:r>
        <w:rPr>
          <w:noProof/>
          <w:sz w:val="20"/>
        </w:rPr>
        <w:drawing>
          <wp:inline distT="0" distB="0" distL="0" distR="0">
            <wp:extent cx="1771095" cy="1010967"/>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356" cy="1022533"/>
                    </a:xfrm>
                    <a:prstGeom prst="rect">
                      <a:avLst/>
                    </a:prstGeom>
                    <a:noFill/>
                    <a:ln>
                      <a:noFill/>
                    </a:ln>
                  </pic:spPr>
                </pic:pic>
              </a:graphicData>
            </a:graphic>
          </wp:inline>
        </w:drawing>
      </w:r>
    </w:p>
    <w:p w:rsidR="00D26F39" w:rsidRPr="00414C8B" w:rsidRDefault="00D26F39" w:rsidP="00414C8B">
      <w:pPr>
        <w:jc w:val="center"/>
        <w:rPr>
          <w:sz w:val="20"/>
        </w:rPr>
      </w:pPr>
    </w:p>
    <w:p w:rsidR="0097724A" w:rsidRPr="0097724A" w:rsidRDefault="0097724A" w:rsidP="00414C8B">
      <w:pPr>
        <w:pStyle w:val="IEEEStdsLevel2Header"/>
        <w:numPr>
          <w:ilvl w:val="0"/>
          <w:numId w:val="0"/>
        </w:numPr>
        <w:rPr>
          <w:rFonts w:ascii="Times New Roman" w:hAnsi="Times New Roman"/>
          <w:b w:val="0"/>
          <w:sz w:val="20"/>
          <w:lang w:eastAsia="en-US"/>
        </w:rPr>
      </w:pPr>
      <w:r w:rsidRPr="0097724A">
        <w:rPr>
          <w:rFonts w:ascii="Times New Roman" w:hAnsi="Times New Roman"/>
          <w:b w:val="0"/>
          <w:sz w:val="20"/>
          <w:lang w:eastAsia="en-US"/>
        </w:rPr>
        <w:t>10.1.2.8 Channel numbering for SUN and TVWS PHYs</w:t>
      </w:r>
    </w:p>
    <w:p w:rsidR="0097724A" w:rsidRPr="00414C8B" w:rsidRDefault="0097724A" w:rsidP="00414C8B">
      <w:pPr>
        <w:rPr>
          <w:sz w:val="20"/>
        </w:rPr>
      </w:pPr>
      <w:r w:rsidRPr="00414C8B">
        <w:rPr>
          <w:sz w:val="20"/>
        </w:rPr>
        <w:t xml:space="preserve">The channel center frequency </w:t>
      </w:r>
      <w:proofErr w:type="spellStart"/>
      <w:r w:rsidRPr="00414C8B">
        <w:rPr>
          <w:sz w:val="20"/>
        </w:rPr>
        <w:t>ChanCenterFreq</w:t>
      </w:r>
      <w:proofErr w:type="spellEnd"/>
      <w:r w:rsidRPr="00414C8B">
        <w:rPr>
          <w:sz w:val="20"/>
        </w:rPr>
        <w:t xml:space="preserve"> for all SUN and TVWS PHYs, except the SUN O-QPSK PHY operating in the 868–870 MHz band, shall be derived as follows: </w:t>
      </w:r>
      <w:proofErr w:type="spellStart"/>
      <w:r w:rsidRPr="00414C8B">
        <w:rPr>
          <w:sz w:val="20"/>
        </w:rPr>
        <w:t>ChanCenterFreq</w:t>
      </w:r>
      <w:proofErr w:type="spellEnd"/>
      <w:r w:rsidRPr="00414C8B">
        <w:rPr>
          <w:sz w:val="20"/>
        </w:rPr>
        <w:t xml:space="preserve"> = ChanCenterFreq0 + </w:t>
      </w:r>
      <w:proofErr w:type="spellStart"/>
      <w:r w:rsidRPr="00414C8B">
        <w:rPr>
          <w:sz w:val="20"/>
        </w:rPr>
        <w:t>NumChan</w:t>
      </w:r>
      <w:proofErr w:type="spellEnd"/>
      <w:r w:rsidRPr="00414C8B">
        <w:rPr>
          <w:sz w:val="20"/>
        </w:rPr>
        <w:t xml:space="preserve"> × </w:t>
      </w:r>
      <w:proofErr w:type="spellStart"/>
      <w:r w:rsidRPr="00414C8B">
        <w:rPr>
          <w:sz w:val="20"/>
        </w:rPr>
        <w:t>ChanSpacing</w:t>
      </w:r>
      <w:proofErr w:type="spellEnd"/>
    </w:p>
    <w:p w:rsidR="00F444DB" w:rsidRPr="0097724A" w:rsidRDefault="0097724A" w:rsidP="0097724A">
      <w:pPr>
        <w:pStyle w:val="IEEEStdsLevel2Header"/>
        <w:numPr>
          <w:ilvl w:val="0"/>
          <w:numId w:val="0"/>
        </w:numPr>
        <w:rPr>
          <w:rFonts w:ascii="Times New Roman" w:hAnsi="Times New Roman"/>
          <w:b w:val="0"/>
          <w:sz w:val="20"/>
          <w:lang w:eastAsia="en-US"/>
        </w:rPr>
      </w:pPr>
      <w:r w:rsidRPr="0097724A">
        <w:rPr>
          <w:rFonts w:ascii="Times New Roman" w:hAnsi="Times New Roman"/>
          <w:b w:val="0"/>
          <w:sz w:val="20"/>
          <w:lang w:eastAsia="en-US"/>
        </w:rPr>
        <w:t>Table 10-9—LRP UWB PHY channel frequencies</w:t>
      </w:r>
    </w:p>
    <w:p w:rsidR="00F444DB" w:rsidRPr="0097724A" w:rsidRDefault="00F444DB" w:rsidP="00F444DB">
      <w:pPr>
        <w:pStyle w:val="IEEEStdsParagraph"/>
        <w:jc w:val="center"/>
      </w:pPr>
    </w:p>
    <w:p w:rsidR="00F444DB" w:rsidRDefault="00F444DB" w:rsidP="00F444DB">
      <w:pPr>
        <w:pStyle w:val="IEEEStdsParagraph"/>
        <w:rPr>
          <w:lang w:eastAsia="en-US"/>
        </w:rPr>
      </w:pPr>
    </w:p>
    <w:p w:rsidR="00C31041" w:rsidRPr="00365155" w:rsidRDefault="00C31041" w:rsidP="00C31041">
      <w:pPr>
        <w:pStyle w:val="IEEEStdsLevel1Header"/>
        <w:numPr>
          <w:ilvl w:val="0"/>
          <w:numId w:val="18"/>
        </w:numPr>
        <w:rPr>
          <w:lang w:eastAsia="en-US"/>
        </w:rPr>
      </w:pPr>
      <w:r w:rsidRPr="002558C2">
        <w:rPr>
          <w:lang w:eastAsia="en-US"/>
        </w:rPr>
        <w:lastRenderedPageBreak/>
        <w:t>LRP UWB</w:t>
      </w:r>
      <w:r w:rsidRPr="00365155">
        <w:rPr>
          <w:lang w:eastAsia="en-US"/>
        </w:rPr>
        <w:t xml:space="preserve"> PHY specification</w:t>
      </w:r>
    </w:p>
    <w:p w:rsidR="00BB4384" w:rsidRPr="00D26F39" w:rsidRDefault="00C31041" w:rsidP="00D26F39">
      <w:pPr>
        <w:autoSpaceDE w:val="0"/>
        <w:autoSpaceDN w:val="0"/>
        <w:adjustRightInd w:val="0"/>
        <w:jc w:val="both"/>
        <w:rPr>
          <w:color w:val="232021"/>
          <w:sz w:val="20"/>
        </w:rPr>
      </w:pPr>
      <w:r w:rsidRPr="002558C2">
        <w:rPr>
          <w:color w:val="232021"/>
          <w:sz w:val="20"/>
        </w:rPr>
        <w:t>The LRP UWB PHY waveform is based upon an impulse radio signaling scheme usi</w:t>
      </w:r>
      <w:r w:rsidR="00D26F39">
        <w:rPr>
          <w:color w:val="232021"/>
          <w:sz w:val="20"/>
        </w:rPr>
        <w:t>ng band-limited data pulses. I</w:t>
      </w:r>
    </w:p>
    <w:p w:rsidR="00BB4384" w:rsidRDefault="00BB4384" w:rsidP="00F444DB">
      <w:pPr>
        <w:pStyle w:val="IEEEStdsParagraph"/>
      </w:pPr>
      <w:r>
        <w:t>… …</w:t>
      </w:r>
    </w:p>
    <w:p w:rsidR="00BB4384" w:rsidRDefault="00BB4384" w:rsidP="00F444DB">
      <w:pPr>
        <w:pStyle w:val="IEEEStdsParagraph"/>
      </w:pPr>
    </w:p>
    <w:p w:rsidR="00BB4384" w:rsidRDefault="00BB4384" w:rsidP="00F444DB">
      <w:pPr>
        <w:pStyle w:val="IEEEStdsParagraph"/>
        <w:rPr>
          <w:b/>
        </w:rPr>
      </w:pPr>
      <w:r w:rsidRPr="00BB4384">
        <w:rPr>
          <w:b/>
        </w:rPr>
        <w:t>19.7.3 Transmit PSD mask</w:t>
      </w:r>
    </w:p>
    <w:p w:rsidR="00BB4384" w:rsidRPr="00BB4384" w:rsidRDefault="00BB4384" w:rsidP="00BB4384">
      <w:pPr>
        <w:pStyle w:val="IEEEStdsParagraph"/>
      </w:pPr>
      <w:r w:rsidRPr="00BB4384">
        <w:t xml:space="preserve">The transmitter shall operate with a power spectral density contained by one of three PSD masks defined in Table19-9 and shown in Figure19-7. The permitted spectral density is defined in </w:t>
      </w:r>
      <w:proofErr w:type="spellStart"/>
      <w:r w:rsidRPr="00BB4384">
        <w:t>dBr</w:t>
      </w:r>
      <w:proofErr w:type="spellEnd"/>
      <w:r w:rsidRPr="00BB4384">
        <w:t xml:space="preserve"> relative to the maximum spectral density of the signal, and shall be made using a 1MHz resolution bandwidth and a 1 MHz video bandwidth. Additionally, the upper </w:t>
      </w:r>
      <w:r w:rsidR="00D26F39">
        <w:t>-</w:t>
      </w:r>
      <w:r w:rsidRPr="00BB4384">
        <w:t xml:space="preserve">10 </w:t>
      </w:r>
      <w:proofErr w:type="spellStart"/>
      <w:r w:rsidRPr="00BB4384">
        <w:t>dBr</w:t>
      </w:r>
      <w:proofErr w:type="spellEnd"/>
      <w:r w:rsidRPr="00BB4384">
        <w:t xml:space="preserve"> point of the transmitter PSD shall be at least 200 MHz above a nominal frequency, </w:t>
      </w:r>
      <w:proofErr w:type="spellStart"/>
      <w:r w:rsidRPr="00BB4384">
        <w:t>fn</w:t>
      </w:r>
      <w:proofErr w:type="spellEnd"/>
      <w:r w:rsidRPr="00BB4384">
        <w:t xml:space="preserve">, and the lower </w:t>
      </w:r>
      <w:r w:rsidR="00D26F39">
        <w:t>-</w:t>
      </w:r>
      <w:r w:rsidRPr="00BB4384">
        <w:t xml:space="preserve">10 </w:t>
      </w:r>
      <w:proofErr w:type="spellStart"/>
      <w:r w:rsidRPr="00BB4384">
        <w:t>dBr</w:t>
      </w:r>
      <w:proofErr w:type="spellEnd"/>
      <w:r w:rsidRPr="00BB4384">
        <w:t xml:space="preserve"> point shall be at most 200MHz below the same nominal frequency.</w:t>
      </w:r>
    </w:p>
    <w:p w:rsidR="00BB4384" w:rsidRDefault="00BB4384" w:rsidP="00BB4384">
      <w:pPr>
        <w:pStyle w:val="IEEEStdsParagraph"/>
        <w:jc w:val="center"/>
      </w:pPr>
      <w:r w:rsidRPr="00BB4384">
        <w:rPr>
          <w:noProof/>
        </w:rPr>
        <w:drawing>
          <wp:inline distT="0" distB="0" distL="0" distR="0" wp14:anchorId="54C11DC3" wp14:editId="1E54698B">
            <wp:extent cx="4114286" cy="4685714"/>
            <wp:effectExtent l="0" t="0" r="635" b="6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4286" cy="4685714"/>
                    </a:xfrm>
                    <a:prstGeom prst="rect">
                      <a:avLst/>
                    </a:prstGeom>
                  </pic:spPr>
                </pic:pic>
              </a:graphicData>
            </a:graphic>
          </wp:inline>
        </w:drawing>
      </w:r>
    </w:p>
    <w:p w:rsidR="00BB4384" w:rsidRDefault="00BB4384" w:rsidP="00BB4384">
      <w:pPr>
        <w:pStyle w:val="IEEEStdsParagraph"/>
        <w:jc w:val="center"/>
      </w:pPr>
    </w:p>
    <w:p w:rsidR="00BB4384" w:rsidRDefault="00BB4384" w:rsidP="00BB4384">
      <w:pPr>
        <w:pStyle w:val="IEEEStdsParagraph"/>
        <w:jc w:val="center"/>
      </w:pPr>
    </w:p>
    <w:p w:rsidR="00BB4384" w:rsidRDefault="00BB4384" w:rsidP="00BB4384">
      <w:pPr>
        <w:pStyle w:val="IEEEStdsParagraph"/>
        <w:jc w:val="center"/>
      </w:pPr>
      <w:r>
        <w:rPr>
          <w:rFonts w:hint="eastAsia"/>
          <w:noProof/>
        </w:rPr>
        <w:lastRenderedPageBreak/>
        <w:drawing>
          <wp:inline distT="0" distB="0" distL="0" distR="0">
            <wp:extent cx="4048731" cy="2589969"/>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450" cy="2600025"/>
                    </a:xfrm>
                    <a:prstGeom prst="rect">
                      <a:avLst/>
                    </a:prstGeom>
                    <a:noFill/>
                    <a:ln>
                      <a:noFill/>
                    </a:ln>
                  </pic:spPr>
                </pic:pic>
              </a:graphicData>
            </a:graphic>
          </wp:inline>
        </w:drawing>
      </w:r>
    </w:p>
    <w:p w:rsidR="00BB4384" w:rsidRDefault="00BB4384" w:rsidP="00BB4384">
      <w:pPr>
        <w:pStyle w:val="IEEEStdsParagraph"/>
        <w:jc w:val="center"/>
      </w:pPr>
      <w:r>
        <w:rPr>
          <w:rFonts w:hint="eastAsia"/>
          <w:noProof/>
        </w:rPr>
        <w:drawing>
          <wp:inline distT="0" distB="0" distL="0" distR="0">
            <wp:extent cx="4101774" cy="12457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3755" cy="1252411"/>
                    </a:xfrm>
                    <a:prstGeom prst="rect">
                      <a:avLst/>
                    </a:prstGeom>
                    <a:noFill/>
                    <a:ln>
                      <a:noFill/>
                    </a:ln>
                  </pic:spPr>
                </pic:pic>
              </a:graphicData>
            </a:graphic>
          </wp:inline>
        </w:drawing>
      </w:r>
    </w:p>
    <w:p w:rsidR="00312093" w:rsidRPr="00BB4384" w:rsidRDefault="00312093" w:rsidP="00BB4384">
      <w:pPr>
        <w:pStyle w:val="IEEEStdsParagraph"/>
        <w:jc w:val="center"/>
      </w:pPr>
      <w:r w:rsidRPr="00312093">
        <w:rPr>
          <w:rFonts w:hint="eastAsia"/>
          <w:noProof/>
        </w:rPr>
        <w:drawing>
          <wp:inline distT="0" distB="0" distL="0" distR="0">
            <wp:extent cx="4244340" cy="1691640"/>
            <wp:effectExtent l="19050" t="19050" r="22860" b="2286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4340" cy="1691640"/>
                    </a:xfrm>
                    <a:prstGeom prst="rect">
                      <a:avLst/>
                    </a:prstGeom>
                    <a:noFill/>
                    <a:ln w="12700">
                      <a:solidFill>
                        <a:srgbClr val="0070C0"/>
                      </a:solidFill>
                    </a:ln>
                  </pic:spPr>
                </pic:pic>
              </a:graphicData>
            </a:graphic>
          </wp:inline>
        </w:drawing>
      </w:r>
    </w:p>
    <w:sectPr w:rsidR="00312093" w:rsidRPr="00BB4384">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8D" w:rsidRDefault="00CB588D">
      <w:r>
        <w:separator/>
      </w:r>
    </w:p>
  </w:endnote>
  <w:endnote w:type="continuationSeparator" w:id="0">
    <w:p w:rsidR="00CB588D" w:rsidRDefault="00CB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EE025E" w:rsidRDefault="0079297D">
    <w:pPr>
      <w:pStyle w:val="a3"/>
      <w:widowControl w:val="0"/>
      <w:pBdr>
        <w:top w:val="single" w:sz="6" w:space="0" w:color="auto"/>
      </w:pBdr>
      <w:tabs>
        <w:tab w:val="clear" w:pos="4320"/>
        <w:tab w:val="clear" w:pos="8640"/>
        <w:tab w:val="center" w:pos="4680"/>
        <w:tab w:val="right" w:pos="9360"/>
      </w:tabs>
      <w:spacing w:before="240"/>
      <w:rPr>
        <w:lang w:val="fr-CH"/>
      </w:rPr>
    </w:pPr>
    <w:r w:rsidRPr="00EE025E">
      <w:rPr>
        <w:lang w:val="fr-CH"/>
      </w:rPr>
      <w:t>Submission</w:t>
    </w:r>
    <w:r w:rsidRPr="00EE025E">
      <w:rPr>
        <w:lang w:val="fr-CH"/>
      </w:rPr>
      <w:tab/>
      <w:t xml:space="preserve">Page </w:t>
    </w:r>
    <w:r>
      <w:pgNum/>
    </w:r>
    <w:r w:rsidRPr="00EE025E">
      <w:rPr>
        <w:lang w:val="fr-CH"/>
      </w:rPr>
      <w:tab/>
    </w:r>
    <w:r w:rsidR="005803F0">
      <w:fldChar w:fldCharType="begin"/>
    </w:r>
    <w:r w:rsidR="005803F0" w:rsidRPr="00EE025E">
      <w:rPr>
        <w:lang w:val="fr-CH"/>
      </w:rPr>
      <w:instrText xml:space="preserve"> AUTHOR  \* MERGEFORMAT </w:instrText>
    </w:r>
    <w:r w:rsidR="005803F0">
      <w:fldChar w:fldCharType="end"/>
    </w:r>
    <w:r w:rsidR="00D22AA4">
      <w:t>NICT and GIT Japan</w:t>
    </w:r>
    <w:r w:rsidR="00B3222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Pr="00EE025E" w:rsidRDefault="0079297D">
    <w:pPr>
      <w:pStyle w:val="a3"/>
      <w:widowControl w:val="0"/>
      <w:pBdr>
        <w:top w:val="single" w:sz="6" w:space="0" w:color="auto"/>
      </w:pBdr>
      <w:tabs>
        <w:tab w:val="clear" w:pos="4320"/>
        <w:tab w:val="clear" w:pos="8640"/>
        <w:tab w:val="center" w:pos="4680"/>
        <w:tab w:val="right" w:pos="9360"/>
      </w:tabs>
      <w:spacing w:before="240"/>
      <w:rPr>
        <w:rFonts w:ascii="Times" w:hAnsi="Times"/>
        <w:lang w:val="fr-CH"/>
      </w:rPr>
    </w:pPr>
    <w:r w:rsidRPr="00EE025E">
      <w:rPr>
        <w:lang w:val="fr-CH"/>
      </w:rPr>
      <w:t>Submission</w:t>
    </w:r>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8D" w:rsidRDefault="00CB588D">
      <w:r>
        <w:separator/>
      </w:r>
    </w:p>
  </w:footnote>
  <w:footnote w:type="continuationSeparator" w:id="0">
    <w:p w:rsidR="00CB588D" w:rsidRDefault="00CB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B322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proofErr w:type="gramStart"/>
    <w:r>
      <w:rPr>
        <w:b/>
        <w:sz w:val="28"/>
      </w:rPr>
      <w:t>July</w:t>
    </w:r>
    <w:r w:rsidR="006D4C1C">
      <w:rPr>
        <w:b/>
        <w:sz w:val="28"/>
      </w:rPr>
      <w:t>,</w:t>
    </w:r>
    <w:proofErr w:type="gramEnd"/>
    <w:r w:rsidR="006D4C1C">
      <w:rPr>
        <w:b/>
        <w:sz w:val="28"/>
      </w:rPr>
      <w:t xml:space="preserve"> 2018</w:t>
    </w:r>
    <w:r w:rsidR="0034241F">
      <w:rPr>
        <w:b/>
        <w:sz w:val="28"/>
      </w:rPr>
      <w:tab/>
      <w:t xml:space="preserve"> IEEE P802.</w:t>
    </w:r>
    <w:r w:rsidR="0034241F" w:rsidRPr="0034241F">
      <w:t xml:space="preserve"> </w:t>
    </w:r>
    <w:r w:rsidR="0034241F" w:rsidRPr="0034241F">
      <w:rPr>
        <w:b/>
        <w:sz w:val="28"/>
      </w:rPr>
      <w:t>15-18-</w:t>
    </w:r>
    <w:r w:rsidR="00471B04">
      <w:rPr>
        <w:b/>
        <w:sz w:val="28"/>
      </w:rPr>
      <w:t>0</w:t>
    </w:r>
    <w:r w:rsidR="00F8798E">
      <w:rPr>
        <w:rFonts w:hint="eastAsia"/>
        <w:b/>
        <w:sz w:val="28"/>
        <w:lang w:eastAsia="ja-JP"/>
      </w:rPr>
      <w:t>291</w:t>
    </w:r>
    <w:r w:rsidR="0034241F" w:rsidRPr="0034241F">
      <w:rPr>
        <w:b/>
        <w:sz w:val="28"/>
      </w:rPr>
      <w:t>-00-004z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A9" w:rsidRDefault="0079297D">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B7DA9"/>
    <w:multiLevelType w:val="multilevel"/>
    <w:tmpl w:val="1F9C282E"/>
    <w:numStyleLink w:val="Headings"/>
  </w:abstractNum>
  <w:abstractNum w:abstractNumId="9"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92971"/>
    <w:multiLevelType w:val="hybridMultilevel"/>
    <w:tmpl w:val="51F249BE"/>
    <w:lvl w:ilvl="0" w:tplc="D30612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F956C21"/>
    <w:multiLevelType w:val="multilevel"/>
    <w:tmpl w:val="9B06C7DA"/>
    <w:lvl w:ilvl="0">
      <w:start w:val="1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83613A9"/>
    <w:multiLevelType w:val="multilevel"/>
    <w:tmpl w:val="526429CE"/>
    <w:lvl w:ilvl="0">
      <w:start w:val="1"/>
      <w:numFmt w:val="decimal"/>
      <w:pStyle w:val="1"/>
      <w:lvlText w:val="%1"/>
      <w:lvlJc w:val="left"/>
      <w:pPr>
        <w:ind w:left="357" w:hanging="357"/>
      </w:pPr>
      <w:rPr>
        <w:rFonts w:hint="default"/>
      </w:rPr>
    </w:lvl>
    <w:lvl w:ilvl="1">
      <w:start w:val="1"/>
      <w:numFmt w:val="decimal"/>
      <w:lvlRestart w:val="0"/>
      <w:pStyle w:val="2"/>
      <w:lvlText w:val="%1.%2"/>
      <w:lvlJc w:val="left"/>
      <w:pPr>
        <w:ind w:left="357" w:hanging="357"/>
      </w:pPr>
      <w:rPr>
        <w:rFonts w:hint="default"/>
      </w:rPr>
    </w:lvl>
    <w:lvl w:ilvl="2">
      <w:start w:val="1"/>
      <w:numFmt w:val="decimal"/>
      <w:lvlRestart w:val="0"/>
      <w:pStyle w:val="3"/>
      <w:lvlText w:val="%1.%2.%3"/>
      <w:lvlJc w:val="left"/>
      <w:pPr>
        <w:ind w:left="357" w:hanging="357"/>
      </w:pPr>
      <w:rPr>
        <w:rFonts w:hint="default"/>
      </w:rPr>
    </w:lvl>
    <w:lvl w:ilvl="3">
      <w:start w:val="1"/>
      <w:numFmt w:val="decimal"/>
      <w:lvlRestart w:val="0"/>
      <w:pStyle w:val="4"/>
      <w:lvlText w:val="%1.%2.%3.%4"/>
      <w:lvlJc w:val="left"/>
      <w:pPr>
        <w:ind w:left="357" w:hanging="357"/>
      </w:pPr>
      <w:rPr>
        <w:rFonts w:hint="default"/>
      </w:rPr>
    </w:lvl>
    <w:lvl w:ilvl="4">
      <w:start w:val="1"/>
      <w:numFmt w:val="upperLetter"/>
      <w:lvlRestart w:val="0"/>
      <w:pStyle w:val="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
  </w:num>
  <w:num w:numId="3">
    <w:abstractNumId w:val="5"/>
  </w:num>
  <w:num w:numId="4">
    <w:abstractNumId w:val="7"/>
  </w:num>
  <w:num w:numId="5">
    <w:abstractNumId w:val="0"/>
  </w:num>
  <w:num w:numId="6">
    <w:abstractNumId w:val="8"/>
  </w:num>
  <w:num w:numId="7">
    <w:abstractNumId w:val="13"/>
  </w:num>
  <w:num w:numId="8">
    <w:abstractNumId w:val="3"/>
  </w:num>
  <w:num w:numId="9">
    <w:abstractNumId w:val="9"/>
  </w:num>
  <w:num w:numId="10">
    <w:abstractNumId w:val="2"/>
  </w:num>
  <w:num w:numId="11">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7"/>
    <w:rsid w:val="00041860"/>
    <w:rsid w:val="000671A9"/>
    <w:rsid w:val="000806AF"/>
    <w:rsid w:val="0008728D"/>
    <w:rsid w:val="000A3E4A"/>
    <w:rsid w:val="000B187A"/>
    <w:rsid w:val="000D6225"/>
    <w:rsid w:val="0012115A"/>
    <w:rsid w:val="00124AB5"/>
    <w:rsid w:val="00143112"/>
    <w:rsid w:val="0015034F"/>
    <w:rsid w:val="001513B7"/>
    <w:rsid w:val="0016327F"/>
    <w:rsid w:val="00187BD4"/>
    <w:rsid w:val="001C52EE"/>
    <w:rsid w:val="001F3F74"/>
    <w:rsid w:val="00200B94"/>
    <w:rsid w:val="00204495"/>
    <w:rsid w:val="00205ACC"/>
    <w:rsid w:val="00246EB2"/>
    <w:rsid w:val="0025237A"/>
    <w:rsid w:val="0025468D"/>
    <w:rsid w:val="002910CF"/>
    <w:rsid w:val="002E07E6"/>
    <w:rsid w:val="00312093"/>
    <w:rsid w:val="003166DB"/>
    <w:rsid w:val="0034241F"/>
    <w:rsid w:val="00351975"/>
    <w:rsid w:val="003A147C"/>
    <w:rsid w:val="003F0936"/>
    <w:rsid w:val="00414C8B"/>
    <w:rsid w:val="00471B04"/>
    <w:rsid w:val="004B5EE9"/>
    <w:rsid w:val="004B6C95"/>
    <w:rsid w:val="004C6307"/>
    <w:rsid w:val="004D669A"/>
    <w:rsid w:val="004F4FC1"/>
    <w:rsid w:val="00505979"/>
    <w:rsid w:val="00524A88"/>
    <w:rsid w:val="0055757C"/>
    <w:rsid w:val="005648C2"/>
    <w:rsid w:val="00573A4F"/>
    <w:rsid w:val="005803F0"/>
    <w:rsid w:val="00580794"/>
    <w:rsid w:val="00593768"/>
    <w:rsid w:val="005C73D2"/>
    <w:rsid w:val="005D0A39"/>
    <w:rsid w:val="005D475E"/>
    <w:rsid w:val="005E38C3"/>
    <w:rsid w:val="005E4AFF"/>
    <w:rsid w:val="005E5E73"/>
    <w:rsid w:val="00620D88"/>
    <w:rsid w:val="006A5286"/>
    <w:rsid w:val="006A535C"/>
    <w:rsid w:val="006D0FED"/>
    <w:rsid w:val="006D4C1C"/>
    <w:rsid w:val="006E2346"/>
    <w:rsid w:val="006E5DA6"/>
    <w:rsid w:val="007142AC"/>
    <w:rsid w:val="0073608E"/>
    <w:rsid w:val="0076107F"/>
    <w:rsid w:val="0079297D"/>
    <w:rsid w:val="007D2621"/>
    <w:rsid w:val="0080439C"/>
    <w:rsid w:val="00833A0D"/>
    <w:rsid w:val="00847575"/>
    <w:rsid w:val="00851423"/>
    <w:rsid w:val="00890E21"/>
    <w:rsid w:val="0089240C"/>
    <w:rsid w:val="00896E2B"/>
    <w:rsid w:val="008E13C8"/>
    <w:rsid w:val="008E598A"/>
    <w:rsid w:val="0093689F"/>
    <w:rsid w:val="00961926"/>
    <w:rsid w:val="0097724A"/>
    <w:rsid w:val="009934C6"/>
    <w:rsid w:val="009D03E8"/>
    <w:rsid w:val="009F1AE5"/>
    <w:rsid w:val="00A22970"/>
    <w:rsid w:val="00A30A01"/>
    <w:rsid w:val="00A56467"/>
    <w:rsid w:val="00A60F5F"/>
    <w:rsid w:val="00A62124"/>
    <w:rsid w:val="00A755E9"/>
    <w:rsid w:val="00A87358"/>
    <w:rsid w:val="00A93B1A"/>
    <w:rsid w:val="00AA20C6"/>
    <w:rsid w:val="00AC3123"/>
    <w:rsid w:val="00AD7B58"/>
    <w:rsid w:val="00AF744A"/>
    <w:rsid w:val="00B167F8"/>
    <w:rsid w:val="00B32221"/>
    <w:rsid w:val="00B37507"/>
    <w:rsid w:val="00B47E41"/>
    <w:rsid w:val="00BA2B23"/>
    <w:rsid w:val="00BB4384"/>
    <w:rsid w:val="00BE2863"/>
    <w:rsid w:val="00BF41F7"/>
    <w:rsid w:val="00C15CA3"/>
    <w:rsid w:val="00C31041"/>
    <w:rsid w:val="00C3568A"/>
    <w:rsid w:val="00C547A6"/>
    <w:rsid w:val="00C55476"/>
    <w:rsid w:val="00C57A27"/>
    <w:rsid w:val="00C62F2F"/>
    <w:rsid w:val="00C707E0"/>
    <w:rsid w:val="00C7356D"/>
    <w:rsid w:val="00C75263"/>
    <w:rsid w:val="00C83D57"/>
    <w:rsid w:val="00C84738"/>
    <w:rsid w:val="00CB588D"/>
    <w:rsid w:val="00CC50D6"/>
    <w:rsid w:val="00D22AA4"/>
    <w:rsid w:val="00D26F39"/>
    <w:rsid w:val="00D47BB8"/>
    <w:rsid w:val="00D9170C"/>
    <w:rsid w:val="00D95E33"/>
    <w:rsid w:val="00DA2BC5"/>
    <w:rsid w:val="00DA4522"/>
    <w:rsid w:val="00DE47C1"/>
    <w:rsid w:val="00DF20A8"/>
    <w:rsid w:val="00E01D95"/>
    <w:rsid w:val="00E05C44"/>
    <w:rsid w:val="00E13840"/>
    <w:rsid w:val="00E220B0"/>
    <w:rsid w:val="00E54D63"/>
    <w:rsid w:val="00EA0C4F"/>
    <w:rsid w:val="00ED203D"/>
    <w:rsid w:val="00EE025E"/>
    <w:rsid w:val="00EE4A79"/>
    <w:rsid w:val="00EE7637"/>
    <w:rsid w:val="00EF79E2"/>
    <w:rsid w:val="00F444DB"/>
    <w:rsid w:val="00F60329"/>
    <w:rsid w:val="00F63073"/>
    <w:rsid w:val="00F87100"/>
    <w:rsid w:val="00F8798E"/>
    <w:rsid w:val="00F922CC"/>
    <w:rsid w:val="00F939E0"/>
    <w:rsid w:val="00FD6A58"/>
    <w:rsid w:val="00FE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F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rPr>
  </w:style>
  <w:style w:type="paragraph" w:styleId="1">
    <w:name w:val="heading 1"/>
    <w:next w:val="a"/>
    <w:qFormat/>
    <w:rsid w:val="00187BD4"/>
    <w:pPr>
      <w:keepNext/>
      <w:numPr>
        <w:numId w:val="7"/>
      </w:numPr>
      <w:spacing w:before="240" w:after="60"/>
      <w:outlineLvl w:val="0"/>
    </w:pPr>
    <w:rPr>
      <w:rFonts w:ascii="Times New Roman" w:hAnsi="Times New Roman"/>
      <w:b/>
      <w:kern w:val="28"/>
      <w:sz w:val="32"/>
    </w:rPr>
  </w:style>
  <w:style w:type="paragraph" w:styleId="2">
    <w:name w:val="heading 2"/>
    <w:basedOn w:val="1"/>
    <w:next w:val="a"/>
    <w:qFormat/>
    <w:rsid w:val="00593768"/>
    <w:pPr>
      <w:numPr>
        <w:ilvl w:val="1"/>
      </w:numPr>
      <w:outlineLvl w:val="1"/>
    </w:pPr>
  </w:style>
  <w:style w:type="paragraph" w:styleId="3">
    <w:name w:val="heading 3"/>
    <w:basedOn w:val="2"/>
    <w:next w:val="a"/>
    <w:qFormat/>
    <w:rsid w:val="00187BD4"/>
    <w:pPr>
      <w:numPr>
        <w:ilvl w:val="2"/>
      </w:numPr>
      <w:tabs>
        <w:tab w:val="left" w:pos="792"/>
      </w:tabs>
      <w:outlineLvl w:val="2"/>
    </w:pPr>
    <w:rPr>
      <w:sz w:val="28"/>
    </w:rPr>
  </w:style>
  <w:style w:type="paragraph" w:styleId="4">
    <w:name w:val="heading 4"/>
    <w:basedOn w:val="3"/>
    <w:next w:val="a"/>
    <w:qFormat/>
    <w:rsid w:val="00593768"/>
    <w:pPr>
      <w:numPr>
        <w:ilvl w:val="3"/>
      </w:numPr>
      <w:outlineLvl w:val="3"/>
    </w:pPr>
    <w:rPr>
      <w:rFonts w:ascii="Times" w:hAnsi="Times"/>
      <w:sz w:val="24"/>
    </w:rPr>
  </w:style>
  <w:style w:type="paragraph" w:styleId="5">
    <w:name w:val="heading 5"/>
    <w:basedOn w:val="4"/>
    <w:next w:val="a"/>
    <w:qFormat/>
    <w:rsid w:val="00187BD4"/>
    <w:pPr>
      <w:numPr>
        <w:ilvl w:val="4"/>
      </w:numPr>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numbering" w:customStyle="1" w:styleId="Headings">
    <w:name w:val="Headings"/>
    <w:uiPriority w:val="99"/>
    <w:rsid w:val="00187BD4"/>
    <w:pPr>
      <w:numPr>
        <w:numId w:val="5"/>
      </w:numPr>
    </w:pPr>
  </w:style>
  <w:style w:type="paragraph" w:styleId="a8">
    <w:name w:val="Balloon Text"/>
    <w:basedOn w:val="a"/>
    <w:link w:val="a9"/>
    <w:uiPriority w:val="99"/>
    <w:semiHidden/>
    <w:unhideWhenUsed/>
    <w:rsid w:val="00CC50D6"/>
    <w:rPr>
      <w:rFonts w:ascii="Tahoma" w:hAnsi="Tahoma" w:cs="Tahoma"/>
      <w:sz w:val="16"/>
      <w:szCs w:val="16"/>
    </w:rPr>
  </w:style>
  <w:style w:type="character" w:customStyle="1" w:styleId="a9">
    <w:name w:val="吹き出し (文字)"/>
    <w:basedOn w:val="a0"/>
    <w:link w:val="a8"/>
    <w:uiPriority w:val="99"/>
    <w:semiHidden/>
    <w:rsid w:val="00CC50D6"/>
    <w:rPr>
      <w:rFonts w:ascii="Tahoma" w:hAnsi="Tahoma" w:cs="Tahoma"/>
      <w:sz w:val="16"/>
      <w:szCs w:val="16"/>
    </w:rPr>
  </w:style>
  <w:style w:type="paragraph" w:styleId="Web">
    <w:name w:val="Normal (Web)"/>
    <w:basedOn w:val="a"/>
    <w:uiPriority w:val="99"/>
    <w:unhideWhenUsed/>
    <w:rsid w:val="00A755E9"/>
    <w:pPr>
      <w:spacing w:before="100" w:beforeAutospacing="1" w:after="100" w:afterAutospacing="1"/>
    </w:pPr>
    <w:rPr>
      <w:szCs w:val="24"/>
      <w:lang w:val="de-AT" w:eastAsia="de-AT"/>
    </w:rPr>
  </w:style>
  <w:style w:type="table" w:styleId="aa">
    <w:name w:val="Table Grid"/>
    <w:basedOn w:val="a1"/>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nhideWhenUsed/>
    <w:qFormat/>
    <w:rsid w:val="00C15CA3"/>
    <w:pPr>
      <w:spacing w:after="200"/>
    </w:pPr>
    <w:rPr>
      <w:i/>
      <w:iCs/>
      <w:color w:val="1F497D" w:themeColor="text2"/>
      <w:sz w:val="18"/>
      <w:szCs w:val="18"/>
      <w:lang w:val="en-GB"/>
    </w:rPr>
  </w:style>
  <w:style w:type="character" w:styleId="ac">
    <w:name w:val="annotation reference"/>
    <w:basedOn w:val="a0"/>
    <w:unhideWhenUsed/>
    <w:rsid w:val="00C15CA3"/>
    <w:rPr>
      <w:sz w:val="16"/>
      <w:szCs w:val="16"/>
    </w:rPr>
  </w:style>
  <w:style w:type="paragraph" w:styleId="ad">
    <w:name w:val="annotation text"/>
    <w:basedOn w:val="a"/>
    <w:link w:val="ae"/>
    <w:unhideWhenUsed/>
    <w:rsid w:val="00C15CA3"/>
    <w:rPr>
      <w:sz w:val="20"/>
      <w:lang w:val="en-GB"/>
    </w:rPr>
  </w:style>
  <w:style w:type="character" w:customStyle="1" w:styleId="ae">
    <w:name w:val="コメント文字列 (文字)"/>
    <w:basedOn w:val="a0"/>
    <w:link w:val="ad"/>
    <w:rsid w:val="00C15CA3"/>
    <w:rPr>
      <w:rFonts w:ascii="Times New Roman" w:hAnsi="Times New Roman"/>
      <w:lang w:val="en-GB"/>
    </w:rPr>
  </w:style>
  <w:style w:type="paragraph" w:styleId="af">
    <w:name w:val="List Paragraph"/>
    <w:basedOn w:val="a"/>
    <w:uiPriority w:val="34"/>
    <w:qFormat/>
    <w:rsid w:val="00593768"/>
    <w:pPr>
      <w:ind w:left="720"/>
      <w:contextualSpacing/>
    </w:pPr>
  </w:style>
  <w:style w:type="paragraph" w:customStyle="1" w:styleId="ReqTxt">
    <w:name w:val="ReqTxt"/>
    <w:basedOn w:val="a"/>
    <w:link w:val="ReqTxtChar"/>
    <w:qFormat/>
    <w:rsid w:val="00C3568A"/>
    <w:pPr>
      <w:spacing w:before="100" w:after="80" w:line="250" w:lineRule="exact"/>
    </w:pPr>
    <w:rPr>
      <w:rFonts w:ascii="Arial" w:hAnsi="Arial" w:cs="Arial"/>
      <w:sz w:val="20"/>
    </w:rPr>
  </w:style>
  <w:style w:type="character" w:customStyle="1" w:styleId="ReqTxtChar">
    <w:name w:val="ReqTxt Char"/>
    <w:basedOn w:val="a0"/>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1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af0">
    <w:name w:val="annotation subject"/>
    <w:basedOn w:val="ad"/>
    <w:next w:val="ad"/>
    <w:link w:val="af1"/>
    <w:uiPriority w:val="99"/>
    <w:semiHidden/>
    <w:unhideWhenUsed/>
    <w:rsid w:val="00F444DB"/>
    <w:rPr>
      <w:b/>
      <w:bCs/>
      <w:lang w:val="en-US"/>
    </w:rPr>
  </w:style>
  <w:style w:type="character" w:customStyle="1" w:styleId="af1">
    <w:name w:val="コメント内容 (文字)"/>
    <w:basedOn w:val="ae"/>
    <w:link w:val="af0"/>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a0"/>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D50E-E2C3-4EF9-9493-F946BD84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729</Words>
  <Characters>4159</Characters>
  <Application>Microsoft Office Word</Application>
  <DocSecurity>0</DocSecurity>
  <Lines>34</Lines>
  <Paragraphs>9</Paragraphs>
  <ScaleCrop>false</ScaleCrop>
  <HeadingPairs>
    <vt:vector size="8" baseType="variant">
      <vt:variant>
        <vt:lpstr>タイトル</vt:lpstr>
      </vt:variant>
      <vt:variant>
        <vt:i4>1</vt:i4>
      </vt:variant>
      <vt:variant>
        <vt:lpstr>Titre</vt:lpstr>
      </vt:variant>
      <vt:variant>
        <vt:i4>1</vt:i4>
      </vt:variant>
      <vt:variant>
        <vt:lpstr>Titres</vt:lpstr>
      </vt:variant>
      <vt:variant>
        <vt:i4>16</vt:i4>
      </vt:variant>
      <vt:variant>
        <vt:lpstr>Title</vt:lpstr>
      </vt:variant>
      <vt:variant>
        <vt:i4>1</vt:i4>
      </vt:variant>
    </vt:vector>
  </HeadingPairs>
  <TitlesOfParts>
    <vt:vector size="19" baseType="lpstr">
      <vt: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transmitter specification</vt:lpstr>
      <vt:lpstr>        Pulse shape</vt:lpstr>
      <vt:lpstr>    LRP UWB receiver specification</vt:lpstr>
      <vt:lpstr>    LRP UWB Turnaround Requirements</vt:lpstr>
      <vt:lpstr>        Rx-to-Tx Loopback Time</vt:lpstr>
      <vt:lpstr>        Tx-to-Rx turnaround time</vt:lpstr>
      <vt:lpstr>    LRP UWB receiver specification</vt:lpstr>
      <vt:lpstr/>
    </vt:vector>
  </TitlesOfParts>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2018-06-21T08:38:00Z</dcterms:created>
  <dcterms:modified xsi:type="dcterms:W3CDTF">2018-07-06T14:06:00Z</dcterms:modified>
</cp:coreProperties>
</file>