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03EF" w14:textId="0BBF9E05" w:rsidR="00D34515" w:rsidRDefault="00D34515" w:rsidP="00D34515">
      <w:pPr>
        <w:jc w:val="center"/>
        <w:rPr>
          <w:b/>
          <w:sz w:val="28"/>
        </w:rPr>
      </w:pPr>
      <w:r>
        <w:rPr>
          <w:b/>
          <w:sz w:val="28"/>
        </w:rP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90"/>
      </w:tblGrid>
      <w:tr w:rsidR="00D34515" w14:paraId="40AFEE8F" w14:textId="77777777" w:rsidTr="003F346C">
        <w:tc>
          <w:tcPr>
            <w:tcW w:w="1260" w:type="dxa"/>
            <w:tcBorders>
              <w:top w:val="single" w:sz="6" w:space="0" w:color="auto"/>
            </w:tcBorders>
          </w:tcPr>
          <w:p w14:paraId="6AAF6C88" w14:textId="77777777" w:rsidR="00D34515" w:rsidRDefault="00D34515" w:rsidP="00931615">
            <w:pPr>
              <w:pStyle w:val="covertext"/>
            </w:pPr>
            <w:r>
              <w:t>Project</w:t>
            </w:r>
          </w:p>
        </w:tc>
        <w:tc>
          <w:tcPr>
            <w:tcW w:w="6912" w:type="dxa"/>
            <w:gridSpan w:val="3"/>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3F346C">
        <w:tc>
          <w:tcPr>
            <w:tcW w:w="1260" w:type="dxa"/>
            <w:tcBorders>
              <w:top w:val="single" w:sz="6" w:space="0" w:color="auto"/>
            </w:tcBorders>
          </w:tcPr>
          <w:p w14:paraId="385FABA8" w14:textId="77777777" w:rsidR="00D34515" w:rsidRDefault="00D34515" w:rsidP="00931615">
            <w:pPr>
              <w:pStyle w:val="covertext"/>
            </w:pPr>
            <w:r>
              <w:t>Title</w:t>
            </w:r>
          </w:p>
        </w:tc>
        <w:tc>
          <w:tcPr>
            <w:tcW w:w="6912" w:type="dxa"/>
            <w:gridSpan w:val="3"/>
            <w:tcBorders>
              <w:top w:val="single" w:sz="6" w:space="0" w:color="auto"/>
            </w:tcBorders>
          </w:tcPr>
          <w:p w14:paraId="49491F5A" w14:textId="77777777" w:rsidR="00D34515" w:rsidRDefault="00D34515" w:rsidP="00931615">
            <w:pPr>
              <w:pStyle w:val="covertext"/>
            </w:pPr>
            <w:r>
              <w:rPr>
                <w:b/>
                <w:sz w:val="28"/>
              </w:rPr>
              <w:fldChar w:fldCharType="begin"/>
            </w:r>
            <w:r>
              <w:rPr>
                <w:b/>
                <w:sz w:val="28"/>
              </w:rPr>
              <w:instrText xml:space="preserve"> TITLE  \* MERGEFORMAT </w:instrText>
            </w:r>
            <w:r>
              <w:rPr>
                <w:b/>
                <w:sz w:val="28"/>
              </w:rPr>
              <w:fldChar w:fldCharType="end"/>
            </w:r>
          </w:p>
        </w:tc>
      </w:tr>
      <w:tr w:rsidR="00D34515" w14:paraId="35FFC1A8" w14:textId="77777777" w:rsidTr="003F346C">
        <w:tc>
          <w:tcPr>
            <w:tcW w:w="1260" w:type="dxa"/>
            <w:tcBorders>
              <w:top w:val="single" w:sz="6" w:space="0" w:color="auto"/>
            </w:tcBorders>
          </w:tcPr>
          <w:p w14:paraId="03ABEF7B" w14:textId="77777777" w:rsidR="00D34515" w:rsidRDefault="00D34515" w:rsidP="00931615">
            <w:pPr>
              <w:pStyle w:val="covertext"/>
            </w:pPr>
            <w:r>
              <w:t>Date Submitted</w:t>
            </w:r>
          </w:p>
        </w:tc>
        <w:tc>
          <w:tcPr>
            <w:tcW w:w="6912" w:type="dxa"/>
            <w:gridSpan w:val="3"/>
            <w:tcBorders>
              <w:top w:val="single" w:sz="6" w:space="0" w:color="auto"/>
            </w:tcBorders>
          </w:tcPr>
          <w:p w14:paraId="760EEF50" w14:textId="02B028A5" w:rsidR="00D34515" w:rsidRDefault="00D34515" w:rsidP="00673401">
            <w:pPr>
              <w:pStyle w:val="covertext"/>
            </w:pPr>
            <w:r>
              <w:t>[</w:t>
            </w:r>
            <w:r w:rsidR="00673401">
              <w:t>18 January 2018</w:t>
            </w:r>
            <w:r>
              <w:t>]</w:t>
            </w:r>
          </w:p>
        </w:tc>
      </w:tr>
      <w:tr w:rsidR="00D34515" w14:paraId="20F4A543" w14:textId="77777777" w:rsidTr="003F346C">
        <w:trPr>
          <w:gridAfter w:val="1"/>
          <w:wAfter w:w="90" w:type="dxa"/>
        </w:trPr>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3402" w:type="dxa"/>
            <w:tcBorders>
              <w:top w:val="single" w:sz="4" w:space="0" w:color="auto"/>
              <w:bottom w:val="single" w:sz="4" w:space="0" w:color="auto"/>
            </w:tcBorders>
          </w:tcPr>
          <w:p w14:paraId="4F8A9D96" w14:textId="03378AE0" w:rsidR="00D34515" w:rsidRDefault="00D34515" w:rsidP="003F346C">
            <w:pPr>
              <w:pStyle w:val="covertext"/>
              <w:spacing w:before="0" w:after="0"/>
            </w:pPr>
            <w:r>
              <w:t>[</w:t>
            </w:r>
            <w:r w:rsidR="003F346C">
              <w:rPr>
                <w:noProof/>
              </w:rPr>
              <w:t>Matt Gillmore (Itron)</w:t>
            </w:r>
            <w:r>
              <w:t>]</w:t>
            </w:r>
            <w:r>
              <w:br/>
              <w:t>[</w:t>
            </w:r>
            <w:proofErr w:type="spellStart"/>
            <w:r w:rsidR="002C4028">
              <w:fldChar w:fldCharType="begin"/>
            </w:r>
            <w:r w:rsidR="002C4028">
              <w:instrText xml:space="preserve"> AUTHOR  \* MERGEFORMAT </w:instrText>
            </w:r>
            <w:r w:rsidR="002C4028">
              <w:fldChar w:fldCharType="separate"/>
            </w:r>
            <w:r w:rsidR="003F346C">
              <w:rPr>
                <w:noProof/>
              </w:rPr>
              <w:t>Kunal</w:t>
            </w:r>
            <w:proofErr w:type="spellEnd"/>
            <w:r w:rsidR="003F346C">
              <w:rPr>
                <w:noProof/>
              </w:rPr>
              <w:t xml:space="preserve"> Shah</w:t>
            </w:r>
            <w:r w:rsidR="002C4028">
              <w:rPr>
                <w:noProof/>
              </w:rPr>
              <w:fldChar w:fldCharType="end"/>
            </w:r>
            <w:r w:rsidR="00AB5836">
              <w:rPr>
                <w:noProof/>
              </w:rPr>
              <w:t xml:space="preserve"> (Itron)</w:t>
            </w:r>
            <w:r>
              <w:fldChar w:fldCharType="begin"/>
            </w:r>
            <w:r>
              <w:instrText xml:space="preserve"> DOCPROPERTY "Company"  \* MERGEFORMAT </w:instrText>
            </w:r>
            <w:r>
              <w:fldChar w:fldCharType="end"/>
            </w:r>
            <w:r w:rsidR="003F346C">
              <w:t>]</w:t>
            </w:r>
            <w:r w:rsidR="003F346C">
              <w:br/>
            </w:r>
          </w:p>
        </w:tc>
        <w:tc>
          <w:tcPr>
            <w:tcW w:w="3420" w:type="dxa"/>
            <w:tcBorders>
              <w:top w:val="single" w:sz="4" w:space="0" w:color="auto"/>
              <w:bottom w:val="single" w:sz="4" w:space="0" w:color="auto"/>
            </w:tcBorders>
          </w:tcPr>
          <w:p w14:paraId="71F83C5A" w14:textId="51EF5501" w:rsidR="003F346C" w:rsidRDefault="008329FB" w:rsidP="003F346C">
            <w:pPr>
              <w:pStyle w:val="covertext"/>
              <w:tabs>
                <w:tab w:val="left" w:pos="1152"/>
              </w:tabs>
              <w:spacing w:before="0" w:after="0"/>
              <w:ind w:right="-668"/>
            </w:pPr>
            <w:r>
              <w:t>E-mail:[</w:t>
            </w:r>
            <w:r w:rsidR="003F346C">
              <w:rPr>
                <w:noProof/>
              </w:rPr>
              <w:t xml:space="preserve"> Matthew.Gillmore @ itron.com</w:t>
            </w:r>
            <w:r w:rsidR="00AB5836">
              <w:rPr>
                <w:noProof/>
              </w:rPr>
              <w:t>]</w:t>
            </w:r>
            <w:r w:rsidR="003F346C" w:rsidRPr="008329FB">
              <w:t xml:space="preserve"> </w:t>
            </w:r>
          </w:p>
          <w:p w14:paraId="13CC5564" w14:textId="4F7EE3A0" w:rsidR="00D34515" w:rsidRDefault="00AB5836" w:rsidP="003F346C">
            <w:pPr>
              <w:pStyle w:val="covertext"/>
              <w:tabs>
                <w:tab w:val="left" w:pos="1152"/>
              </w:tabs>
              <w:spacing w:before="0" w:after="0"/>
              <w:ind w:right="-668"/>
              <w:rPr>
                <w:sz w:val="18"/>
              </w:rPr>
            </w:pPr>
            <w:r>
              <w:t>[</w:t>
            </w:r>
            <w:proofErr w:type="spellStart"/>
            <w:r>
              <w:t>kshah</w:t>
            </w:r>
            <w:proofErr w:type="spellEnd"/>
            <w:r>
              <w:t xml:space="preserve"> @itron</w:t>
            </w:r>
            <w:r w:rsidR="008329FB" w:rsidRPr="008329FB">
              <w:t>.com</w:t>
            </w:r>
            <w:r w:rsidR="00D34515" w:rsidRPr="008329FB">
              <w:t xml:space="preserve"> </w:t>
            </w:r>
            <w:r w:rsidR="00D34515">
              <w:t>]</w:t>
            </w:r>
          </w:p>
        </w:tc>
      </w:tr>
      <w:tr w:rsidR="00D34515" w14:paraId="124086FB" w14:textId="77777777" w:rsidTr="003F346C">
        <w:tc>
          <w:tcPr>
            <w:tcW w:w="1260" w:type="dxa"/>
            <w:tcBorders>
              <w:top w:val="single" w:sz="6" w:space="0" w:color="auto"/>
            </w:tcBorders>
          </w:tcPr>
          <w:p w14:paraId="6474BD33" w14:textId="1B7D81D5" w:rsidR="00D34515" w:rsidRDefault="00D34515" w:rsidP="00931615">
            <w:pPr>
              <w:pStyle w:val="covertext"/>
            </w:pPr>
            <w:r>
              <w:t>Re:</w:t>
            </w:r>
          </w:p>
        </w:tc>
        <w:tc>
          <w:tcPr>
            <w:tcW w:w="6912" w:type="dxa"/>
            <w:gridSpan w:val="3"/>
            <w:tcBorders>
              <w:top w:val="single" w:sz="6" w:space="0" w:color="auto"/>
            </w:tcBorders>
          </w:tcPr>
          <w:p w14:paraId="6D8B40C4" w14:textId="77777777" w:rsidR="00D34515" w:rsidRDefault="00D34515" w:rsidP="00931615">
            <w:pPr>
              <w:pStyle w:val="covertext"/>
            </w:pPr>
          </w:p>
        </w:tc>
      </w:tr>
      <w:tr w:rsidR="00D34515" w14:paraId="7AB35883" w14:textId="77777777" w:rsidTr="003F346C">
        <w:trPr>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6912" w:type="dxa"/>
            <w:gridSpan w:val="3"/>
            <w:tcBorders>
              <w:top w:val="single" w:sz="6" w:space="0" w:color="auto"/>
            </w:tcBorders>
          </w:tcPr>
          <w:p w14:paraId="6931850B" w14:textId="0AD27ADA" w:rsidR="00D34515" w:rsidRDefault="003F346C" w:rsidP="00931615">
            <w:pPr>
              <w:pStyle w:val="covertext"/>
            </w:pPr>
            <w:r>
              <w:t>[CSD for 802.</w:t>
            </w:r>
            <w:r w:rsidR="000F12F7">
              <w:t>15.4x</w:t>
            </w:r>
            <w:r w:rsidR="00D34515">
              <w:t xml:space="preserve"> </w:t>
            </w:r>
            <w:r>
              <w:t>FAN Enhancements</w:t>
            </w:r>
            <w:r w:rsidR="00D34515">
              <w:t>]</w:t>
            </w:r>
          </w:p>
          <w:p w14:paraId="2BC9E06C" w14:textId="77777777" w:rsidR="00D34515" w:rsidRDefault="00D34515" w:rsidP="00931615">
            <w:pPr>
              <w:pStyle w:val="covertext"/>
            </w:pPr>
          </w:p>
        </w:tc>
      </w:tr>
      <w:tr w:rsidR="00D34515" w14:paraId="0B8FC409" w14:textId="77777777" w:rsidTr="003F346C">
        <w:tc>
          <w:tcPr>
            <w:tcW w:w="1260" w:type="dxa"/>
            <w:tcBorders>
              <w:top w:val="single" w:sz="6" w:space="0" w:color="auto"/>
            </w:tcBorders>
          </w:tcPr>
          <w:p w14:paraId="4D578C28" w14:textId="77777777" w:rsidR="00D34515" w:rsidRDefault="00D34515" w:rsidP="00931615">
            <w:pPr>
              <w:pStyle w:val="covertext"/>
            </w:pPr>
            <w:r>
              <w:t>Purpose</w:t>
            </w:r>
          </w:p>
        </w:tc>
        <w:tc>
          <w:tcPr>
            <w:tcW w:w="6912" w:type="dxa"/>
            <w:gridSpan w:val="3"/>
            <w:tcBorders>
              <w:top w:val="single" w:sz="6" w:space="0" w:color="auto"/>
            </w:tcBorders>
          </w:tcPr>
          <w:p w14:paraId="32A8AA08" w14:textId="1F78109F" w:rsidR="00D34515" w:rsidRDefault="00D34515" w:rsidP="00D34515">
            <w:pPr>
              <w:pStyle w:val="covertext"/>
            </w:pPr>
            <w:r>
              <w:t>[CSD for 802.15.</w:t>
            </w:r>
            <w:r w:rsidR="00AB5836">
              <w:t xml:space="preserve"> 4x</w:t>
            </w:r>
            <w:r w:rsidR="003F346C">
              <w:t xml:space="preserve"> FAN Enhancements</w:t>
            </w:r>
            <w:r>
              <w:t>]</w:t>
            </w:r>
          </w:p>
        </w:tc>
      </w:tr>
      <w:tr w:rsidR="00D34515" w14:paraId="6D4DB055" w14:textId="77777777" w:rsidTr="003F346C">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6912" w:type="dxa"/>
            <w:gridSpan w:val="3"/>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3F346C">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6912" w:type="dxa"/>
            <w:gridSpan w:val="3"/>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795CBD19" w14:textId="77777777" w:rsidR="00D34515" w:rsidRDefault="00D34515">
      <w:pPr>
        <w:rPr>
          <w:b/>
          <w:kern w:val="1"/>
          <w:szCs w:val="24"/>
          <w:lang w:eastAsia="zh-CN"/>
        </w:rPr>
      </w:pPr>
      <w:r>
        <w:rPr>
          <w:szCs w:val="24"/>
        </w:rPr>
        <w:br w:type="page"/>
      </w:r>
    </w:p>
    <w:p w14:paraId="160E1950" w14:textId="27DA362A" w:rsidR="00FD0CA2" w:rsidRPr="00455E21" w:rsidRDefault="00FD0CA2" w:rsidP="00FD0CA2">
      <w:pPr>
        <w:pStyle w:val="Heading"/>
        <w:rPr>
          <w:sz w:val="24"/>
          <w:szCs w:val="24"/>
        </w:rPr>
      </w:pPr>
      <w:r w:rsidRPr="00455E21">
        <w:rPr>
          <w:sz w:val="24"/>
          <w:szCs w:val="24"/>
        </w:rPr>
        <w:lastRenderedPageBreak/>
        <w:t>CRITERIA FOR STANDARDS DEVELOPMENT (CSD)</w:t>
      </w:r>
    </w:p>
    <w:p w14:paraId="35EDCA1C" w14:textId="291AA378" w:rsidR="00FD0CA2" w:rsidRPr="00455E21" w:rsidRDefault="00FD0CA2" w:rsidP="00FD0CA2">
      <w:pPr>
        <w:jc w:val="center"/>
        <w:rPr>
          <w:szCs w:val="24"/>
        </w:rPr>
      </w:pPr>
      <w:r w:rsidRPr="00455E21">
        <w:rPr>
          <w:szCs w:val="24"/>
        </w:rPr>
        <w:t>Based on IEEE 802 LMS</w:t>
      </w:r>
      <w:r w:rsidR="00F5589E">
        <w:rPr>
          <w:szCs w:val="24"/>
        </w:rPr>
        <w:t>C Operations Manuals approved 13 November 2015</w:t>
      </w:r>
    </w:p>
    <w:p w14:paraId="7E6F68EA" w14:textId="48362CDF" w:rsidR="00FD0CA2" w:rsidRPr="00455E21" w:rsidRDefault="00FD0CA2" w:rsidP="00FD0CA2">
      <w:pPr>
        <w:jc w:val="center"/>
        <w:rPr>
          <w:szCs w:val="24"/>
        </w:rPr>
      </w:pPr>
      <w:r w:rsidRPr="00455E21">
        <w:rPr>
          <w:szCs w:val="24"/>
        </w:rPr>
        <w:t xml:space="preserve">Last edited </w:t>
      </w:r>
      <w:r w:rsidR="00F5589E">
        <w:rPr>
          <w:szCs w:val="24"/>
        </w:rPr>
        <w:t>3</w:t>
      </w:r>
      <w:r w:rsidRPr="00455E21">
        <w:rPr>
          <w:szCs w:val="24"/>
        </w:rPr>
        <w:t xml:space="preserve"> </w:t>
      </w:r>
      <w:bookmarkStart w:id="0" w:name="RevisionDate"/>
      <w:r w:rsidR="00F5589E">
        <w:rPr>
          <w:szCs w:val="24"/>
        </w:rPr>
        <w:t xml:space="preserve">December </w:t>
      </w:r>
      <w:r w:rsidRPr="00455E21">
        <w:rPr>
          <w:szCs w:val="24"/>
        </w:rPr>
        <w:t>201</w:t>
      </w:r>
      <w:bookmarkEnd w:id="0"/>
      <w:r w:rsidR="00F5589E">
        <w:rPr>
          <w:szCs w:val="24"/>
        </w:rPr>
        <w:t>5</w:t>
      </w:r>
      <w:r w:rsidRPr="00455E21">
        <w:rPr>
          <w:szCs w:val="24"/>
        </w:rPr>
        <w:t xml:space="preserve"> </w:t>
      </w:r>
    </w:p>
    <w:p w14:paraId="1318C38F" w14:textId="77777777" w:rsidR="00FD0CA2" w:rsidRPr="00455E21" w:rsidRDefault="00FD0CA2" w:rsidP="00FD0CA2">
      <w:pPr>
        <w:jc w:val="center"/>
        <w:rPr>
          <w:szCs w:val="24"/>
        </w:rPr>
      </w:pPr>
    </w:p>
    <w:p w14:paraId="381303D1" w14:textId="53E0F8F5" w:rsidR="00FD0CA2" w:rsidRPr="00455E21" w:rsidRDefault="00A02404" w:rsidP="00FD0CA2">
      <w:pPr>
        <w:ind w:left="720" w:right="720"/>
        <w:jc w:val="center"/>
        <w:rPr>
          <w:b/>
          <w:szCs w:val="24"/>
          <w:lang w:eastAsia="ja-JP"/>
        </w:rPr>
      </w:pPr>
      <w:r>
        <w:rPr>
          <w:b/>
          <w:szCs w:val="24"/>
          <w:lang w:eastAsia="ja-JP"/>
        </w:rPr>
        <w:t xml:space="preserve">Title of </w:t>
      </w:r>
      <w:r w:rsidR="00FD0CA2">
        <w:rPr>
          <w:b/>
          <w:szCs w:val="24"/>
          <w:lang w:eastAsia="ja-JP"/>
        </w:rPr>
        <w:t>Amendment</w:t>
      </w:r>
      <w:r w:rsidR="00FD0CA2" w:rsidRPr="00455E21">
        <w:rPr>
          <w:b/>
          <w:szCs w:val="24"/>
          <w:lang w:eastAsia="ja-JP"/>
        </w:rPr>
        <w:t xml:space="preserve"> to IEEE </w:t>
      </w:r>
      <w:proofErr w:type="spellStart"/>
      <w:proofErr w:type="gramStart"/>
      <w:r w:rsidR="00F5589E">
        <w:rPr>
          <w:b/>
          <w:szCs w:val="24"/>
          <w:lang w:eastAsia="ja-JP"/>
        </w:rPr>
        <w:t>Std</w:t>
      </w:r>
      <w:proofErr w:type="spellEnd"/>
      <w:proofErr w:type="gramEnd"/>
      <w:r w:rsidR="00F5589E">
        <w:rPr>
          <w:b/>
          <w:szCs w:val="24"/>
          <w:lang w:eastAsia="ja-JP"/>
        </w:rPr>
        <w:t xml:space="preserve"> </w:t>
      </w:r>
      <w:r w:rsidR="00FD0CA2">
        <w:rPr>
          <w:b/>
          <w:szCs w:val="24"/>
          <w:lang w:eastAsia="ja-JP"/>
        </w:rPr>
        <w:t>802.15.4</w:t>
      </w:r>
      <w:r w:rsidR="00FD0CA2" w:rsidRPr="00455E21">
        <w:rPr>
          <w:b/>
          <w:szCs w:val="24"/>
          <w:lang w:eastAsia="ja-JP"/>
        </w:rPr>
        <w:t xml:space="preserve">: </w:t>
      </w:r>
    </w:p>
    <w:p w14:paraId="5243F2D6" w14:textId="01B90332" w:rsidR="00FD0CA2" w:rsidRPr="00A02404" w:rsidRDefault="00AA023D" w:rsidP="00FD0CA2">
      <w:pPr>
        <w:jc w:val="center"/>
        <w:rPr>
          <w:b/>
          <w:i/>
          <w:sz w:val="28"/>
          <w:szCs w:val="28"/>
        </w:rPr>
      </w:pPr>
      <w:r w:rsidRPr="00A02404">
        <w:rPr>
          <w:b/>
          <w:color w:val="FF0000"/>
          <w:sz w:val="28"/>
          <w:szCs w:val="28"/>
        </w:rPr>
        <w:t>Amendment for Field Area Network Enhancements (FANE) supporting up to 2.4Mb/s data rates and channel models for new applications</w:t>
      </w:r>
    </w:p>
    <w:p w14:paraId="13C7DC8D" w14:textId="77777777" w:rsidR="00FD0CA2" w:rsidRPr="00455E21" w:rsidRDefault="00FD0CA2" w:rsidP="00FD0CA2">
      <w:pPr>
        <w:pStyle w:val="Heading1"/>
        <w:numPr>
          <w:ilvl w:val="0"/>
          <w:numId w:val="1"/>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7564DAC5" w14:textId="77777777" w:rsidR="00FD0CA2" w:rsidRPr="00455E21" w:rsidRDefault="00FD0CA2" w:rsidP="00FD0CA2">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Pr="00455E21">
        <w:rPr>
          <w:sz w:val="23"/>
          <w:szCs w:val="23"/>
        </w:rPr>
        <w:fldChar w:fldCharType="begin"/>
      </w:r>
      <w:r w:rsidRPr="00455E21">
        <w:rPr>
          <w:sz w:val="23"/>
          <w:szCs w:val="23"/>
        </w:rPr>
        <w:instrText xml:space="preserve"> REF __RefHeading__5867_1944447809 \w \h  \* MERGEFORMAT </w:instrText>
      </w:r>
      <w:r w:rsidRPr="00455E21">
        <w:rPr>
          <w:sz w:val="23"/>
          <w:szCs w:val="23"/>
        </w:rPr>
      </w:r>
      <w:r w:rsidRPr="00455E21">
        <w:rPr>
          <w:sz w:val="23"/>
          <w:szCs w:val="23"/>
        </w:rPr>
        <w:fldChar w:fldCharType="separate"/>
      </w:r>
      <w:r w:rsidRPr="00FD0CA2">
        <w:rPr>
          <w:color w:val="auto"/>
          <w:sz w:val="23"/>
          <w:szCs w:val="23"/>
        </w:rPr>
        <w:t>1.1</w:t>
      </w:r>
      <w:r w:rsidRPr="00455E21">
        <w:rPr>
          <w:sz w:val="23"/>
          <w:szCs w:val="23"/>
        </w:rPr>
        <w:fldChar w:fldCharType="end"/>
      </w:r>
      <w:r w:rsidRPr="00455E21">
        <w:rPr>
          <w:color w:val="auto"/>
          <w:sz w:val="23"/>
          <w:szCs w:val="23"/>
        </w:rPr>
        <w:t xml:space="preserve">, and the 5C requirements, </w:t>
      </w:r>
      <w:r w:rsidRPr="00455E21">
        <w:rPr>
          <w:sz w:val="23"/>
          <w:szCs w:val="23"/>
        </w:rPr>
        <w:fldChar w:fldCharType="begin"/>
      </w:r>
      <w:r w:rsidRPr="00455E21">
        <w:rPr>
          <w:sz w:val="23"/>
          <w:szCs w:val="23"/>
        </w:rPr>
        <w:instrText xml:space="preserve"> REF __RefHeading__5883_1944447809 \w \h  \* MERGEFORMAT </w:instrText>
      </w:r>
      <w:r w:rsidRPr="00455E21">
        <w:rPr>
          <w:sz w:val="23"/>
          <w:szCs w:val="23"/>
        </w:rPr>
      </w:r>
      <w:r w:rsidRPr="00455E21">
        <w:rPr>
          <w:sz w:val="23"/>
          <w:szCs w:val="23"/>
        </w:rPr>
        <w:fldChar w:fldCharType="separate"/>
      </w:r>
      <w:r w:rsidRPr="00FD0CA2">
        <w:rPr>
          <w:color w:val="auto"/>
          <w:sz w:val="23"/>
          <w:szCs w:val="23"/>
        </w:rPr>
        <w:t>1.2</w:t>
      </w:r>
      <w:r w:rsidRPr="00455E21">
        <w:rPr>
          <w:sz w:val="23"/>
          <w:szCs w:val="23"/>
        </w:rPr>
        <w:fldChar w:fldCharType="end"/>
      </w:r>
      <w:r w:rsidRPr="00455E21">
        <w:rPr>
          <w:color w:val="auto"/>
          <w:sz w:val="23"/>
          <w:szCs w:val="23"/>
        </w:rPr>
        <w:t>.</w:t>
      </w:r>
    </w:p>
    <w:p w14:paraId="3929B7B2"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1078F28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0AFC9D67" w14:textId="77777777" w:rsidR="00FD0CA2" w:rsidRPr="00455E21" w:rsidRDefault="00FD0CA2" w:rsidP="00FD0CA2">
      <w:pPr>
        <w:pStyle w:val="BodyText"/>
        <w:rPr>
          <w:color w:val="auto"/>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14:paraId="182F3E07" w14:textId="407D4E71" w:rsidR="00FD0CA2" w:rsidRPr="00455E21" w:rsidRDefault="00FD0CA2" w:rsidP="00FD0CA2">
      <w:pPr>
        <w:pStyle w:val="LetteredList1"/>
        <w:numPr>
          <w:ilvl w:val="0"/>
          <w:numId w:val="2"/>
        </w:numPr>
        <w:suppressAutoHyphens w:val="0"/>
        <w:autoSpaceDE w:val="0"/>
        <w:autoSpaceDN w:val="0"/>
        <w:adjustRightInd w:val="0"/>
        <w:rPr>
          <w:color w:val="FF0000"/>
          <w:sz w:val="23"/>
          <w:szCs w:val="23"/>
        </w:rPr>
      </w:pPr>
      <w:r w:rsidRPr="00455E21">
        <w:rPr>
          <w:sz w:val="23"/>
          <w:szCs w:val="23"/>
        </w:rPr>
        <w:t xml:space="preserve">The definitions will be part of this project. </w:t>
      </w:r>
      <w:r w:rsidRPr="00455E21">
        <w:rPr>
          <w:color w:val="FF0000"/>
          <w:sz w:val="23"/>
          <w:szCs w:val="23"/>
        </w:rPr>
        <w:t>Ye</w:t>
      </w:r>
      <w:r w:rsidR="00F5589E">
        <w:rPr>
          <w:color w:val="FF0000"/>
          <w:sz w:val="23"/>
          <w:szCs w:val="23"/>
        </w:rPr>
        <w:t xml:space="preserve">s. </w:t>
      </w:r>
    </w:p>
    <w:p w14:paraId="676B6290" w14:textId="77777777" w:rsidR="00FD0CA2" w:rsidRPr="00455E21" w:rsidRDefault="00FD0CA2" w:rsidP="00FD0CA2">
      <w:pPr>
        <w:pStyle w:val="LetteredList1"/>
        <w:numPr>
          <w:ilvl w:val="0"/>
          <w:numId w:val="2"/>
        </w:numPr>
        <w:rPr>
          <w:sz w:val="23"/>
          <w:szCs w:val="23"/>
        </w:rPr>
      </w:pPr>
      <w:r w:rsidRPr="00455E21">
        <w:rPr>
          <w:sz w:val="23"/>
          <w:szCs w:val="23"/>
        </w:rPr>
        <w:t>The definitions will be part of a different project and provide the plan for that project or anticipated future project</w:t>
      </w:r>
      <w:r w:rsidRPr="00455E21">
        <w:rPr>
          <w:rFonts w:hint="eastAsia"/>
          <w:sz w:val="23"/>
          <w:szCs w:val="23"/>
          <w:lang w:eastAsia="ja-JP"/>
        </w:rPr>
        <w:t>.</w:t>
      </w:r>
    </w:p>
    <w:p w14:paraId="1DB12E38" w14:textId="77777777" w:rsidR="00FD0CA2" w:rsidRPr="00455E21" w:rsidRDefault="00FD0CA2" w:rsidP="00FD0CA2">
      <w:pPr>
        <w:pStyle w:val="LetteredList1"/>
        <w:numPr>
          <w:ilvl w:val="0"/>
          <w:numId w:val="2"/>
        </w:numPr>
        <w:rPr>
          <w:sz w:val="23"/>
          <w:szCs w:val="23"/>
        </w:rPr>
      </w:pPr>
      <w:r w:rsidRPr="00455E21">
        <w:rPr>
          <w:sz w:val="23"/>
          <w:szCs w:val="23"/>
        </w:rPr>
        <w:t>The definitions will not be developed and explain why such definitions are not needed.</w:t>
      </w:r>
    </w:p>
    <w:p w14:paraId="3146D025" w14:textId="77777777" w:rsidR="00FD0CA2" w:rsidRPr="00455E21" w:rsidRDefault="00FD0CA2" w:rsidP="00FD0CA2">
      <w:pPr>
        <w:pStyle w:val="LetteredList1"/>
        <w:tabs>
          <w:tab w:val="clear" w:pos="720"/>
        </w:tabs>
        <w:ind w:firstLine="0"/>
        <w:rPr>
          <w:sz w:val="23"/>
          <w:szCs w:val="23"/>
          <w:lang w:eastAsia="ja-JP"/>
        </w:rPr>
      </w:pPr>
    </w:p>
    <w:p w14:paraId="04ABDEF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Pr="00455E21">
        <w:rPr>
          <w:rFonts w:ascii="Times New Roman" w:hAnsi="Times New Roman"/>
          <w:sz w:val="23"/>
          <w:szCs w:val="23"/>
        </w:rPr>
        <w:t>Coexistence</w:t>
      </w:r>
    </w:p>
    <w:p w14:paraId="5095035E" w14:textId="77777777" w:rsidR="00FD0CA2" w:rsidRPr="00455E21" w:rsidRDefault="00FD0CA2" w:rsidP="00FD0CA2">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7FAF06FC" w14:textId="77777777" w:rsidR="00FD0CA2" w:rsidRPr="00455E21" w:rsidRDefault="00FD0CA2" w:rsidP="00FD0CA2">
      <w:pPr>
        <w:pStyle w:val="LetteredList1"/>
        <w:numPr>
          <w:ilvl w:val="0"/>
          <w:numId w:val="3"/>
        </w:numPr>
        <w:tabs>
          <w:tab w:val="clear" w:pos="360"/>
          <w:tab w:val="num" w:pos="720"/>
        </w:tabs>
        <w:ind w:left="720"/>
        <w:rPr>
          <w:sz w:val="23"/>
          <w:szCs w:val="23"/>
        </w:rPr>
      </w:pPr>
      <w:r w:rsidRPr="00455E21">
        <w:rPr>
          <w:sz w:val="23"/>
          <w:szCs w:val="23"/>
        </w:rPr>
        <w:t xml:space="preserve">Will the WG create a CA document as part of the WG balloting process as described in Clause 13? (yes/no) </w:t>
      </w:r>
      <w:r w:rsidRPr="00455E21">
        <w:rPr>
          <w:sz w:val="23"/>
          <w:szCs w:val="23"/>
          <w:lang w:eastAsia="ja-JP"/>
        </w:rPr>
        <w:t xml:space="preserve">   </w:t>
      </w:r>
      <w:r>
        <w:rPr>
          <w:color w:val="FF0000"/>
          <w:sz w:val="23"/>
          <w:szCs w:val="23"/>
          <w:lang w:eastAsia="ja-JP"/>
        </w:rPr>
        <w:t>Yes</w:t>
      </w:r>
    </w:p>
    <w:p w14:paraId="78ABE994" w14:textId="77777777" w:rsidR="00FD0CA2" w:rsidRPr="00455E21" w:rsidRDefault="00FD0CA2" w:rsidP="00FD0CA2">
      <w:pPr>
        <w:pStyle w:val="LetteredList1"/>
        <w:numPr>
          <w:ilvl w:val="0"/>
          <w:numId w:val="3"/>
        </w:numPr>
        <w:tabs>
          <w:tab w:val="clear" w:pos="360"/>
          <w:tab w:val="num" w:pos="720"/>
        </w:tabs>
        <w:ind w:left="720"/>
        <w:rPr>
          <w:i/>
          <w:sz w:val="23"/>
          <w:szCs w:val="23"/>
          <w:lang w:eastAsia="ja-JP"/>
        </w:rPr>
      </w:pPr>
      <w:r w:rsidRPr="00455E21">
        <w:rPr>
          <w:sz w:val="23"/>
          <w:szCs w:val="23"/>
        </w:rPr>
        <w:t>If not, explain why the CA document is not applicable.</w:t>
      </w:r>
      <w:r w:rsidRPr="00455E21">
        <w:rPr>
          <w:rFonts w:hint="eastAsia"/>
          <w:sz w:val="23"/>
          <w:szCs w:val="23"/>
          <w:lang w:eastAsia="ja-JP"/>
        </w:rPr>
        <w:t xml:space="preserve">            </w:t>
      </w:r>
    </w:p>
    <w:p w14:paraId="762CD2AA"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14:paraId="309AC65C"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14:paraId="3CB881FA"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0D5F2366" w14:textId="77777777" w:rsidR="00FD0CA2" w:rsidRPr="00455E21" w:rsidRDefault="00FD0CA2" w:rsidP="00FD0CA2">
      <w:pPr>
        <w:pStyle w:val="BodyText"/>
        <w:rPr>
          <w:color w:val="auto"/>
          <w:sz w:val="23"/>
          <w:szCs w:val="23"/>
        </w:rPr>
      </w:pPr>
    </w:p>
    <w:p w14:paraId="15DDAFC9" w14:textId="77777777" w:rsidR="00FD0CA2" w:rsidRDefault="00FD0CA2" w:rsidP="00FD0CA2">
      <w:pPr>
        <w:pStyle w:val="LetteredList1"/>
        <w:numPr>
          <w:ilvl w:val="0"/>
          <w:numId w:val="4"/>
        </w:numPr>
        <w:rPr>
          <w:sz w:val="23"/>
          <w:szCs w:val="23"/>
        </w:rPr>
      </w:pPr>
      <w:r w:rsidRPr="00455E21">
        <w:rPr>
          <w:sz w:val="23"/>
          <w:szCs w:val="23"/>
        </w:rPr>
        <w:t>Broad sets of applicability.</w:t>
      </w:r>
      <w:r>
        <w:rPr>
          <w:sz w:val="23"/>
          <w:szCs w:val="23"/>
        </w:rPr>
        <w:t xml:space="preserve"> </w:t>
      </w:r>
    </w:p>
    <w:p w14:paraId="74AD808B" w14:textId="4EECB738" w:rsidR="00FD0CA2" w:rsidRPr="00A02404" w:rsidRDefault="00AA023D" w:rsidP="002E45C2">
      <w:pPr>
        <w:pStyle w:val="LetteredList1"/>
        <w:tabs>
          <w:tab w:val="clear" w:pos="720"/>
        </w:tabs>
        <w:ind w:firstLine="0"/>
        <w:rPr>
          <w:color w:val="FF0000"/>
        </w:rPr>
      </w:pPr>
      <w:r w:rsidRPr="00A02404">
        <w:rPr>
          <w:color w:val="FF0000"/>
        </w:rPr>
        <w:t>Building upon the nu</w:t>
      </w:r>
      <w:r w:rsidR="002E45C2">
        <w:rPr>
          <w:color w:val="FF0000"/>
        </w:rPr>
        <w:t>merous successful deployments using IEEE Std.</w:t>
      </w:r>
      <w:r w:rsidRPr="00A02404">
        <w:rPr>
          <w:color w:val="FF0000"/>
        </w:rPr>
        <w:t xml:space="preserve"> 802.15.4 and </w:t>
      </w:r>
      <w:r w:rsidR="002E45C2">
        <w:rPr>
          <w:color w:val="FF0000"/>
        </w:rPr>
        <w:t xml:space="preserve">the </w:t>
      </w:r>
      <w:r w:rsidRPr="00A02404">
        <w:rPr>
          <w:color w:val="FF0000"/>
        </w:rPr>
        <w:t>rapid growth in applications, such as Internet of Things (IoT), Smart Grid, and Smart Cities,</w:t>
      </w:r>
      <w:r w:rsidR="002E45C2">
        <w:rPr>
          <w:color w:val="FF0000"/>
        </w:rPr>
        <w:t xml:space="preserve"> SUN</w:t>
      </w:r>
      <w:r w:rsidRPr="00A02404">
        <w:rPr>
          <w:color w:val="FF0000"/>
        </w:rPr>
        <w:t xml:space="preserve"> PHY enhancements are needed to support higher data rates along with enhancements for longer range utilizing existing hardware deployments based upon 802.15.4 SUN PHY’s.  These enhancements enable Electric System Distribution </w:t>
      </w:r>
      <w:r w:rsidRPr="00A02404">
        <w:rPr>
          <w:color w:val="FF0000"/>
        </w:rPr>
        <w:lastRenderedPageBreak/>
        <w:t>Automation, and reduce the amount of equipment needed to be deployed for Smart Grid systems, for example.  These requirements are becoming necessary to Utilities on a Global scale.</w:t>
      </w:r>
    </w:p>
    <w:p w14:paraId="57286826" w14:textId="753F192C" w:rsidR="00FD0CA2" w:rsidRPr="00FD0CA2" w:rsidRDefault="00FD0CA2" w:rsidP="00FD0CA2">
      <w:pPr>
        <w:ind w:left="720"/>
        <w:rPr>
          <w:color w:val="FF0000"/>
        </w:rPr>
      </w:pPr>
      <w:r w:rsidRPr="00FD0CA2">
        <w:rPr>
          <w:color w:val="FF0000"/>
        </w:rPr>
        <w:t xml:space="preserve"> </w:t>
      </w:r>
    </w:p>
    <w:p w14:paraId="4430627B" w14:textId="77777777" w:rsidR="00FD0CA2" w:rsidRPr="00455E21" w:rsidRDefault="00FD0CA2" w:rsidP="00FD0CA2">
      <w:pPr>
        <w:pStyle w:val="LetteredList1"/>
        <w:ind w:left="0" w:firstLine="0"/>
        <w:rPr>
          <w:sz w:val="23"/>
          <w:szCs w:val="23"/>
        </w:rPr>
      </w:pPr>
    </w:p>
    <w:p w14:paraId="0F3ED903" w14:textId="77777777" w:rsidR="00FD0CA2" w:rsidRPr="00455E21" w:rsidRDefault="00FD0CA2" w:rsidP="00FD0CA2">
      <w:pPr>
        <w:pStyle w:val="LetteredList1"/>
        <w:numPr>
          <w:ilvl w:val="0"/>
          <w:numId w:val="4"/>
        </w:numPr>
        <w:rPr>
          <w:sz w:val="23"/>
          <w:szCs w:val="23"/>
        </w:rPr>
      </w:pPr>
      <w:r w:rsidRPr="00455E21">
        <w:rPr>
          <w:sz w:val="23"/>
          <w:szCs w:val="23"/>
        </w:rPr>
        <w:t>Multiple vendors and numerous users.</w:t>
      </w:r>
    </w:p>
    <w:p w14:paraId="7917F0C6" w14:textId="206AB4C8" w:rsidR="00FD0CA2" w:rsidRPr="00455E21" w:rsidRDefault="00FD0CA2" w:rsidP="00FD0CA2">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Pr>
          <w:color w:val="FF0000"/>
        </w:rPr>
        <w:t xml:space="preserve"> already</w:t>
      </w:r>
      <w:r w:rsidRPr="00C97E81">
        <w:rPr>
          <w:color w:val="FF0000"/>
        </w:rPr>
        <w:t xml:space="preserve"> producing </w:t>
      </w:r>
      <w:r>
        <w:rPr>
          <w:color w:val="FF0000"/>
        </w:rPr>
        <w:t xml:space="preserve">devices and </w:t>
      </w:r>
      <w:r w:rsidRPr="00C97E81">
        <w:rPr>
          <w:color w:val="FF0000"/>
        </w:rPr>
        <w:t xml:space="preserve">systems </w:t>
      </w:r>
      <w:r w:rsidR="00753783">
        <w:rPr>
          <w:color w:val="FF0000"/>
        </w:rPr>
        <w:t>using</w:t>
      </w:r>
      <w:r>
        <w:rPr>
          <w:color w:val="FF0000"/>
        </w:rPr>
        <w:t xml:space="preserve"> IEEE</w:t>
      </w:r>
      <w:r w:rsidR="00753783">
        <w:rPr>
          <w:color w:val="FF0000"/>
        </w:rPr>
        <w:t xml:space="preserve"> Std.</w:t>
      </w:r>
      <w:r w:rsidRPr="00C97E81">
        <w:rPr>
          <w:color w:val="FF0000"/>
        </w:rPr>
        <w:t xml:space="preserve"> 802.15.4</w:t>
      </w:r>
      <w:r w:rsidR="00710FCF">
        <w:rPr>
          <w:color w:val="FF0000"/>
        </w:rPr>
        <w:t xml:space="preserve">, </w:t>
      </w:r>
      <w:r>
        <w:rPr>
          <w:color w:val="FF0000"/>
        </w:rPr>
        <w:t xml:space="preserve">for use in </w:t>
      </w:r>
      <w:r w:rsidR="001D7930">
        <w:rPr>
          <w:color w:val="FF0000"/>
        </w:rPr>
        <w:t>Internet of Things (</w:t>
      </w:r>
      <w:r>
        <w:rPr>
          <w:color w:val="FF0000"/>
        </w:rPr>
        <w:t>IoT</w:t>
      </w:r>
      <w:r w:rsidR="001D7930">
        <w:rPr>
          <w:color w:val="FF0000"/>
        </w:rPr>
        <w:t>)</w:t>
      </w:r>
      <w:r>
        <w:rPr>
          <w:color w:val="FF0000"/>
        </w:rPr>
        <w:t xml:space="preserve"> applications which </w:t>
      </w:r>
      <w:r w:rsidR="00710FCF">
        <w:rPr>
          <w:color w:val="FF0000"/>
          <w:szCs w:val="24"/>
          <w:lang w:eastAsia="ja-JP"/>
        </w:rPr>
        <w:t>includes:</w:t>
      </w:r>
      <w:r>
        <w:rPr>
          <w:color w:val="FF0000"/>
          <w:szCs w:val="24"/>
          <w:lang w:eastAsia="ja-JP"/>
        </w:rPr>
        <w:t xml:space="preserve"> </w:t>
      </w:r>
      <w:r w:rsidR="00710FCF">
        <w:rPr>
          <w:color w:val="FF0000"/>
          <w:szCs w:val="24"/>
          <w:lang w:eastAsia="ja-JP"/>
        </w:rPr>
        <w:t>Smart Grid, and Smart City</w:t>
      </w:r>
      <w:r>
        <w:rPr>
          <w:color w:val="FF0000"/>
          <w:szCs w:val="24"/>
          <w:lang w:eastAsia="ja-JP"/>
        </w:rPr>
        <w:t>.</w:t>
      </w:r>
      <w:r w:rsidR="00710FCF">
        <w:rPr>
          <w:color w:val="FF0000"/>
          <w:szCs w:val="24"/>
          <w:lang w:eastAsia="ja-JP"/>
        </w:rPr>
        <w:t xml:space="preserve">  </w:t>
      </w:r>
      <w:r w:rsidR="00753783">
        <w:rPr>
          <w:color w:val="FF0000"/>
          <w:szCs w:val="24"/>
          <w:lang w:eastAsia="ja-JP"/>
        </w:rPr>
        <w:t>Of increasing importance are applications like</w:t>
      </w:r>
      <w:r w:rsidR="00710FCF">
        <w:rPr>
          <w:color w:val="FF0000"/>
          <w:szCs w:val="24"/>
          <w:lang w:eastAsia="ja-JP"/>
        </w:rPr>
        <w:t xml:space="preserve"> Electric System Distribution Automation, Stre</w:t>
      </w:r>
      <w:r w:rsidR="00753783">
        <w:rPr>
          <w:color w:val="FF0000"/>
          <w:szCs w:val="24"/>
          <w:lang w:eastAsia="ja-JP"/>
        </w:rPr>
        <w:t>et Light Automation, and similar</w:t>
      </w:r>
      <w:r w:rsidR="00710FCF">
        <w:rPr>
          <w:color w:val="FF0000"/>
          <w:szCs w:val="24"/>
          <w:lang w:eastAsia="ja-JP"/>
        </w:rPr>
        <w:t xml:space="preserve">.  This </w:t>
      </w:r>
      <w:r w:rsidR="00753783">
        <w:rPr>
          <w:color w:val="FF0000"/>
          <w:szCs w:val="24"/>
          <w:lang w:eastAsia="ja-JP"/>
        </w:rPr>
        <w:t xml:space="preserve">amendment addresses these applications and </w:t>
      </w:r>
      <w:r w:rsidR="00710FCF">
        <w:rPr>
          <w:color w:val="FF0000"/>
          <w:szCs w:val="24"/>
          <w:lang w:eastAsia="ja-JP"/>
        </w:rPr>
        <w:t>serves a large and global Utility end user market.</w:t>
      </w:r>
    </w:p>
    <w:p w14:paraId="267CCDF9"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14:paraId="1CF68E9E" w14:textId="77777777" w:rsidR="00FD0CA2" w:rsidRPr="00455E21" w:rsidRDefault="00FD0CA2" w:rsidP="00FD0CA2">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39CA0FFA" w14:textId="36D001A1" w:rsidR="00FD0CA2" w:rsidRPr="003E7EDB" w:rsidRDefault="00FD0CA2" w:rsidP="003E7EDB">
      <w:pPr>
        <w:pStyle w:val="LetteredList1"/>
        <w:numPr>
          <w:ilvl w:val="0"/>
          <w:numId w:val="5"/>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Pr>
          <w:sz w:val="23"/>
          <w:szCs w:val="23"/>
        </w:rPr>
        <w:t xml:space="preserve"> </w:t>
      </w:r>
      <w:r w:rsidR="00D30BBF">
        <w:rPr>
          <w:color w:val="FF0000"/>
          <w:sz w:val="23"/>
          <w:szCs w:val="23"/>
        </w:rPr>
        <w:t xml:space="preserve">While the standard shall comply with IEEE </w:t>
      </w:r>
      <w:proofErr w:type="spellStart"/>
      <w:r w:rsidR="00D30BBF">
        <w:rPr>
          <w:color w:val="FF0000"/>
          <w:sz w:val="23"/>
          <w:szCs w:val="23"/>
        </w:rPr>
        <w:t>Std</w:t>
      </w:r>
      <w:proofErr w:type="spellEnd"/>
      <w:r w:rsidR="00D30BBF" w:rsidRPr="00047654">
        <w:rPr>
          <w:color w:val="FF0000"/>
          <w:sz w:val="23"/>
          <w:szCs w:val="23"/>
        </w:rPr>
        <w:t xml:space="preserve"> 802, </w:t>
      </w:r>
      <w:r w:rsidR="00D30BBF">
        <w:rPr>
          <w:color w:val="FF0000"/>
          <w:sz w:val="23"/>
          <w:szCs w:val="23"/>
        </w:rPr>
        <w:t>it can</w:t>
      </w:r>
      <w:r w:rsidR="00D30BBF" w:rsidRPr="00047654">
        <w:rPr>
          <w:color w:val="FF0000"/>
          <w:sz w:val="23"/>
          <w:szCs w:val="23"/>
        </w:rPr>
        <w:t>n</w:t>
      </w:r>
      <w:r w:rsidR="00D30BBF" w:rsidRPr="00047654">
        <w:rPr>
          <w:iCs/>
          <w:color w:val="FF0000"/>
          <w:sz w:val="23"/>
          <w:szCs w:val="23"/>
          <w:lang w:eastAsia="ja-JP"/>
        </w:rPr>
        <w:t xml:space="preserve">ot </w:t>
      </w:r>
      <w:r w:rsidR="00D30BBF">
        <w:rPr>
          <w:iCs/>
          <w:color w:val="FF0000"/>
          <w:sz w:val="23"/>
          <w:szCs w:val="23"/>
          <w:lang w:eastAsia="ja-JP"/>
        </w:rPr>
        <w:t xml:space="preserve">comply with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802.1Q</w:t>
      </w:r>
      <w:r w:rsidR="00D30BBF">
        <w:rPr>
          <w:iCs/>
          <w:color w:val="FF0000"/>
          <w:sz w:val="23"/>
          <w:szCs w:val="23"/>
          <w:lang w:eastAsia="ja-JP"/>
        </w:rPr>
        <w:t xml:space="preserve"> and</w:t>
      </w:r>
      <w:r w:rsidR="00D30BBF" w:rsidRPr="00047654">
        <w:rPr>
          <w:iCs/>
          <w:color w:val="FF0000"/>
          <w:sz w:val="23"/>
          <w:szCs w:val="23"/>
          <w:lang w:eastAsia="ja-JP"/>
        </w:rPr>
        <w:t xml:space="preserve"> </w:t>
      </w:r>
      <w:r w:rsidR="00D30BBF">
        <w:rPr>
          <w:iCs/>
          <w:color w:val="FF0000"/>
          <w:sz w:val="23"/>
          <w:szCs w:val="23"/>
          <w:lang w:eastAsia="ja-JP"/>
        </w:rPr>
        <w:t xml:space="preserve">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802.1AC</w:t>
      </w:r>
      <w:r w:rsidR="00D30BBF">
        <w:rPr>
          <w:iCs/>
          <w:color w:val="FF0000"/>
          <w:sz w:val="23"/>
          <w:szCs w:val="23"/>
          <w:lang w:eastAsia="ja-JP"/>
        </w:rPr>
        <w:t xml:space="preserve"> because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802.15.4 uses 64-bit MAC addresses.</w:t>
      </w:r>
    </w:p>
    <w:p w14:paraId="17D3B5BA" w14:textId="77777777" w:rsidR="00FD0CA2" w:rsidRPr="00455E21" w:rsidRDefault="00FD0CA2" w:rsidP="00FD0CA2">
      <w:pPr>
        <w:pStyle w:val="ListParagraph"/>
        <w:rPr>
          <w:iCs/>
          <w:color w:val="FF0000"/>
          <w:sz w:val="23"/>
          <w:szCs w:val="23"/>
          <w:lang w:eastAsia="ja-JP"/>
        </w:rPr>
      </w:pPr>
    </w:p>
    <w:p w14:paraId="2FEF541F" w14:textId="17D0D5E4" w:rsidR="00FD0CA2" w:rsidRPr="00455E21" w:rsidRDefault="00FD0CA2" w:rsidP="00FD0CA2">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Pr>
          <w:sz w:val="23"/>
          <w:szCs w:val="23"/>
          <w:lang w:eastAsia="zh-CN"/>
        </w:rPr>
        <w:t xml:space="preserve"> </w:t>
      </w:r>
      <w:r w:rsidR="003E7EDB">
        <w:rPr>
          <w:color w:val="FF0000"/>
        </w:rPr>
        <w:t>C</w:t>
      </w:r>
      <w:r w:rsidR="003E7EDB" w:rsidRPr="003E7EDB">
        <w:rPr>
          <w:color w:val="FF0000"/>
        </w:rPr>
        <w:t xml:space="preserve">ompliance with IEEE </w:t>
      </w:r>
      <w:proofErr w:type="spellStart"/>
      <w:r w:rsidR="003E7EDB" w:rsidRPr="003E7EDB">
        <w:rPr>
          <w:color w:val="FF0000"/>
        </w:rPr>
        <w:t>Std</w:t>
      </w:r>
      <w:proofErr w:type="spellEnd"/>
      <w:r w:rsidR="003E7EDB" w:rsidRPr="003E7EDB">
        <w:rPr>
          <w:color w:val="FF0000"/>
        </w:rPr>
        <w:t xml:space="preserve"> 802.1Q and IEEE </w:t>
      </w:r>
      <w:proofErr w:type="spellStart"/>
      <w:r w:rsidR="003E7EDB" w:rsidRPr="003E7EDB">
        <w:rPr>
          <w:color w:val="FF0000"/>
        </w:rPr>
        <w:t>Std</w:t>
      </w:r>
      <w:proofErr w:type="spellEnd"/>
      <w:r w:rsidR="003E7EDB" w:rsidRPr="003E7EDB">
        <w:rPr>
          <w:color w:val="FF0000"/>
        </w:rPr>
        <w:t xml:space="preserve"> 802.1AC is not possible due to IEEE </w:t>
      </w:r>
      <w:proofErr w:type="spellStart"/>
      <w:r w:rsidR="003E7EDB" w:rsidRPr="003E7EDB">
        <w:rPr>
          <w:color w:val="FF0000"/>
        </w:rPr>
        <w:t>Std</w:t>
      </w:r>
      <w:proofErr w:type="spellEnd"/>
      <w:r w:rsidR="003E7EDB" w:rsidRPr="003E7EDB">
        <w:rPr>
          <w:color w:val="FF0000"/>
        </w:rPr>
        <w:t xml:space="preserve"> 802.15.4 using 64-bit MAC addresses</w:t>
      </w:r>
      <w:r w:rsidRPr="00455E21">
        <w:rPr>
          <w:sz w:val="23"/>
          <w:szCs w:val="23"/>
          <w:lang w:eastAsia="zh-CN"/>
        </w:rPr>
        <w:br/>
      </w:r>
      <w:bookmarkStart w:id="7" w:name="__RefHeading__9708_1012863564"/>
      <w:bookmarkEnd w:id="7"/>
    </w:p>
    <w:p w14:paraId="0B7B01E8" w14:textId="77777777" w:rsidR="00FD0CA2" w:rsidRPr="00455E21" w:rsidRDefault="00FD0CA2" w:rsidP="00FD0CA2">
      <w:pPr>
        <w:pStyle w:val="LetteredList1"/>
        <w:numPr>
          <w:ilvl w:val="2"/>
          <w:numId w:val="1"/>
        </w:numPr>
        <w:spacing w:before="245" w:after="115"/>
        <w:rPr>
          <w:sz w:val="23"/>
          <w:szCs w:val="23"/>
        </w:rPr>
      </w:pPr>
      <w:r w:rsidRPr="00455E21">
        <w:rPr>
          <w:sz w:val="23"/>
          <w:szCs w:val="23"/>
        </w:rPr>
        <w:t xml:space="preserve">Distinct Identity </w:t>
      </w:r>
    </w:p>
    <w:p w14:paraId="0904D031" w14:textId="77777777" w:rsidR="00FD0CA2" w:rsidRPr="00455E21" w:rsidRDefault="00FD0CA2" w:rsidP="00FD0CA2">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18B3900A" w14:textId="151E42B7" w:rsidR="00FD0CA2" w:rsidRPr="00EA1ADB" w:rsidRDefault="000B08A5" w:rsidP="00FD0CA2">
      <w:pPr>
        <w:pStyle w:val="BodyText"/>
        <w:ind w:leftChars="200" w:left="480"/>
        <w:rPr>
          <w:iCs/>
          <w:color w:val="FF0000"/>
          <w:sz w:val="23"/>
          <w:szCs w:val="23"/>
          <w:lang w:val="en-GB" w:eastAsia="ja-JP"/>
        </w:rPr>
      </w:pPr>
      <w:r>
        <w:rPr>
          <w:iCs/>
          <w:color w:val="FF0000"/>
          <w:sz w:val="23"/>
          <w:szCs w:val="23"/>
          <w:lang w:val="en-GB" w:eastAsia="ja-JP"/>
        </w:rPr>
        <w:t>The proposed amendment</w:t>
      </w:r>
      <w:r w:rsidR="00EA1ADB">
        <w:rPr>
          <w:iCs/>
          <w:color w:val="FF0000"/>
          <w:sz w:val="23"/>
          <w:szCs w:val="23"/>
          <w:lang w:val="en-GB" w:eastAsia="ja-JP"/>
        </w:rPr>
        <w:t xml:space="preserve"> enhance</w:t>
      </w:r>
      <w:r w:rsidR="00710FCF">
        <w:rPr>
          <w:iCs/>
          <w:color w:val="FF0000"/>
          <w:sz w:val="23"/>
          <w:szCs w:val="23"/>
          <w:lang w:val="en-GB" w:eastAsia="ja-JP"/>
        </w:rPr>
        <w:t>s and is limited to the</w:t>
      </w:r>
      <w:r w:rsidR="00EA1ADB">
        <w:rPr>
          <w:iCs/>
          <w:color w:val="FF0000"/>
          <w:sz w:val="23"/>
          <w:szCs w:val="23"/>
          <w:lang w:val="en-GB" w:eastAsia="ja-JP"/>
        </w:rPr>
        <w:t xml:space="preserve"> existing </w:t>
      </w:r>
      <w:r w:rsidR="00710FCF">
        <w:rPr>
          <w:iCs/>
          <w:color w:val="FF0000"/>
          <w:sz w:val="23"/>
          <w:szCs w:val="23"/>
          <w:lang w:val="en-GB" w:eastAsia="ja-JP"/>
        </w:rPr>
        <w:t>802.15.4</w:t>
      </w:r>
      <w:bookmarkStart w:id="8" w:name="_GoBack"/>
      <w:bookmarkEnd w:id="8"/>
      <w:r w:rsidR="000F12F7">
        <w:rPr>
          <w:iCs/>
          <w:color w:val="FF0000"/>
          <w:sz w:val="23"/>
          <w:szCs w:val="23"/>
          <w:lang w:val="en-GB" w:eastAsia="ja-JP"/>
        </w:rPr>
        <w:t xml:space="preserve"> </w:t>
      </w:r>
      <w:r w:rsidR="00EA1ADB">
        <w:rPr>
          <w:iCs/>
          <w:color w:val="FF0000"/>
          <w:sz w:val="23"/>
          <w:szCs w:val="23"/>
          <w:lang w:val="en-GB" w:eastAsia="ja-JP"/>
        </w:rPr>
        <w:t xml:space="preserve">SUN PHY’s. </w:t>
      </w:r>
    </w:p>
    <w:p w14:paraId="3BA997DD"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14:paraId="7433D705"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3CCBD93" w14:textId="77777777" w:rsidR="00FD0CA2" w:rsidRPr="00455E21" w:rsidRDefault="00FD0CA2" w:rsidP="00FD0CA2">
      <w:pPr>
        <w:pStyle w:val="LetteredList1"/>
        <w:numPr>
          <w:ilvl w:val="0"/>
          <w:numId w:val="6"/>
        </w:numPr>
        <w:rPr>
          <w:sz w:val="23"/>
          <w:szCs w:val="23"/>
        </w:rPr>
      </w:pPr>
      <w:r w:rsidRPr="00455E21">
        <w:rPr>
          <w:sz w:val="23"/>
          <w:szCs w:val="23"/>
        </w:rPr>
        <w:t>Demonstrated system feasibility.</w:t>
      </w:r>
    </w:p>
    <w:p w14:paraId="60917376" w14:textId="3AE92FE8" w:rsidR="00FD0CA2" w:rsidRPr="003D10CE" w:rsidRDefault="00FD0CA2" w:rsidP="00FD0CA2">
      <w:pPr>
        <w:pStyle w:val="BodyText"/>
        <w:ind w:leftChars="300" w:left="720"/>
        <w:rPr>
          <w:iCs/>
          <w:color w:val="FF0000"/>
          <w:sz w:val="23"/>
          <w:szCs w:val="23"/>
          <w:lang w:val="en-GB"/>
        </w:rPr>
      </w:pPr>
      <w:r>
        <w:rPr>
          <w:iCs/>
          <w:color w:val="FF0000"/>
          <w:sz w:val="23"/>
          <w:szCs w:val="23"/>
          <w:lang w:val="en-GB"/>
        </w:rPr>
        <w:t>This project does not require any new technical innovation to implement</w:t>
      </w:r>
      <w:r w:rsidR="001D7930">
        <w:rPr>
          <w:iCs/>
          <w:color w:val="FF0000"/>
          <w:sz w:val="23"/>
          <w:szCs w:val="23"/>
          <w:lang w:val="en-GB"/>
        </w:rPr>
        <w:t>.</w:t>
      </w:r>
      <w:r w:rsidR="000E2E86">
        <w:rPr>
          <w:iCs/>
          <w:color w:val="FF0000"/>
          <w:sz w:val="23"/>
          <w:szCs w:val="23"/>
          <w:lang w:val="en-GB"/>
        </w:rPr>
        <w:t xml:space="preserve">  There are numerous existing</w:t>
      </w:r>
      <w:r w:rsidR="00710FCF">
        <w:rPr>
          <w:iCs/>
          <w:color w:val="FF0000"/>
          <w:sz w:val="23"/>
          <w:szCs w:val="23"/>
          <w:lang w:val="en-GB"/>
        </w:rPr>
        <w:t xml:space="preserve"> proprietary</w:t>
      </w:r>
      <w:r w:rsidR="000E2E86">
        <w:rPr>
          <w:iCs/>
          <w:color w:val="FF0000"/>
          <w:sz w:val="23"/>
          <w:szCs w:val="23"/>
          <w:lang w:val="en-GB"/>
        </w:rPr>
        <w:t xml:space="preserve"> solutions deployed that can support the proposed enhancements.</w:t>
      </w:r>
    </w:p>
    <w:p w14:paraId="47076583" w14:textId="77777777" w:rsidR="00FD0CA2" w:rsidRPr="00455E21" w:rsidRDefault="00FD0CA2" w:rsidP="00FD0CA2">
      <w:pPr>
        <w:pStyle w:val="LetteredList1"/>
        <w:numPr>
          <w:ilvl w:val="0"/>
          <w:numId w:val="6"/>
        </w:numPr>
        <w:rPr>
          <w:sz w:val="23"/>
          <w:szCs w:val="23"/>
        </w:rPr>
      </w:pPr>
      <w:r w:rsidRPr="00455E21">
        <w:rPr>
          <w:sz w:val="23"/>
          <w:szCs w:val="23"/>
        </w:rPr>
        <w:t>Proven similar technology via testing, modeling, simulation, etc.</w:t>
      </w:r>
    </w:p>
    <w:p w14:paraId="01CE1ECC" w14:textId="77777777" w:rsidR="00FD0CA2" w:rsidRPr="00455E21" w:rsidRDefault="00FD0CA2" w:rsidP="00FD0CA2">
      <w:pPr>
        <w:pStyle w:val="PlainText"/>
        <w:ind w:left="720"/>
        <w:rPr>
          <w:rFonts w:ascii="Times New Roman" w:hAnsi="Times New Roman"/>
          <w:color w:val="FF0000"/>
          <w:sz w:val="23"/>
          <w:szCs w:val="23"/>
        </w:rPr>
      </w:pPr>
      <w:r w:rsidRPr="00455E21">
        <w:rPr>
          <w:rFonts w:ascii="Times New Roman" w:hAnsi="Times New Roman"/>
          <w:color w:val="FF0000"/>
          <w:sz w:val="23"/>
          <w:szCs w:val="23"/>
        </w:rPr>
        <w:t>See a)</w:t>
      </w:r>
    </w:p>
    <w:p w14:paraId="5B80212B"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lastRenderedPageBreak/>
        <w:t>Economic Feasibility</w:t>
      </w:r>
    </w:p>
    <w:p w14:paraId="5D855D24"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0531BD9" w14:textId="77777777" w:rsidR="00FD0CA2" w:rsidRPr="00455E21" w:rsidRDefault="00FD0CA2" w:rsidP="00FD0CA2">
      <w:pPr>
        <w:pStyle w:val="LetteredList1"/>
        <w:numPr>
          <w:ilvl w:val="0"/>
          <w:numId w:val="7"/>
        </w:numPr>
        <w:rPr>
          <w:sz w:val="23"/>
          <w:szCs w:val="23"/>
        </w:rPr>
      </w:pPr>
      <w:r w:rsidRPr="00455E21">
        <w:rPr>
          <w:sz w:val="23"/>
          <w:szCs w:val="23"/>
        </w:rPr>
        <w:t>Balanced costs (infrastructure versus attached stations).</w:t>
      </w:r>
    </w:p>
    <w:p w14:paraId="6F6031A4" w14:textId="608D7728" w:rsidR="00FD0CA2" w:rsidRPr="00455E21" w:rsidRDefault="00FD0CA2" w:rsidP="00FD0CA2">
      <w:pPr>
        <w:pStyle w:val="LetteredList1"/>
        <w:tabs>
          <w:tab w:val="clear" w:pos="720"/>
        </w:tabs>
        <w:ind w:firstLine="0"/>
        <w:rPr>
          <w:color w:val="FF0000"/>
          <w:sz w:val="23"/>
          <w:szCs w:val="23"/>
          <w:lang w:eastAsia="ja-JP"/>
        </w:rPr>
      </w:pPr>
      <w:r>
        <w:rPr>
          <w:color w:val="FF0000"/>
          <w:sz w:val="23"/>
          <w:szCs w:val="23"/>
          <w:lang w:eastAsia="ja-JP"/>
        </w:rPr>
        <w:t>This project can be implement</w:t>
      </w:r>
      <w:r w:rsidR="001D7930">
        <w:rPr>
          <w:color w:val="FF0000"/>
          <w:sz w:val="23"/>
          <w:szCs w:val="23"/>
          <w:lang w:eastAsia="ja-JP"/>
        </w:rPr>
        <w:t>ed</w:t>
      </w:r>
      <w:r>
        <w:rPr>
          <w:color w:val="FF0000"/>
          <w:sz w:val="23"/>
          <w:szCs w:val="23"/>
          <w:lang w:eastAsia="ja-JP"/>
        </w:rPr>
        <w:t xml:space="preserve"> with no change to the existing device cost basis which has been d</w:t>
      </w:r>
      <w:r w:rsidR="001D7930">
        <w:rPr>
          <w:color w:val="FF0000"/>
          <w:sz w:val="23"/>
          <w:szCs w:val="23"/>
          <w:lang w:eastAsia="ja-JP"/>
        </w:rPr>
        <w:t>emonstrated, through millions of</w:t>
      </w:r>
      <w:r w:rsidR="000E2E86">
        <w:rPr>
          <w:color w:val="FF0000"/>
          <w:sz w:val="23"/>
          <w:szCs w:val="23"/>
          <w:lang w:eastAsia="ja-JP"/>
        </w:rPr>
        <w:t xml:space="preserve"> shipped devices.  </w:t>
      </w:r>
    </w:p>
    <w:p w14:paraId="585D4A4D" w14:textId="77777777" w:rsidR="00FD0CA2" w:rsidRPr="00455E21" w:rsidRDefault="00FD0CA2" w:rsidP="00FD0CA2">
      <w:pPr>
        <w:pStyle w:val="LetteredList1"/>
        <w:numPr>
          <w:ilvl w:val="0"/>
          <w:numId w:val="7"/>
        </w:numPr>
        <w:tabs>
          <w:tab w:val="clear" w:pos="720"/>
        </w:tabs>
        <w:rPr>
          <w:sz w:val="23"/>
          <w:szCs w:val="23"/>
        </w:rPr>
      </w:pPr>
      <w:r w:rsidRPr="00455E21">
        <w:rPr>
          <w:sz w:val="23"/>
          <w:szCs w:val="23"/>
        </w:rPr>
        <w:t>Known cost factors.</w:t>
      </w:r>
    </w:p>
    <w:p w14:paraId="0DF85134" w14:textId="77777777" w:rsidR="00FD0CA2" w:rsidRPr="00455E21" w:rsidRDefault="00FD0CA2" w:rsidP="00FD0CA2">
      <w:pPr>
        <w:pStyle w:val="PlainText"/>
        <w:tabs>
          <w:tab w:val="left" w:pos="360"/>
        </w:tabs>
        <w:ind w:left="720"/>
        <w:rPr>
          <w:sz w:val="23"/>
          <w:szCs w:val="23"/>
        </w:rPr>
      </w:pPr>
      <w:r w:rsidRPr="00455E21">
        <w:rPr>
          <w:rFonts w:ascii="Times New Roman" w:hAnsi="Times New Roman"/>
          <w:color w:val="FF0000"/>
          <w:sz w:val="23"/>
          <w:szCs w:val="23"/>
        </w:rPr>
        <w:t>See a)</w:t>
      </w:r>
    </w:p>
    <w:p w14:paraId="0A4FFA95" w14:textId="77777777" w:rsidR="00FD0CA2" w:rsidRPr="00455E21" w:rsidRDefault="00FD0CA2" w:rsidP="00FD0CA2">
      <w:pPr>
        <w:pStyle w:val="LetteredList1"/>
        <w:numPr>
          <w:ilvl w:val="0"/>
          <w:numId w:val="7"/>
        </w:numPr>
        <w:rPr>
          <w:sz w:val="23"/>
          <w:szCs w:val="23"/>
        </w:rPr>
      </w:pPr>
      <w:r w:rsidRPr="00455E21">
        <w:rPr>
          <w:sz w:val="23"/>
          <w:szCs w:val="23"/>
        </w:rPr>
        <w:t>Consideration of installation costs.</w:t>
      </w:r>
    </w:p>
    <w:p w14:paraId="394CCC91" w14:textId="41D7778A" w:rsidR="00FD0CA2" w:rsidRPr="00D30BBF" w:rsidRDefault="00D30BBF" w:rsidP="00D30BBF">
      <w:pPr>
        <w:pStyle w:val="PlainText"/>
        <w:tabs>
          <w:tab w:val="left" w:pos="360"/>
        </w:tabs>
        <w:ind w:left="720"/>
        <w:rPr>
          <w:color w:val="FF0000"/>
          <w:sz w:val="23"/>
          <w:szCs w:val="23"/>
        </w:rPr>
      </w:pPr>
      <w:r w:rsidRPr="00D30BBF">
        <w:rPr>
          <w:rFonts w:ascii="Times New Roman" w:hAnsi="Times New Roman"/>
          <w:color w:val="FF0000"/>
          <w:sz w:val="23"/>
          <w:szCs w:val="23"/>
        </w:rPr>
        <w:t xml:space="preserve">Implementation of this </w:t>
      </w:r>
      <w:r>
        <w:rPr>
          <w:rFonts w:ascii="Times New Roman" w:hAnsi="Times New Roman"/>
          <w:color w:val="FF0000"/>
          <w:sz w:val="23"/>
          <w:szCs w:val="23"/>
        </w:rPr>
        <w:t>amendment</w:t>
      </w:r>
      <w:r w:rsidRPr="00D30BBF">
        <w:rPr>
          <w:rFonts w:ascii="Times New Roman" w:hAnsi="Times New Roman"/>
          <w:color w:val="FF0000"/>
          <w:sz w:val="23"/>
          <w:szCs w:val="23"/>
        </w:rPr>
        <w:t xml:space="preserve"> requires no change to current manufacturing methods</w:t>
      </w:r>
    </w:p>
    <w:p w14:paraId="5250B77B" w14:textId="77777777" w:rsidR="00FD0CA2" w:rsidRPr="00455E21" w:rsidRDefault="00FD0CA2" w:rsidP="00FD0CA2">
      <w:pPr>
        <w:pStyle w:val="LetteredList1"/>
        <w:numPr>
          <w:ilvl w:val="0"/>
          <w:numId w:val="7"/>
        </w:numPr>
        <w:rPr>
          <w:sz w:val="23"/>
          <w:szCs w:val="23"/>
        </w:rPr>
      </w:pPr>
      <w:r w:rsidRPr="00455E21">
        <w:rPr>
          <w:sz w:val="23"/>
          <w:szCs w:val="23"/>
        </w:rPr>
        <w:t>Consideration of operational costs (e.g., energy consumption).</w:t>
      </w:r>
    </w:p>
    <w:p w14:paraId="7D9BDD98" w14:textId="36DC242B" w:rsidR="00FD0CA2" w:rsidRPr="00455E21" w:rsidRDefault="00D30BBF" w:rsidP="00FD0CA2">
      <w:pPr>
        <w:widowControl w:val="0"/>
        <w:ind w:left="720"/>
        <w:rPr>
          <w:color w:val="FF0000"/>
          <w:sz w:val="23"/>
          <w:szCs w:val="23"/>
          <w:lang w:eastAsia="ja-JP"/>
        </w:rPr>
      </w:pPr>
      <w:r w:rsidRPr="00D30BBF">
        <w:rPr>
          <w:color w:val="FF0000"/>
          <w:sz w:val="23"/>
          <w:szCs w:val="23"/>
          <w:lang w:eastAsia="ja-JP"/>
        </w:rPr>
        <w:t xml:space="preserve">There are already </w:t>
      </w:r>
      <w:r>
        <w:rPr>
          <w:color w:val="FF0000"/>
          <w:sz w:val="23"/>
          <w:szCs w:val="23"/>
          <w:lang w:eastAsia="ja-JP"/>
        </w:rPr>
        <w:t>IEEE 802.</w:t>
      </w:r>
      <w:r w:rsidRPr="00D30BBF">
        <w:rPr>
          <w:color w:val="FF0000"/>
          <w:sz w:val="23"/>
          <w:szCs w:val="23"/>
          <w:lang w:eastAsia="ja-JP"/>
        </w:rPr>
        <w:t xml:space="preserve">15.4 devices in volume shipment operating in </w:t>
      </w:r>
      <w:r w:rsidR="000E2E86">
        <w:rPr>
          <w:color w:val="FF0000"/>
          <w:sz w:val="23"/>
          <w:szCs w:val="23"/>
          <w:lang w:eastAsia="ja-JP"/>
        </w:rPr>
        <w:t>the same</w:t>
      </w:r>
      <w:r w:rsidRPr="00D30BBF">
        <w:rPr>
          <w:color w:val="FF0000"/>
          <w:sz w:val="23"/>
          <w:szCs w:val="23"/>
          <w:lang w:eastAsia="ja-JP"/>
        </w:rPr>
        <w:t xml:space="preserve"> frequency bands</w:t>
      </w:r>
      <w:r w:rsidR="000E2E86">
        <w:rPr>
          <w:color w:val="FF0000"/>
          <w:sz w:val="23"/>
          <w:szCs w:val="23"/>
          <w:lang w:eastAsia="ja-JP"/>
        </w:rPr>
        <w:t xml:space="preserve"> and PHY modes</w:t>
      </w:r>
      <w:r w:rsidRPr="00D30BBF">
        <w:rPr>
          <w:color w:val="FF0000"/>
          <w:sz w:val="23"/>
          <w:szCs w:val="23"/>
          <w:lang w:eastAsia="ja-JP"/>
        </w:rPr>
        <w:t xml:space="preserve">. </w:t>
      </w:r>
      <w:r w:rsidR="000E2E86">
        <w:rPr>
          <w:color w:val="FF0000"/>
          <w:sz w:val="23"/>
          <w:szCs w:val="23"/>
          <w:lang w:eastAsia="ja-JP"/>
        </w:rPr>
        <w:t>The proposed enhancements included in this project have</w:t>
      </w:r>
      <w:r w:rsidRPr="00D30BBF">
        <w:rPr>
          <w:color w:val="FF0000"/>
          <w:sz w:val="23"/>
          <w:szCs w:val="23"/>
          <w:lang w:eastAsia="ja-JP"/>
        </w:rPr>
        <w:t xml:space="preserve"> zero impact on these well-known operational costs.</w:t>
      </w:r>
    </w:p>
    <w:p w14:paraId="5F911058" w14:textId="77777777" w:rsidR="00FD0CA2" w:rsidRPr="00455E21" w:rsidRDefault="00FD0CA2" w:rsidP="00FD0CA2">
      <w:pPr>
        <w:pStyle w:val="LetteredList1"/>
        <w:numPr>
          <w:ilvl w:val="0"/>
          <w:numId w:val="7"/>
        </w:numPr>
        <w:rPr>
          <w:sz w:val="23"/>
          <w:szCs w:val="23"/>
        </w:rPr>
      </w:pPr>
      <w:r w:rsidRPr="00455E21">
        <w:rPr>
          <w:sz w:val="23"/>
          <w:szCs w:val="23"/>
        </w:rPr>
        <w:t>Other areas, as appropriate.</w:t>
      </w:r>
    </w:p>
    <w:p w14:paraId="5B2CF12F" w14:textId="77777777" w:rsidR="00FD0CA2" w:rsidRPr="00455E21" w:rsidRDefault="00FD0CA2" w:rsidP="00FD0CA2">
      <w:pPr>
        <w:pStyle w:val="PlainText"/>
        <w:keepNext/>
        <w:tabs>
          <w:tab w:val="left" w:pos="360"/>
        </w:tabs>
        <w:rPr>
          <w:color w:val="FF0000"/>
          <w:sz w:val="23"/>
          <w:szCs w:val="23"/>
          <w:lang w:eastAsia="ja-JP"/>
        </w:rPr>
      </w:pPr>
    </w:p>
    <w:p w14:paraId="662D8385" w14:textId="77777777" w:rsidR="00FD0CA2" w:rsidRPr="00455E21" w:rsidRDefault="00FD0CA2" w:rsidP="00FD0CA2">
      <w:pPr>
        <w:widowControl w:val="0"/>
        <w:rPr>
          <w:sz w:val="23"/>
          <w:szCs w:val="23"/>
          <w:lang w:eastAsia="ja-JP"/>
        </w:rPr>
      </w:pPr>
    </w:p>
    <w:p w14:paraId="7B1B7149" w14:textId="77777777" w:rsidR="00B90140" w:rsidRDefault="00984D4F"/>
    <w:sectPr w:rsidR="00B90140" w:rsidSect="007A412B">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BF0F3" w14:textId="77777777" w:rsidR="00984D4F" w:rsidRDefault="00984D4F" w:rsidP="00FD0CA2">
      <w:r>
        <w:separator/>
      </w:r>
    </w:p>
  </w:endnote>
  <w:endnote w:type="continuationSeparator" w:id="0">
    <w:p w14:paraId="6F08ECA4" w14:textId="77777777" w:rsidR="00984D4F" w:rsidRDefault="00984D4F"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42E10" w14:textId="77777777" w:rsidR="008633C4" w:rsidRDefault="008633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D385" w14:textId="30DD9608" w:rsidR="001E47E8" w:rsidRPr="003F346C" w:rsidRDefault="004170B0">
    <w:pPr>
      <w:pStyle w:val="Footer"/>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sidR="003F346C">
      <w:rPr>
        <w:sz w:val="22"/>
        <w:lang w:val="de-DE"/>
      </w:rPr>
      <w:t>Matt Gillmore (</w:t>
    </w:r>
    <w:r w:rsidR="003F346C" w:rsidRPr="003F346C">
      <w:rPr>
        <w:sz w:val="22"/>
        <w:lang w:val="de-DE"/>
      </w:rPr>
      <w:t>Itron</w:t>
    </w:r>
    <w:r w:rsidR="003F346C">
      <w:rPr>
        <w:sz w:val="22"/>
        <w:lang w:val="de-DE"/>
      </w:rPr>
      <w:t>)</w:t>
    </w:r>
    <w:r w:rsidR="003F346C" w:rsidRPr="003F346C">
      <w:rPr>
        <w:sz w:val="22"/>
        <w:lang w:val="de-DE"/>
      </w:rPr>
      <w:t xml:space="preserve">, </w:t>
    </w:r>
    <w:r w:rsidR="003F346C">
      <w:rPr>
        <w:sz w:val="22"/>
        <w:lang w:val="de-DE"/>
      </w:rPr>
      <w:t>Kunal Shah</w:t>
    </w:r>
    <w:r w:rsidR="00FD0CA2" w:rsidRPr="003F346C">
      <w:rPr>
        <w:sz w:val="22"/>
        <w:lang w:val="de-DE"/>
      </w:rPr>
      <w:t xml:space="preserve"> </w:t>
    </w:r>
    <w:r w:rsidR="003F346C">
      <w:rPr>
        <w:sz w:val="22"/>
        <w:lang w:val="de-DE"/>
      </w:rPr>
      <w:t>(</w:t>
    </w:r>
    <w:r w:rsidR="003F346C" w:rsidRPr="003F346C">
      <w:rPr>
        <w:sz w:val="22"/>
        <w:lang w:val="de-DE"/>
      </w:rPr>
      <w:t>SSN</w:t>
    </w:r>
    <w:r w:rsidR="003F346C">
      <w:rPr>
        <w:sz w:val="22"/>
        <w:lang w:val="de-DE"/>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A0D1" w14:textId="77777777" w:rsidR="001E47E8" w:rsidRPr="0026282B" w:rsidRDefault="004170B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11799" w14:textId="77777777" w:rsidR="00984D4F" w:rsidRDefault="00984D4F" w:rsidP="00FD0CA2">
      <w:r>
        <w:separator/>
      </w:r>
    </w:p>
  </w:footnote>
  <w:footnote w:type="continuationSeparator" w:id="0">
    <w:p w14:paraId="5AE1280A" w14:textId="77777777" w:rsidR="00984D4F" w:rsidRDefault="00984D4F"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A205E" w14:textId="77777777" w:rsidR="008633C4" w:rsidRDefault="008633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D9DA" w14:textId="2226E499" w:rsidR="001E47E8" w:rsidRPr="00793EEA" w:rsidRDefault="004170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673401">
      <w:rPr>
        <w:b/>
        <w:noProof/>
        <w:sz w:val="28"/>
        <w:lang w:eastAsia="ja-JP"/>
      </w:rPr>
      <w:t>January</w:t>
    </w:r>
    <w:r w:rsidR="00673401">
      <w:rPr>
        <w:b/>
        <w:noProof/>
        <w:sz w:val="28"/>
      </w:rPr>
      <w:t>, 2018</w:t>
    </w:r>
    <w:r>
      <w:rPr>
        <w:b/>
        <w:sz w:val="28"/>
      </w:rPr>
      <w:fldChar w:fldCharType="end"/>
    </w:r>
    <w:r w:rsidRPr="00793EEA">
      <w:rPr>
        <w:b/>
        <w:sz w:val="28"/>
        <w:lang w:val="de-DE"/>
      </w:rPr>
      <w:tab/>
      <w:t xml:space="preserve">doc. </w:t>
    </w:r>
    <w:r w:rsidR="003F346C">
      <w:rPr>
        <w:b/>
        <w:sz w:val="28"/>
        <w:lang w:val="de-DE"/>
      </w:rPr>
      <w:t>15-17-</w:t>
    </w:r>
    <w:r w:rsidR="000F12F7">
      <w:rPr>
        <w:b/>
        <w:sz w:val="28"/>
        <w:lang w:val="de-DE"/>
      </w:rPr>
      <w:t>0622</w:t>
    </w:r>
    <w:r w:rsidRPr="00793EEA">
      <w:rPr>
        <w:b/>
        <w:sz w:val="28"/>
        <w:lang w:val="de-DE"/>
      </w:rPr>
      <w:t>-</w:t>
    </w:r>
    <w:r w:rsidR="008633C4">
      <w:rPr>
        <w:b/>
        <w:sz w:val="28"/>
        <w:lang w:val="de-DE"/>
      </w:rPr>
      <w:t>02</w:t>
    </w:r>
    <w:r w:rsidR="00FD0CA2">
      <w:rPr>
        <w:b/>
        <w:sz w:val="28"/>
        <w:lang w:val="de-DE"/>
      </w:rPr>
      <w:t>_</w:t>
    </w:r>
    <w:r>
      <w:rPr>
        <w:b/>
        <w:sz w:val="28"/>
        <w:lang w:val="de-DE"/>
      </w:rPr>
      <w:t>15.</w:t>
    </w:r>
    <w:r w:rsidR="000F12F7">
      <w:rPr>
        <w:b/>
        <w:sz w:val="28"/>
        <w:lang w:val="de-DE"/>
      </w:rPr>
      <w:t>4X</w:t>
    </w:r>
    <w:r w:rsidRPr="00793EEA">
      <w:rPr>
        <w:b/>
        <w:sz w:val="28"/>
        <w:lang w:val="de-DE"/>
      </w:rPr>
      <w:t>_CSD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D035" w14:textId="77777777" w:rsidR="001E47E8" w:rsidRDefault="004170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66ED3"/>
    <w:rsid w:val="000B08A5"/>
    <w:rsid w:val="000E2E86"/>
    <w:rsid w:val="000F12F7"/>
    <w:rsid w:val="00121EB0"/>
    <w:rsid w:val="00122F0C"/>
    <w:rsid w:val="001D7930"/>
    <w:rsid w:val="002C4028"/>
    <w:rsid w:val="002E45C2"/>
    <w:rsid w:val="00310FA7"/>
    <w:rsid w:val="003E7EDB"/>
    <w:rsid w:val="003F346C"/>
    <w:rsid w:val="004170B0"/>
    <w:rsid w:val="004A3A6A"/>
    <w:rsid w:val="0058144A"/>
    <w:rsid w:val="00673401"/>
    <w:rsid w:val="006B0E92"/>
    <w:rsid w:val="00710FCF"/>
    <w:rsid w:val="00753783"/>
    <w:rsid w:val="007663B1"/>
    <w:rsid w:val="007B468F"/>
    <w:rsid w:val="008329FB"/>
    <w:rsid w:val="00840DF3"/>
    <w:rsid w:val="008633C4"/>
    <w:rsid w:val="00984D4F"/>
    <w:rsid w:val="009B10AF"/>
    <w:rsid w:val="009B3448"/>
    <w:rsid w:val="00A02404"/>
    <w:rsid w:val="00A358BE"/>
    <w:rsid w:val="00AA023D"/>
    <w:rsid w:val="00AB5836"/>
    <w:rsid w:val="00AD3900"/>
    <w:rsid w:val="00CA3251"/>
    <w:rsid w:val="00D30BBF"/>
    <w:rsid w:val="00D34515"/>
    <w:rsid w:val="00E05D00"/>
    <w:rsid w:val="00EA1ADB"/>
    <w:rsid w:val="00ED5AF2"/>
    <w:rsid w:val="00F5589E"/>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bheile</cp:lastModifiedBy>
  <cp:revision>8</cp:revision>
  <dcterms:created xsi:type="dcterms:W3CDTF">2018-01-20T03:36:00Z</dcterms:created>
  <dcterms:modified xsi:type="dcterms:W3CDTF">2018-01-20T16:43:00Z</dcterms:modified>
</cp:coreProperties>
</file>