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18" w:rsidRPr="00F1788E" w:rsidRDefault="007C4D18" w:rsidP="007C4D18">
      <w:pPr>
        <w:pStyle w:val="Heading1"/>
        <w:rPr>
          <w:sz w:val="18"/>
        </w:rPr>
      </w:pPr>
    </w:p>
    <w:p w:rsidR="007C4D18" w:rsidRDefault="007C4D18" w:rsidP="007C4D18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7C4D18" w:rsidRDefault="007C4D18" w:rsidP="007C4D18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7C4D18" w:rsidRDefault="007C4D18" w:rsidP="007C4D18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F63966" w:rsidP="00036A45">
            <w:pPr>
              <w:pStyle w:val="covertext"/>
            </w:pPr>
            <w:r>
              <w:rPr>
                <w:b/>
                <w:sz w:val="28"/>
              </w:rPr>
              <w:t xml:space="preserve">Summary of OCC </w:t>
            </w:r>
            <w:r w:rsidR="009638D4">
              <w:rPr>
                <w:b/>
                <w:sz w:val="28"/>
              </w:rPr>
              <w:t>PHY PIB</w:t>
            </w:r>
            <w:r w:rsidR="00036A45">
              <w:rPr>
                <w:b/>
                <w:sz w:val="28"/>
              </w:rPr>
              <w:t xml:space="preserve"> attributes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036A45">
            <w:pPr>
              <w:pStyle w:val="covertext"/>
            </w:pPr>
            <w:r w:rsidRPr="005A6601">
              <w:rPr>
                <w:noProof/>
              </w:rPr>
              <w:t>[</w:t>
            </w:r>
            <w:r w:rsidR="00036A45">
              <w:rPr>
                <w:noProof/>
              </w:rPr>
              <w:t>September</w:t>
            </w:r>
            <w:r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7C4D18" w:rsidTr="007C4D18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7C4D18" w:rsidRPr="00752F22" w:rsidRDefault="007C4D18" w:rsidP="007C4D18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Nguyen, 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7C4D18" w:rsidRPr="00D12662" w:rsidRDefault="007C4D18" w:rsidP="007C4D18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Pr="00FF08A2" w:rsidRDefault="007C4D18" w:rsidP="007C4D18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036A4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 xml:space="preserve"> comments and resolutions</w:t>
            </w:r>
          </w:p>
          <w:p w:rsidR="007C4D18" w:rsidRDefault="007C4D18" w:rsidP="007C4D18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F63966" w:rsidP="007C4D18">
            <w:pPr>
              <w:pStyle w:val="covertext"/>
            </w:pPr>
            <w:r>
              <w:t xml:space="preserve">OCC </w:t>
            </w:r>
            <w:r w:rsidR="009638D4">
              <w:t>PHY PIB attributes- table separation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036A45">
            <w:pPr>
              <w:pStyle w:val="covertext"/>
            </w:pPr>
            <w:r>
              <w:t>D</w:t>
            </w:r>
            <w:r w:rsidR="00036A45">
              <w:t>4</w:t>
            </w:r>
            <w:r>
              <w:t xml:space="preserve"> comments and resolution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7C4D18" w:rsidRDefault="007C4D18">
      <w:r>
        <w:br w:type="page"/>
      </w:r>
    </w:p>
    <w:p w:rsidR="007C4D18" w:rsidRPr="000D5C8C" w:rsidRDefault="007C4D18" w:rsidP="007C4D18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>
        <w:rPr>
          <w:sz w:val="26"/>
        </w:rPr>
        <w:t>1</w:t>
      </w:r>
      <w:r w:rsidRPr="000D5C8C">
        <w:rPr>
          <w:sz w:val="26"/>
        </w:rPr>
        <w:t xml:space="preserve">: PHY </w:t>
      </w:r>
      <w:r>
        <w:rPr>
          <w:sz w:val="26"/>
        </w:rPr>
        <w:t>PIB</w:t>
      </w:r>
      <w:r w:rsidRPr="000D5C8C">
        <w:rPr>
          <w:sz w:val="26"/>
        </w:rPr>
        <w:t xml:space="preserve"> attributes </w:t>
      </w:r>
      <w:r>
        <w:rPr>
          <w:sz w:val="26"/>
        </w:rPr>
        <w:t>update</w:t>
      </w:r>
    </w:p>
    <w:p w:rsidR="007C4D18" w:rsidRDefault="007C4D18" w:rsidP="007C4D18"/>
    <w:p w:rsidR="007C4D18" w:rsidRPr="007C4D18" w:rsidRDefault="007C4D18" w:rsidP="00E94FA7">
      <w:pPr>
        <w:pStyle w:val="Heading2"/>
        <w:jc w:val="center"/>
        <w:rPr>
          <w:b/>
          <w:color w:val="FF0000"/>
          <w:sz w:val="28"/>
        </w:rPr>
      </w:pPr>
      <w:r w:rsidRPr="00D7387E">
        <w:rPr>
          <w:b/>
          <w:sz w:val="28"/>
        </w:rPr>
        <w:t xml:space="preserve">Table </w:t>
      </w:r>
      <w:r w:rsidRPr="007C4D18">
        <w:rPr>
          <w:b/>
          <w:sz w:val="28"/>
        </w:rPr>
        <w:t>125—PHY PIB attributes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46"/>
        <w:gridCol w:w="913"/>
        <w:gridCol w:w="804"/>
        <w:gridCol w:w="946"/>
        <w:gridCol w:w="5046"/>
      </w:tblGrid>
      <w:tr w:rsidR="007C4D18" w:rsidRPr="00C5251B" w:rsidTr="007C4D18">
        <w:trPr>
          <w:trHeight w:val="368"/>
        </w:trPr>
        <w:tc>
          <w:tcPr>
            <w:tcW w:w="25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13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0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7C4D18" w:rsidRPr="00D73130" w:rsidTr="007C4D18">
        <w:trPr>
          <w:trHeight w:val="620"/>
        </w:trPr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phyCurrentChannel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0x00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phyCCAMode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0x01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phyDim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0x02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phyUseExtendedMode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0x03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phyColorFunction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0x04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Default="007C4D18" w:rsidP="007C4D1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phyBlinkingNotification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-</w:t>
            </w:r>
          </w:p>
          <w:p w:rsidR="007C4D18" w:rsidRDefault="007C4D18" w:rsidP="007C4D18">
            <w:pPr>
              <w:pStyle w:val="NormalWeb"/>
              <w:spacing w:before="0" w:beforeAutospacing="0" w:after="0" w:afterAutospacing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Frequency</w:t>
            </w:r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0x05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Pr="007C4D18" w:rsidRDefault="007C4D18" w:rsidP="007C4D1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7C4D18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13" w:type="dxa"/>
          </w:tcPr>
          <w:p w:rsidR="007C4D18" w:rsidRPr="007C4D18" w:rsidRDefault="00D42CD1" w:rsidP="007C4D18">
            <w:pPr>
              <w:pStyle w:val="NormalWeb"/>
              <w:spacing w:before="0" w:beforeAutospacing="0" w:after="0" w:afterAutospacing="0"/>
              <w:jc w:val="center"/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0x06</w:t>
            </w:r>
          </w:p>
        </w:tc>
        <w:tc>
          <w:tcPr>
            <w:tcW w:w="804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Boolean</w:t>
            </w:r>
          </w:p>
        </w:tc>
        <w:tc>
          <w:tcPr>
            <w:tcW w:w="946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0/1</w:t>
            </w:r>
          </w:p>
        </w:tc>
        <w:tc>
          <w:tcPr>
            <w:tcW w:w="5046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This attribute enables the PHY modes for OCC.</w:t>
            </w:r>
          </w:p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0: PHY I, II, and III</w:t>
            </w:r>
          </w:p>
          <w:p w:rsidR="00A05356" w:rsidRPr="007C4D18" w:rsidRDefault="007C4D18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1: PHY IV, V, and VI.</w:t>
            </w:r>
            <w:r w:rsidR="00A0535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A05356" w:rsidRPr="00D73130" w:rsidTr="007C4D18">
        <w:trPr>
          <w:trHeight w:val="440"/>
        </w:trPr>
        <w:tc>
          <w:tcPr>
            <w:tcW w:w="2546" w:type="dxa"/>
          </w:tcPr>
          <w:p w:rsidR="00A05356" w:rsidRPr="007C4D18" w:rsidRDefault="00A05356" w:rsidP="00A0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proofErr w:type="spellStart"/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phyOccMcsID</w:t>
            </w:r>
            <w:proofErr w:type="spellEnd"/>
          </w:p>
        </w:tc>
        <w:tc>
          <w:tcPr>
            <w:tcW w:w="913" w:type="dxa"/>
          </w:tcPr>
          <w:p w:rsidR="00A05356" w:rsidRPr="00A05356" w:rsidRDefault="00D42CD1" w:rsidP="00A05356">
            <w:pPr>
              <w:pStyle w:val="NormalWeb"/>
              <w:spacing w:before="0" w:beforeAutospacing="0" w:after="0" w:afterAutospacing="0"/>
              <w:jc w:val="center"/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0x07</w:t>
            </w:r>
          </w:p>
        </w:tc>
        <w:tc>
          <w:tcPr>
            <w:tcW w:w="804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6" w:type="dxa"/>
          </w:tcPr>
          <w:p w:rsidR="00A05356" w:rsidRPr="00A05356" w:rsidRDefault="00E94FA7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0-15</w:t>
            </w:r>
          </w:p>
        </w:tc>
        <w:tc>
          <w:tcPr>
            <w:tcW w:w="5046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This attribute identifies the OCC modulation</w:t>
            </w:r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when </w:t>
            </w:r>
            <w:proofErr w:type="spellStart"/>
            <w:r w:rsidR="00D42CD1" w:rsidRPr="007C4D18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</w:t>
            </w:r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Enable</w:t>
            </w:r>
            <w:proofErr w:type="spellEnd"/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=1</w:t>
            </w: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. The proper values for t</w:t>
            </w: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he modulation and coding identification of OCC modes are described in table 126</w:t>
            </w:r>
            <w:r w:rsidR="00D42CD1">
              <w:rPr>
                <w:rFonts w:ascii="Arial" w:hAnsi="Arial" w:cs="Arial"/>
                <w:color w:val="FF0000"/>
                <w:sz w:val="16"/>
                <w:szCs w:val="16"/>
              </w:rPr>
              <w:t xml:space="preserve"> (new)</w:t>
            </w: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7C4D18" w:rsidRPr="00486F9C" w:rsidRDefault="007C4D18" w:rsidP="007C4D18">
      <w:pPr>
        <w:jc w:val="center"/>
        <w:rPr>
          <w:b/>
          <w:sz w:val="28"/>
        </w:rPr>
      </w:pPr>
    </w:p>
    <w:p w:rsidR="007C4D18" w:rsidRPr="00486F9C" w:rsidRDefault="007C4D18" w:rsidP="00E94FA7">
      <w:pPr>
        <w:pStyle w:val="Heading2"/>
        <w:jc w:val="center"/>
        <w:rPr>
          <w:b/>
          <w:color w:val="auto"/>
          <w:sz w:val="28"/>
        </w:rPr>
      </w:pPr>
      <w:r w:rsidRPr="00486F9C">
        <w:rPr>
          <w:b/>
          <w:color w:val="auto"/>
          <w:sz w:val="28"/>
        </w:rPr>
        <w:t>Table 126</w:t>
      </w:r>
      <w:r w:rsidR="00DD62F4" w:rsidRPr="00486F9C">
        <w:rPr>
          <w:b/>
          <w:color w:val="auto"/>
          <w:sz w:val="28"/>
        </w:rPr>
        <w:t xml:space="preserve"> (new)</w:t>
      </w:r>
      <w:r w:rsidRPr="00486F9C">
        <w:rPr>
          <w:b/>
          <w:color w:val="auto"/>
          <w:sz w:val="28"/>
        </w:rPr>
        <w:t>:</w:t>
      </w:r>
      <w:r w:rsidR="00A05356" w:rsidRPr="00486F9C">
        <w:rPr>
          <w:b/>
          <w:color w:val="auto"/>
          <w:sz w:val="28"/>
        </w:rPr>
        <w:t xml:space="preserve"> OCC PHY modes identification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060"/>
        <w:gridCol w:w="5310"/>
      </w:tblGrid>
      <w:tr w:rsidR="00486F9C" w:rsidRPr="00486F9C" w:rsidTr="00A05356">
        <w:trPr>
          <w:trHeight w:val="350"/>
        </w:trPr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86F9C">
              <w:rPr>
                <w:rFonts w:ascii="Arial" w:hAnsi="Arial" w:cs="Arial"/>
                <w:b/>
                <w:sz w:val="16"/>
                <w:szCs w:val="16"/>
              </w:rPr>
              <w:t>phyOccMcsID</w:t>
            </w:r>
            <w:proofErr w:type="spellEnd"/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F9C">
              <w:rPr>
                <w:rFonts w:ascii="Arial" w:hAnsi="Arial" w:cs="Arial"/>
                <w:b/>
                <w:sz w:val="16"/>
                <w:szCs w:val="16"/>
              </w:rPr>
              <w:t>PHY OCC mode Description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UFSOOK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Twinkle VPPM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S2-PSK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HS-PSK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Offset-VPPM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RS-FSK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CM-FSK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C-OOK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MPM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A-QL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10" w:type="dxa"/>
          </w:tcPr>
          <w:p w:rsidR="00A05356" w:rsidRPr="00486F9C" w:rsidRDefault="00982FBA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HA-QL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VTASC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IDE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E94FA7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13-15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</w:tbl>
    <w:p w:rsidR="007C4D18" w:rsidRDefault="007C4D18" w:rsidP="007C4D18">
      <w:pPr>
        <w:jc w:val="center"/>
        <w:rPr>
          <w:b/>
          <w:sz w:val="28"/>
        </w:rPr>
      </w:pPr>
    </w:p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12</w:t>
      </w:r>
      <w:r w:rsidR="00DD62F4">
        <w:rPr>
          <w:b/>
          <w:sz w:val="28"/>
        </w:rPr>
        <w:t>7 (new)</w:t>
      </w:r>
      <w:r>
        <w:rPr>
          <w:b/>
          <w:sz w:val="28"/>
        </w:rPr>
        <w:t>: PHY PIB attributes for UFSOOK mode</w:t>
      </w:r>
    </w:p>
    <w:p w:rsidR="007C4D18" w:rsidRDefault="007C4D18"/>
    <w:p w:rsidR="00726DD2" w:rsidRDefault="00726DD2"/>
    <w:p w:rsidR="00A05356" w:rsidRDefault="00A05356"/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12</w:t>
      </w:r>
      <w:r w:rsidR="00DD62F4">
        <w:rPr>
          <w:b/>
          <w:sz w:val="28"/>
        </w:rPr>
        <w:t>8 (new)</w:t>
      </w:r>
      <w:r>
        <w:rPr>
          <w:b/>
          <w:sz w:val="28"/>
        </w:rPr>
        <w:t>: PHY PIB attributes for Twinkle mode</w:t>
      </w:r>
    </w:p>
    <w:p w:rsidR="00A05356" w:rsidRDefault="00A05356"/>
    <w:p w:rsidR="00A05356" w:rsidRDefault="00A05356"/>
    <w:p w:rsidR="00DD62F4" w:rsidRPr="00D7387E" w:rsidRDefault="00DD62F4" w:rsidP="00DD62F4">
      <w:pPr>
        <w:pStyle w:val="Heading2"/>
        <w:rPr>
          <w:b/>
          <w:sz w:val="28"/>
        </w:rPr>
      </w:pPr>
      <w:r>
        <w:rPr>
          <w:b/>
          <w:sz w:val="28"/>
        </w:rPr>
        <w:lastRenderedPageBreak/>
        <w:t xml:space="preserve">Table 129 (new): PHY PIB attributes for S2-PSK mode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810"/>
        <w:gridCol w:w="900"/>
        <w:gridCol w:w="828"/>
        <w:gridCol w:w="5292"/>
      </w:tblGrid>
      <w:tr w:rsidR="00DD62F4" w:rsidTr="006A7FEA">
        <w:trPr>
          <w:trHeight w:val="368"/>
        </w:trPr>
        <w:tc>
          <w:tcPr>
            <w:tcW w:w="2425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810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900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828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292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DD62F4" w:rsidTr="006A7FEA">
        <w:tc>
          <w:tcPr>
            <w:tcW w:w="2425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phyS2pskOpticalClockRate</w:t>
            </w:r>
          </w:p>
        </w:tc>
        <w:tc>
          <w:tcPr>
            <w:tcW w:w="810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5292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optical clock rate (or symbol rate) applied for S2-PSK.</w:t>
            </w:r>
          </w:p>
          <w:p w:rsidR="00DD62F4" w:rsidRPr="009E3C12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</w:t>
            </w:r>
            <w:r w:rsidR="00DD62F4"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DD62F4" w:rsidRPr="009E3C12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</w:t>
            </w:r>
            <w:r w:rsidR="00DD62F4"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DD62F4" w:rsidRPr="009E3C12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</w:t>
            </w:r>
            <w:r w:rsidR="00DD62F4"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F4" w:rsidTr="006A7FEA">
        <w:tc>
          <w:tcPr>
            <w:tcW w:w="2425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phyS2pskLineCode</w:t>
            </w:r>
          </w:p>
        </w:tc>
        <w:tc>
          <w:tcPr>
            <w:tcW w:w="81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specifies the line coding for S2-PSK.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6A7FEA" w:rsidRPr="009E3C12">
              <w:rPr>
                <w:rFonts w:ascii="Arial" w:hAnsi="Arial" w:cs="Arial"/>
                <w:kern w:val="24"/>
                <w:sz w:val="16"/>
                <w:szCs w:val="16"/>
              </w:rPr>
              <w:t>half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rate line coding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Others: Reserved</w:t>
            </w:r>
          </w:p>
          <w:p w:rsidR="00DD62F4" w:rsidRPr="009E3C12" w:rsidRDefault="00DD62F4" w:rsidP="00D34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</w:t>
            </w:r>
          </w:p>
        </w:tc>
      </w:tr>
      <w:tr w:rsidR="00DD62F4" w:rsidTr="006A7FEA">
        <w:tc>
          <w:tcPr>
            <w:tcW w:w="2425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phyS2pskFec</w:t>
            </w:r>
          </w:p>
        </w:tc>
        <w:tc>
          <w:tcPr>
            <w:tcW w:w="81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FEC for S2-PSK.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875242" w:rsidRPr="009E3C12" w:rsidRDefault="00875242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RS(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15,11)</w:t>
            </w:r>
          </w:p>
          <w:p w:rsidR="00DD62F4" w:rsidRPr="009E3C12" w:rsidRDefault="00DD62F4" w:rsidP="00D34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DD62F4" w:rsidTr="006A7FEA">
        <w:tc>
          <w:tcPr>
            <w:tcW w:w="2425" w:type="dxa"/>
          </w:tcPr>
          <w:p w:rsidR="00DD62F4" w:rsidRPr="00D73130" w:rsidRDefault="00DD62F4" w:rsidP="009E3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phyS2pskN</w:t>
            </w:r>
            <w:r w:rsidR="009E3C1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um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LightSources</w:t>
            </w:r>
          </w:p>
        </w:tc>
        <w:tc>
          <w:tcPr>
            <w:tcW w:w="81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292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S2-PSK signal.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   two light sources</w:t>
            </w:r>
          </w:p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1-3: Reserved</w:t>
            </w:r>
          </w:p>
        </w:tc>
      </w:tr>
      <w:tr w:rsidR="00DD62F4" w:rsidTr="006A7FEA">
        <w:tc>
          <w:tcPr>
            <w:tcW w:w="2425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phyS2pskModulationRate</w:t>
            </w:r>
          </w:p>
        </w:tc>
        <w:tc>
          <w:tcPr>
            <w:tcW w:w="81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S2-PSK.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0: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200 Hz</w:t>
            </w:r>
          </w:p>
          <w:p w:rsidR="00875242" w:rsidRPr="0077119D" w:rsidRDefault="005D2726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  <w:r w:rsidR="00875242">
              <w:rPr>
                <w:rFonts w:ascii="Arial" w:hAnsi="Arial" w:cs="Arial"/>
                <w:kern w:val="24"/>
                <w:sz w:val="16"/>
                <w:szCs w:val="16"/>
              </w:rPr>
              <w:t>: 1000 Hz</w:t>
            </w:r>
          </w:p>
          <w:p w:rsidR="00DD62F4" w:rsidRPr="00D73130" w:rsidRDefault="005D2726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2</w:t>
            </w:r>
            <w:r w:rsidR="00DD62F4" w:rsidRPr="0077119D">
              <w:rPr>
                <w:rFonts w:ascii="Arial" w:hAnsi="Arial" w:cs="Arial"/>
                <w:kern w:val="24"/>
                <w:sz w:val="16"/>
                <w:szCs w:val="16"/>
              </w:rPr>
              <w:t>-7: Reserved</w:t>
            </w:r>
          </w:p>
        </w:tc>
      </w:tr>
      <w:tr w:rsidR="00CF3803" w:rsidTr="006A7FEA">
        <w:tc>
          <w:tcPr>
            <w:tcW w:w="2425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S2psk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</w:p>
        </w:tc>
        <w:tc>
          <w:tcPr>
            <w:tcW w:w="810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5292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This is to specify the length </w:t>
            </w:r>
            <w:r>
              <w:rPr>
                <w:rFonts w:ascii="Arial" w:hAnsi="Arial" w:cs="Arial"/>
                <w:kern w:val="24"/>
                <w:sz w:val="16"/>
                <w:szCs w:val="16"/>
              </w:rPr>
              <w:t>PSDU in byte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.</w:t>
            </w:r>
          </w:p>
        </w:tc>
      </w:tr>
    </w:tbl>
    <w:p w:rsidR="00DD62F4" w:rsidRDefault="00DD62F4" w:rsidP="00DD62F4"/>
    <w:p w:rsidR="00DD62F4" w:rsidRDefault="00DD62F4" w:rsidP="00DD62F4"/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94FA7">
        <w:rPr>
          <w:b/>
          <w:sz w:val="28"/>
        </w:rPr>
        <w:t>0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HS-PSK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810"/>
        <w:gridCol w:w="900"/>
        <w:gridCol w:w="828"/>
        <w:gridCol w:w="5292"/>
      </w:tblGrid>
      <w:tr w:rsidR="00220E3E" w:rsidTr="006A7FEA">
        <w:trPr>
          <w:trHeight w:val="368"/>
        </w:trPr>
        <w:tc>
          <w:tcPr>
            <w:tcW w:w="2425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810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900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828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292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220E3E" w:rsidTr="006A7FEA">
        <w:tc>
          <w:tcPr>
            <w:tcW w:w="2425" w:type="dxa"/>
          </w:tcPr>
          <w:p w:rsidR="00220E3E" w:rsidRPr="009E3C12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HspskO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pticalClockRate</w:t>
            </w:r>
            <w:proofErr w:type="spellEnd"/>
          </w:p>
        </w:tc>
        <w:tc>
          <w:tcPr>
            <w:tcW w:w="81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5292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HS-PSK.</w:t>
            </w:r>
          </w:p>
          <w:p w:rsidR="00E94FA7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10 kHz</w:t>
            </w:r>
          </w:p>
          <w:p w:rsidR="00220E3E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1:  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50 kHz</w:t>
            </w:r>
          </w:p>
          <w:p w:rsidR="00220E3E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others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: Reserved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  <w:vAlign w:val="center"/>
          </w:tcPr>
          <w:p w:rsidR="00220E3E" w:rsidRPr="009E3C12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HspskLine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81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specifies the 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line coding for HS-PSK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</w:t>
            </w:r>
          </w:p>
          <w:p w:rsidR="00220E3E" w:rsidRPr="009E3C12" w:rsidRDefault="006A7FEA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half-rate code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for S2-PSK and none for DS8-PSK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  <w:vAlign w:val="center"/>
          </w:tcPr>
          <w:p w:rsidR="00220E3E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phyHspsk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81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9E3C12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for HS-PSK modulation.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for both S2-PSK and DS8-PSK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None for S2-PSK and RS (15, 11) for DS8-PSK</w:t>
            </w:r>
          </w:p>
          <w:p w:rsidR="006A7FEA" w:rsidRPr="009E3C12" w:rsidRDefault="006A7FEA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RS (15,11) for S2-PSK and RS (15, 7) for DS8-PSK</w:t>
            </w:r>
          </w:p>
          <w:p w:rsidR="00220E3E" w:rsidRPr="009E3C12" w:rsidRDefault="00220E3E" w:rsidP="006A7F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220E3E" w:rsidTr="006A7FEA">
        <w:tc>
          <w:tcPr>
            <w:tcW w:w="2425" w:type="dxa"/>
          </w:tcPr>
          <w:p w:rsidR="00220E3E" w:rsidRPr="009E3C12" w:rsidRDefault="00220E3E" w:rsidP="00BF3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phyHSpskN</w:t>
            </w:r>
            <w:r w:rsidR="00BF3213">
              <w:rPr>
                <w:rFonts w:ascii="Arial" w:hAnsi="Arial" w:cs="Arial"/>
                <w:kern w:val="24"/>
                <w:sz w:val="16"/>
                <w:szCs w:val="16"/>
              </w:rPr>
              <w:t>um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LightSources</w:t>
            </w:r>
            <w:proofErr w:type="spellEnd"/>
          </w:p>
        </w:tc>
        <w:tc>
          <w:tcPr>
            <w:tcW w:w="81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light sources used to modulate HS-PSK signal.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  two light sources, each consists of 8 LEDs.</w:t>
            </w:r>
          </w:p>
          <w:p w:rsidR="00220E3E" w:rsidRPr="009E3C12" w:rsidRDefault="004D7D1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-7: Reserved</w:t>
            </w:r>
          </w:p>
        </w:tc>
      </w:tr>
      <w:tr w:rsidR="00220E3E" w:rsidTr="006A7FEA">
        <w:trPr>
          <w:trHeight w:val="521"/>
        </w:trPr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HighStreamMode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modulation of high data stream.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:   DS8-PSK mode</w:t>
            </w:r>
          </w:p>
          <w:p w:rsidR="00220E3E" w:rsidRPr="00D73130" w:rsidRDefault="004D7D1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  <w:r w:rsidR="00220E3E" w:rsidRPr="0077119D">
              <w:rPr>
                <w:rFonts w:ascii="Arial" w:hAnsi="Arial" w:cs="Arial"/>
                <w:kern w:val="24"/>
                <w:sz w:val="16"/>
                <w:szCs w:val="16"/>
              </w:rPr>
              <w:t>-7: Reserved</w:t>
            </w: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phyHSpskModulationRate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modulation frequency used for S2-PSK and DSM-PSK of HS-PSK.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200Hz for S2-PSK and 80 kHz for DS8-PSK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1: </w:t>
            </w:r>
            <w:r w:rsidR="00403206">
              <w:rPr>
                <w:rFonts w:ascii="Arial" w:hAnsi="Arial" w:cs="Arial"/>
                <w:kern w:val="24"/>
                <w:sz w:val="16"/>
                <w:szCs w:val="16"/>
              </w:rPr>
              <w:t>1 k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Hz for S2-PSK and 400 kHz for DS8-PSK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LowDim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0-5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00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the </w:t>
            </w:r>
            <w:r w:rsidR="00E6178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low dimming level of DS8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-PSK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HighDim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500-10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00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 dimming level of DS</w:t>
            </w:r>
            <w:r w:rsidR="00E6178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-PSK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phyHSpskPsduLength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DB6632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This is to specify the length </w:t>
            </w:r>
            <w:r w:rsidR="007F3883">
              <w:rPr>
                <w:rFonts w:ascii="Arial" w:hAnsi="Arial" w:cs="Arial"/>
                <w:kern w:val="24"/>
                <w:sz w:val="16"/>
                <w:szCs w:val="16"/>
              </w:rPr>
              <w:t xml:space="preserve">in byte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of the high-speed link of HS-PSK.</w:t>
            </w:r>
          </w:p>
        </w:tc>
      </w:tr>
    </w:tbl>
    <w:p w:rsidR="00A05356" w:rsidRDefault="00A05356"/>
    <w:p w:rsidR="00A05356" w:rsidRPr="00D7387E" w:rsidRDefault="00A05356" w:rsidP="00E7238F">
      <w:pPr>
        <w:pStyle w:val="Heading2"/>
        <w:rPr>
          <w:b/>
          <w:sz w:val="28"/>
        </w:rPr>
      </w:pPr>
      <w:r>
        <w:rPr>
          <w:b/>
          <w:sz w:val="28"/>
        </w:rPr>
        <w:lastRenderedPageBreak/>
        <w:t>Table 13</w:t>
      </w:r>
      <w:r w:rsidR="00E7238F">
        <w:rPr>
          <w:b/>
          <w:sz w:val="28"/>
        </w:rPr>
        <w:t>1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Offset-VPPM mode</w:t>
      </w:r>
    </w:p>
    <w:p w:rsidR="00A05356" w:rsidRDefault="00A0535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990"/>
        <w:gridCol w:w="900"/>
        <w:gridCol w:w="810"/>
        <w:gridCol w:w="4405"/>
      </w:tblGrid>
      <w:tr w:rsidR="00017BC7" w:rsidRPr="002874E1" w:rsidTr="00017BC7">
        <w:tc>
          <w:tcPr>
            <w:tcW w:w="2245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Attribute</w:t>
            </w:r>
          </w:p>
        </w:tc>
        <w:tc>
          <w:tcPr>
            <w:tcW w:w="990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Ident</w:t>
            </w:r>
          </w:p>
        </w:tc>
        <w:tc>
          <w:tcPr>
            <w:tcW w:w="900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Type</w:t>
            </w:r>
          </w:p>
        </w:tc>
        <w:tc>
          <w:tcPr>
            <w:tcW w:w="810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Range</w:t>
            </w:r>
          </w:p>
        </w:tc>
        <w:tc>
          <w:tcPr>
            <w:tcW w:w="4405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Description</w:t>
            </w:r>
          </w:p>
        </w:tc>
      </w:tr>
      <w:tr w:rsidR="00017BC7" w:rsidRPr="002C2340" w:rsidTr="00017BC7">
        <w:tc>
          <w:tcPr>
            <w:tcW w:w="2245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phySMFlashLIGHTApplicationSpecificMode</w:t>
            </w:r>
            <w:proofErr w:type="spellEnd"/>
          </w:p>
        </w:tc>
        <w:tc>
          <w:tcPr>
            <w:tcW w:w="99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0x10</w:t>
            </w:r>
          </w:p>
        </w:tc>
        <w:tc>
          <w:tcPr>
            <w:tcW w:w="90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81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0~255</w:t>
            </w:r>
          </w:p>
        </w:tc>
        <w:tc>
          <w:tcPr>
            <w:tcW w:w="4405" w:type="dxa"/>
          </w:tcPr>
          <w:p w:rsidR="00017BC7" w:rsidRPr="00017BC7" w:rsidRDefault="00017BC7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8"/>
                <w:szCs w:val="20"/>
              </w:rPr>
            </w:pPr>
            <w:r w:rsidRPr="00017BC7">
              <w:rPr>
                <w:rFonts w:cs="TimesNewRomanPSMT"/>
                <w:sz w:val="18"/>
                <w:szCs w:val="20"/>
              </w:rPr>
              <w:t>This attribute specifies the application specific PHY mode.</w:t>
            </w:r>
          </w:p>
          <w:p w:rsidR="00017BC7" w:rsidRPr="00017BC7" w:rsidRDefault="00017BC7" w:rsidP="00576AC3">
            <w:pPr>
              <w:jc w:val="both"/>
              <w:rPr>
                <w:sz w:val="18"/>
                <w:szCs w:val="20"/>
              </w:rPr>
            </w:pPr>
            <w:proofErr w:type="gramStart"/>
            <w:r w:rsidRPr="00017BC7">
              <w:rPr>
                <w:sz w:val="18"/>
                <w:szCs w:val="20"/>
              </w:rPr>
              <w:t>0 :</w:t>
            </w:r>
            <w:proofErr w:type="gramEnd"/>
            <w:r w:rsidRPr="00017BC7">
              <w:rPr>
                <w:sz w:val="18"/>
                <w:szCs w:val="20"/>
              </w:rPr>
              <w:t xml:space="preserve"> Normal Data (Media Content, Information Content based on the Application used)</w:t>
            </w:r>
          </w:p>
          <w:p w:rsidR="00017BC7" w:rsidRPr="00017BC7" w:rsidRDefault="00017BC7" w:rsidP="00576AC3">
            <w:pPr>
              <w:jc w:val="both"/>
              <w:rPr>
                <w:sz w:val="18"/>
                <w:szCs w:val="20"/>
              </w:rPr>
            </w:pPr>
            <w:proofErr w:type="gramStart"/>
            <w:r w:rsidRPr="00017BC7">
              <w:rPr>
                <w:sz w:val="18"/>
                <w:szCs w:val="20"/>
              </w:rPr>
              <w:t>1 :</w:t>
            </w:r>
            <w:proofErr w:type="gramEnd"/>
            <w:r w:rsidRPr="00017BC7">
              <w:rPr>
                <w:sz w:val="18"/>
                <w:szCs w:val="20"/>
              </w:rPr>
              <w:t xml:space="preserve"> ID Data </w:t>
            </w:r>
          </w:p>
          <w:p w:rsidR="00017BC7" w:rsidRPr="00017BC7" w:rsidRDefault="00017BC7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8"/>
                <w:szCs w:val="20"/>
              </w:rPr>
            </w:pPr>
            <w:r w:rsidRPr="00017BC7">
              <w:rPr>
                <w:sz w:val="18"/>
                <w:szCs w:val="20"/>
              </w:rPr>
              <w:t>2 : Authentication Data</w:t>
            </w:r>
          </w:p>
        </w:tc>
      </w:tr>
      <w:tr w:rsidR="00017BC7" w:rsidRPr="002C2340" w:rsidTr="00017BC7">
        <w:tc>
          <w:tcPr>
            <w:tcW w:w="2245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phyOffsetVPWMStdPERIOD</w:t>
            </w:r>
            <w:proofErr w:type="spellEnd"/>
          </w:p>
        </w:tc>
        <w:tc>
          <w:tcPr>
            <w:tcW w:w="99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0x11</w:t>
            </w:r>
          </w:p>
        </w:tc>
        <w:tc>
          <w:tcPr>
            <w:tcW w:w="90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Integer</w:t>
            </w:r>
          </w:p>
        </w:tc>
        <w:tc>
          <w:tcPr>
            <w:tcW w:w="81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405" w:type="dxa"/>
          </w:tcPr>
          <w:p w:rsidR="00017BC7" w:rsidRPr="00017BC7" w:rsidRDefault="00017BC7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8"/>
                <w:szCs w:val="20"/>
              </w:rPr>
            </w:pPr>
            <w:r w:rsidRPr="00017BC7">
              <w:rPr>
                <w:sz w:val="18"/>
                <w:szCs w:val="20"/>
              </w:rPr>
              <w:t>This attribute specify the standard PWM period used to transmit the data (in micro secs)</w:t>
            </w:r>
          </w:p>
        </w:tc>
      </w:tr>
      <w:tr w:rsidR="00017BC7" w:rsidRPr="002C2340" w:rsidTr="00017BC7">
        <w:tc>
          <w:tcPr>
            <w:tcW w:w="2245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phyOffsetVPWMOffsetPERIOD</w:t>
            </w:r>
            <w:proofErr w:type="spellEnd"/>
          </w:p>
        </w:tc>
        <w:tc>
          <w:tcPr>
            <w:tcW w:w="99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0x12</w:t>
            </w:r>
          </w:p>
        </w:tc>
        <w:tc>
          <w:tcPr>
            <w:tcW w:w="90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Integer</w:t>
            </w:r>
          </w:p>
        </w:tc>
        <w:tc>
          <w:tcPr>
            <w:tcW w:w="81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405" w:type="dxa"/>
          </w:tcPr>
          <w:p w:rsidR="00017BC7" w:rsidRPr="00017BC7" w:rsidRDefault="00017BC7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8"/>
                <w:szCs w:val="20"/>
              </w:rPr>
            </w:pPr>
            <w:r w:rsidRPr="00017BC7">
              <w:rPr>
                <w:sz w:val="18"/>
                <w:szCs w:val="20"/>
              </w:rPr>
              <w:t>This attribute specify the Variable offset PWM period used to transmit the data (in micro secs)</w:t>
            </w:r>
          </w:p>
        </w:tc>
      </w:tr>
    </w:tbl>
    <w:p w:rsidR="00017BC7" w:rsidRDefault="00017BC7"/>
    <w:p w:rsidR="00A05356" w:rsidRDefault="00A05356"/>
    <w:p w:rsidR="00411C77" w:rsidRDefault="00411C77" w:rsidP="00411C77">
      <w:pPr>
        <w:pStyle w:val="Heading2"/>
        <w:rPr>
          <w:b/>
          <w:sz w:val="28"/>
        </w:rPr>
      </w:pPr>
      <w:r>
        <w:rPr>
          <w:b/>
          <w:sz w:val="28"/>
        </w:rPr>
        <w:t xml:space="preserve">Table 132 (new): PHY PIB attributes for </w:t>
      </w:r>
      <w:r w:rsidR="00E47E03">
        <w:rPr>
          <w:b/>
          <w:sz w:val="28"/>
        </w:rPr>
        <w:t>N</w:t>
      </w:r>
      <w:r>
        <w:rPr>
          <w:b/>
          <w:sz w:val="28"/>
        </w:rPr>
        <w:t>S-FSK mode</w:t>
      </w:r>
      <w:bookmarkStart w:id="0" w:name="_GoBack"/>
      <w:bookmarkEnd w:id="0"/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411C77" w:rsidTr="00FA07FD">
        <w:trPr>
          <w:trHeight w:val="368"/>
        </w:trPr>
        <w:tc>
          <w:tcPr>
            <w:tcW w:w="2698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411C77" w:rsidTr="00FA07FD">
        <w:tc>
          <w:tcPr>
            <w:tcW w:w="2698" w:type="dxa"/>
          </w:tcPr>
          <w:p w:rsidR="00411C77" w:rsidRPr="009E3C12" w:rsidRDefault="00E47E03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kern w:val="24"/>
                <w:sz w:val="16"/>
                <w:szCs w:val="16"/>
              </w:rPr>
              <w:t>phyN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sfskOpticalClockRate</w:t>
            </w:r>
            <w:proofErr w:type="spellEnd"/>
          </w:p>
        </w:tc>
        <w:tc>
          <w:tcPr>
            <w:tcW w:w="9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optical clock rate (or symbol rate) applied for RS-FSK.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C77" w:rsidTr="00FA07FD">
        <w:tc>
          <w:tcPr>
            <w:tcW w:w="2698" w:type="dxa"/>
            <w:vAlign w:val="center"/>
          </w:tcPr>
          <w:p w:rsidR="00411C77" w:rsidRPr="009E3C12" w:rsidRDefault="00E47E03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kern w:val="24"/>
                <w:sz w:val="16"/>
                <w:szCs w:val="16"/>
              </w:rPr>
              <w:t>phyN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sfskFec</w:t>
            </w:r>
            <w:proofErr w:type="spellEnd"/>
          </w:p>
        </w:tc>
        <w:tc>
          <w:tcPr>
            <w:tcW w:w="904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FEC for NS-FSK modulation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XOR FEC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C77" w:rsidTr="00FA07FD">
        <w:tc>
          <w:tcPr>
            <w:tcW w:w="2698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 w:hint="eastAsia"/>
                <w:kern w:val="24"/>
                <w:sz w:val="16"/>
                <w:szCs w:val="16"/>
              </w:rPr>
              <w:t>phyNsfsk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NumFrequency</w:t>
            </w:r>
            <w:proofErr w:type="spellEnd"/>
          </w:p>
        </w:tc>
        <w:tc>
          <w:tcPr>
            <w:tcW w:w="9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</w:t>
            </w:r>
            <w:r w:rsidRPr="009E3C12">
              <w:rPr>
                <w:rFonts w:ascii="Arial" w:hAnsi="Arial" w:cs="Arial" w:hint="eastAsia"/>
                <w:kern w:val="24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940" w:type="dxa"/>
          </w:tcPr>
          <w:p w:rsidR="00411C77" w:rsidRPr="009E3C12" w:rsidRDefault="00411C77" w:rsidP="007A3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 w:hint="eastAsia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frequencies used to modulate data in NS-FSK.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NS-FSK-C8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NS-FSK-C16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411C77" w:rsidTr="00FA07FD">
        <w:tc>
          <w:tcPr>
            <w:tcW w:w="2698" w:type="dxa"/>
          </w:tcPr>
          <w:p w:rsidR="00411C77" w:rsidRPr="009E3C12" w:rsidRDefault="00411C77" w:rsidP="00FA07FD">
            <w:proofErr w:type="spellStart"/>
            <w:r w:rsidRPr="009E3C12">
              <w:rPr>
                <w:rFonts w:ascii="Arial" w:eastAsia="Times New Roman" w:hAnsi="Arial" w:cs="Arial"/>
                <w:kern w:val="24"/>
                <w:sz w:val="16"/>
                <w:szCs w:val="16"/>
              </w:rPr>
              <w:t>phyNsfskInvFrequencyGap</w:t>
            </w:r>
            <w:proofErr w:type="spellEnd"/>
          </w:p>
        </w:tc>
        <w:tc>
          <w:tcPr>
            <w:tcW w:w="904" w:type="dxa"/>
          </w:tcPr>
          <w:p w:rsidR="00411C77" w:rsidRPr="009E3C12" w:rsidRDefault="00411C77" w:rsidP="00FA07FD"/>
        </w:tc>
        <w:tc>
          <w:tcPr>
            <w:tcW w:w="804" w:type="dxa"/>
          </w:tcPr>
          <w:p w:rsidR="00411C77" w:rsidRPr="009E3C12" w:rsidRDefault="00411C77" w:rsidP="00FA07FD">
            <w:proofErr w:type="spellStart"/>
            <w:r w:rsidRPr="009E3C12">
              <w:rPr>
                <w:rFonts w:ascii="Arial" w:eastAsia="Times New Roman" w:hAnsi="Arial" w:cs="Arial" w:hint="eastAsia"/>
                <w:kern w:val="24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Pr="009E3C12" w:rsidRDefault="00411C77" w:rsidP="007A3CB3">
            <w:pPr>
              <w:jc w:val="center"/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>0-3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rPr>
                <w:rFonts w:ascii="Arial" w:eastAsia="Times New Roman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Times New Roman" w:hAnsi="Arial" w:cs="Arial"/>
                <w:kern w:val="24"/>
                <w:sz w:val="16"/>
                <w:szCs w:val="16"/>
              </w:rPr>
              <w:t>Indicates the frequency differences between the frequency sets. This is represented by the inverse of frequency gap. i.e. the time difference in seconds.</w:t>
            </w:r>
          </w:p>
          <w:p w:rsidR="00411C77" w:rsidRPr="009E3C12" w:rsidRDefault="00411C77" w:rsidP="00FA07FD">
            <w:pPr>
              <w:rPr>
                <w:rFonts w:ascii="Arial" w:eastAsia="Times New Roman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Times New Roman" w:hAnsi="Arial" w:cs="Arial"/>
                <w:kern w:val="24"/>
                <w:sz w:val="16"/>
                <w:szCs w:val="16"/>
              </w:rPr>
              <w:t>0:  3.75e-4</w:t>
            </w:r>
          </w:p>
          <w:p w:rsidR="00411C77" w:rsidRPr="009E3C12" w:rsidRDefault="00411C77" w:rsidP="00FA07FD">
            <w:pPr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 xml:space="preserve">1-2:  </w:t>
            </w:r>
            <w:r w:rsidRPr="009E3C12">
              <w:rPr>
                <w:rFonts w:ascii="Arial" w:hAnsi="Arial" w:cs="Arial" w:hint="eastAsia"/>
                <w:kern w:val="24"/>
                <w:sz w:val="16"/>
                <w:szCs w:val="16"/>
                <w:lang w:eastAsia="zh-TW"/>
              </w:rPr>
              <w:t>Reserved</w:t>
            </w:r>
          </w:p>
          <w:p w:rsidR="00411C77" w:rsidRPr="009E3C12" w:rsidRDefault="00411C77" w:rsidP="00FA07FD"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 xml:space="preserve">3: Use the value specified in </w:t>
            </w: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>phyOccCustomOpticalClockRate</w:t>
            </w:r>
            <w:proofErr w:type="spellEnd"/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</w:p>
        </w:tc>
        <w:tc>
          <w:tcPr>
            <w:tcW w:w="4909" w:type="dxa"/>
          </w:tcPr>
          <w:p w:rsidR="00411C77" w:rsidRDefault="00411C77" w:rsidP="00FA07FD"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Custom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inverse f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g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ap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GroupCount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maximum sequence number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.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i.e., how many frequency sets exist.</w:t>
            </w:r>
          </w:p>
          <w:p w:rsidR="00411C77" w:rsidRDefault="00411C77" w:rsidP="00FA07FD"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frequency set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number of data symbols protected by one XOR FEC symbol.</w:t>
            </w:r>
          </w:p>
          <w:p w:rsidR="00411C77" w:rsidRDefault="00411C77" w:rsidP="00FA07FD"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symbols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SplitterSymbol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4909" w:type="dxa"/>
          </w:tcPr>
          <w:p w:rsidR="00411C77" w:rsidRDefault="00411C77" w:rsidP="00FA07FD"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whether the device uses SSs or not.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0-3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the splitter frequency.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This is represented as a ratio of the splitter frequency to the preamble frequency. 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If the SS is already in used, it will use the original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until next cycle.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0: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1.4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1-2: Reserved</w:t>
            </w:r>
          </w:p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Cu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stom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</w:p>
        </w:tc>
        <w:tc>
          <w:tcPr>
            <w:tcW w:w="4909" w:type="dxa"/>
          </w:tcPr>
          <w:p w:rsidR="00411C77" w:rsidRDefault="00411C77" w:rsidP="00FA07FD"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s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plitter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f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softHyphen/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SplitterDuration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the duration of the SS. This is represented as a ratio of symbol duration to splitter duration in integer.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0: 15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1: 30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2: 60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120</w:t>
            </w:r>
          </w:p>
          <w:p w:rsidR="00411C77" w:rsidRDefault="00411C77" w:rsidP="00FA07F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4-7: Reserved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SymbolDurationExp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duration of a data symbol in the PSDU. This is represented as a ratio of the symbol duration to 1/30 second in the base 2 exponentiation. For example, if the symbol duration is 1/120 second, then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the exponent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would be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-2. Note that this does not affect the duration of the preamble field and the optional field.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0: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0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1: 1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2: 2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3: -1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4: -2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5-6: Reserved</w:t>
            </w:r>
          </w:p>
          <w:p w:rsidR="00411C77" w:rsidRDefault="00411C77" w:rsidP="00FA07F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7; Custom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EndSymbolEnable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4909" w:type="dxa"/>
          </w:tcPr>
          <w:p w:rsidR="00411C77" w:rsidRDefault="00411C77" w:rsidP="00FA07FD"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whether the device uses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 symbol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or not.</w:t>
            </w:r>
          </w:p>
        </w:tc>
      </w:tr>
    </w:tbl>
    <w:p w:rsidR="00411C77" w:rsidRDefault="00411C77" w:rsidP="00411C77"/>
    <w:p w:rsidR="00A05356" w:rsidRPr="00D7387E" w:rsidRDefault="00A05356" w:rsidP="00F8660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7238F">
        <w:rPr>
          <w:b/>
          <w:sz w:val="28"/>
        </w:rPr>
        <w:t>3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CM-FSK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F86609" w:rsidRPr="009E3C12">
              <w:rPr>
                <w:rFonts w:ascii="Arial" w:hAnsi="Arial" w:cs="Arial"/>
                <w:kern w:val="24"/>
                <w:sz w:val="16"/>
                <w:szCs w:val="16"/>
              </w:rPr>
              <w:t>Cmfsk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OpticalClockRate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F86609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F86609" w:rsidRPr="009E3C12">
              <w:rPr>
                <w:rFonts w:ascii="Arial" w:hAnsi="Arial" w:cs="Arial"/>
                <w:kern w:val="24"/>
                <w:sz w:val="16"/>
                <w:szCs w:val="16"/>
              </w:rPr>
              <w:t>CM-FSK</w:t>
            </w:r>
          </w:p>
          <w:p w:rsidR="00F86609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F86609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F86609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695930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F8660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phyCmfsk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F86609" w:rsidRPr="009E3C12">
              <w:rPr>
                <w:rFonts w:ascii="Arial" w:hAnsi="Arial" w:cs="Arial"/>
                <w:kern w:val="24"/>
                <w:sz w:val="16"/>
                <w:szCs w:val="16"/>
              </w:rPr>
              <w:t>for CM-FSK modulation.</w:t>
            </w:r>
          </w:p>
          <w:p w:rsidR="00695930" w:rsidRPr="009E3C12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0: None</w:t>
            </w:r>
          </w:p>
          <w:p w:rsidR="00411C77" w:rsidRPr="009E3C12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1: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RS(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15,11) as an outer FEC.</w:t>
            </w:r>
          </w:p>
          <w:p w:rsidR="00695930" w:rsidRPr="009E3C12" w:rsidRDefault="00440A1B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Other values: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phyCmfskAb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asynchronous bits (Ab) used to insert to the pack of data bits in prior to mapping a frequency in CM-FSK.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 Ab is used to support the asynchronous communication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2 Ab(s) is used to support the detection of missing symbols during reception.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BF3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</w:t>
            </w:r>
            <w:r w:rsidR="00BF321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um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frequencies used to modulate data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32-FSK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64-FSK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phyCmfskFrequencySeparation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frequency separation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50 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100 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BF3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</w:t>
            </w:r>
            <w:r w:rsidR="00BF321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um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Phase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phases used to modulate data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None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2-PSK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8D6A0A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phyCmfskPreamble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A2633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frequency value of the first preamble (</w:t>
            </w:r>
            <w:proofErr w:type="spellStart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f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  <w:vertAlign w:val="subscript"/>
              </w:rPr>
              <w:t>SF</w:t>
            </w:r>
            <w:proofErr w:type="spellEnd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)</w:t>
            </w:r>
            <w:r w:rsidRPr="0077119D">
              <w:t xml:space="preserve">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200Hz</w:t>
            </w:r>
          </w:p>
          <w:p w:rsidR="00695930" w:rsidRPr="0077119D" w:rsidRDefault="00695930" w:rsidP="006A26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</w:t>
            </w:r>
            <w:r w:rsidR="006A2633">
              <w:rPr>
                <w:rFonts w:ascii="Arial" w:hAnsi="Arial" w:cs="Arial"/>
                <w:kern w:val="24"/>
                <w:sz w:val="16"/>
                <w:szCs w:val="16"/>
              </w:rPr>
              <w:t>7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phyCmfskSplitterEnable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enables whether the splitter usage in between frequency symbols in CM-FSK.</w:t>
            </w:r>
            <w:r w:rsidR="00DF1466">
              <w:rPr>
                <w:rFonts w:ascii="Arial" w:hAnsi="Arial" w:cs="Arial"/>
                <w:kern w:val="24"/>
                <w:sz w:val="16"/>
                <w:szCs w:val="16"/>
              </w:rPr>
              <w:t xml:space="preserve"> If the splitter is used between two frequency symbols, the duration of the splitter symbol is equal to the duration of data frequency symbol.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FALSE: Disable (Default)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TRUE: Enable</w:t>
            </w:r>
          </w:p>
        </w:tc>
      </w:tr>
      <w:tr w:rsidR="008640CB" w:rsidTr="009972DC">
        <w:tc>
          <w:tcPr>
            <w:tcW w:w="2698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Cmfsk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8640CB" w:rsidRPr="00D73130" w:rsidRDefault="00CF3803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8640CB" w:rsidRPr="00B63F84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E7238F">
      <w:pPr>
        <w:pStyle w:val="Heading2"/>
        <w:rPr>
          <w:b/>
          <w:sz w:val="28"/>
        </w:rPr>
      </w:pPr>
      <w:r>
        <w:rPr>
          <w:b/>
          <w:sz w:val="28"/>
        </w:rPr>
        <w:lastRenderedPageBreak/>
        <w:t>Table 13</w:t>
      </w:r>
      <w:r w:rsidR="00E7238F">
        <w:rPr>
          <w:b/>
          <w:sz w:val="28"/>
        </w:rPr>
        <w:t>4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C-OOK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CookO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E7238F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optical clock rate (or symbol rate) applied for C-OOK</w:t>
            </w:r>
          </w:p>
          <w:p w:rsidR="00E7238F" w:rsidRPr="009E3C12" w:rsidRDefault="00E7238F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:  2.2 kHz</w:t>
            </w:r>
          </w:p>
          <w:p w:rsidR="00695930" w:rsidRPr="009E3C12" w:rsidRDefault="00E7238F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1: 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4.4 kHz</w:t>
            </w:r>
          </w:p>
          <w:p w:rsidR="00695930" w:rsidRPr="009E3C12" w:rsidRDefault="00E7238F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Others: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Cook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RLLCode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specifi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es the RLL coding for 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C-OOK modulation, the RLL coding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options include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Manchester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4B6B coding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Cook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for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C-OOK modulation,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None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Inner FEC: Hamming (8/4)</w:t>
            </w:r>
          </w:p>
          <w:p w:rsidR="00411C77" w:rsidRPr="009E3C12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Inner FEC: Hamming (15/11)</w:t>
            </w:r>
          </w:p>
          <w:p w:rsidR="00411C77" w:rsidRPr="009E3C12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3: Inner FEC: Hamming (8/4), outer FEC: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RS(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15,11)</w:t>
            </w:r>
          </w:p>
          <w:p w:rsidR="00411C77" w:rsidRPr="009E3C12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4: Inner FEC: Hamming (15/11), outer FEC: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RS(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15,11)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phyCookSubPacketRate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Data Sub-packet rate (denoted as DS rate) of C-OOK.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60 sub-packet/sec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100 sub-packet/sec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phyCookPacketRate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Data Packet rate of C-OOK.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5 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10 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15 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3-7: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phyCookPreambleS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ymbol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preamble symbol of PSDU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6B symbol (preamble =011100)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10B symbol (preamble =0011111000)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phyCookAb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amount of Asynchronous bit (Ab) per data sub-frame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1 bit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 bit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8640CB" w:rsidTr="009972DC">
        <w:tc>
          <w:tcPr>
            <w:tcW w:w="2698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Cook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8640CB" w:rsidRPr="00D73130" w:rsidRDefault="00CF3803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8640CB" w:rsidRPr="00B63F84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F221C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F221C9">
        <w:rPr>
          <w:b/>
          <w:sz w:val="28"/>
        </w:rPr>
        <w:t>5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MPM mode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810"/>
        <w:gridCol w:w="900"/>
        <w:gridCol w:w="4950"/>
      </w:tblGrid>
      <w:tr w:rsidR="00726DD2" w:rsidTr="00726DD2">
        <w:tc>
          <w:tcPr>
            <w:tcW w:w="2695" w:type="dxa"/>
          </w:tcPr>
          <w:p w:rsidR="00726DD2" w:rsidRPr="00C6574C" w:rsidRDefault="00726DD2" w:rsidP="00726DD2">
            <w:pPr>
              <w:ind w:firstLine="240"/>
              <w:jc w:val="center"/>
              <w:rPr>
                <w:rFonts w:eastAsiaTheme="minorEastAsia"/>
                <w:b/>
                <w:lang w:eastAsia="ja-JP"/>
              </w:rPr>
            </w:pPr>
            <w:r w:rsidRPr="00C6574C">
              <w:rPr>
                <w:rFonts w:eastAsiaTheme="minorEastAsia" w:hint="eastAsia"/>
                <w:b/>
                <w:lang w:eastAsia="ja-JP"/>
              </w:rPr>
              <w:t>Attribute</w:t>
            </w:r>
          </w:p>
        </w:tc>
        <w:tc>
          <w:tcPr>
            <w:tcW w:w="900" w:type="dxa"/>
          </w:tcPr>
          <w:p w:rsidR="00726DD2" w:rsidRPr="00C5251B" w:rsidRDefault="00726DD2" w:rsidP="00726D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</w:t>
            </w:r>
            <w:proofErr w:type="spellEnd"/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.</w:t>
            </w:r>
          </w:p>
        </w:tc>
        <w:tc>
          <w:tcPr>
            <w:tcW w:w="810" w:type="dxa"/>
          </w:tcPr>
          <w:p w:rsidR="00726DD2" w:rsidRPr="00C5251B" w:rsidRDefault="00726DD2" w:rsidP="00726D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00" w:type="dxa"/>
          </w:tcPr>
          <w:p w:rsidR="00726DD2" w:rsidRPr="00C5251B" w:rsidRDefault="00726DD2" w:rsidP="00726D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50" w:type="dxa"/>
          </w:tcPr>
          <w:p w:rsidR="00726DD2" w:rsidRPr="00C6574C" w:rsidRDefault="00726DD2" w:rsidP="00726DD2">
            <w:pPr>
              <w:ind w:firstLine="240"/>
              <w:jc w:val="center"/>
              <w:rPr>
                <w:rFonts w:eastAsiaTheme="minorEastAsia"/>
                <w:b/>
                <w:lang w:eastAsia="ja-JP"/>
              </w:rPr>
            </w:pPr>
            <w:r w:rsidRPr="00C6574C">
              <w:rPr>
                <w:rFonts w:eastAsiaTheme="minorEastAsia" w:hint="eastAsia"/>
                <w:b/>
                <w:lang w:eastAsia="ja-JP"/>
              </w:rPr>
              <w:t>Description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sz w:val="18"/>
                <w:lang w:eastAsia="ja-JP"/>
              </w:rPr>
            </w:pPr>
            <w:proofErr w:type="spellStart"/>
            <w:r w:rsidRPr="00D761AB">
              <w:rPr>
                <w:i/>
                <w:sz w:val="18"/>
                <w:lang w:eastAsia="ja-JP"/>
              </w:rPr>
              <w:t>phyMpmMode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0-1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/>
                <w:sz w:val="18"/>
                <w:lang w:eastAsia="ja-JP"/>
              </w:rPr>
              <w:t xml:space="preserve">Indicates 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MPM PHY mode.</w:t>
            </w:r>
          </w:p>
          <w:p w:rsidR="00726DD2" w:rsidRPr="00726DD2" w:rsidRDefault="00726DD2" w:rsidP="00576AC3">
            <w:pPr>
              <w:ind w:firstLine="240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0: </w:t>
            </w:r>
            <w:r w:rsidRPr="00726DD2">
              <w:rPr>
                <w:rFonts w:eastAsiaTheme="minorEastAsia"/>
                <w:sz w:val="18"/>
                <w:lang w:eastAsia="ja-JP"/>
              </w:rPr>
              <w:t>PWM mode</w:t>
            </w:r>
          </w:p>
          <w:p w:rsidR="00726DD2" w:rsidRPr="00726DD2" w:rsidRDefault="00726DD2" w:rsidP="00576AC3">
            <w:pPr>
              <w:ind w:firstLine="240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/>
                <w:sz w:val="18"/>
                <w:lang w:eastAsia="ja-JP"/>
              </w:rPr>
              <w:t>1: PPM mode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phyMpmSequenceNumberLength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0x0-0xf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Indicates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 the bit-length of the Sequence Number subfield.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phyMpmDynamicSequenceNumberLength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0-1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Indicates the bit-</w:t>
            </w:r>
            <w:r w:rsidRPr="00D11E4E">
              <w:rPr>
                <w:rFonts w:eastAsiaTheme="minorEastAsia"/>
                <w:sz w:val="18"/>
                <w:lang w:eastAsia="ja-JP"/>
              </w:rPr>
              <w:t>length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of the Sequence Number subfield is </w:t>
            </w:r>
          </w:p>
          <w:p w:rsidR="00726DD2" w:rsidRPr="00D11E4E" w:rsidRDefault="00726DD2" w:rsidP="00576AC3">
            <w:pPr>
              <w:ind w:firstLine="240"/>
              <w:rPr>
                <w:rFonts w:eastAsiaTheme="minorEastAsia"/>
                <w:sz w:val="18"/>
                <w:lang w:eastAsia="ja-JP"/>
              </w:rPr>
            </w:pPr>
            <w:proofErr w:type="gramStart"/>
            <w:r w:rsidRPr="00D11E4E">
              <w:rPr>
                <w:rFonts w:eastAsiaTheme="minorEastAsia" w:hint="eastAsia"/>
                <w:sz w:val="18"/>
                <w:lang w:eastAsia="ja-JP"/>
              </w:rPr>
              <w:t>0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 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>:</w:t>
            </w:r>
            <w:proofErr w:type="gramEnd"/>
            <w:r w:rsidRPr="00D11E4E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D11E4E">
              <w:rPr>
                <w:rFonts w:eastAsiaTheme="minorEastAsia"/>
                <w:sz w:val="18"/>
                <w:lang w:eastAsia="ja-JP"/>
              </w:rPr>
              <w:t>constant length</w:t>
            </w:r>
          </w:p>
          <w:p w:rsidR="00726DD2" w:rsidRPr="00D11E4E" w:rsidRDefault="00726DD2" w:rsidP="00576AC3">
            <w:pPr>
              <w:ind w:firstLine="240"/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/>
                <w:sz w:val="18"/>
                <w:lang w:eastAsia="ja-JP"/>
              </w:rPr>
              <w:t>1 : variable length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phyMpmPlcpHeaderSymbol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0x0</w:t>
            </w:r>
            <w:r w:rsidRPr="00D11E4E">
              <w:rPr>
                <w:rFonts w:eastAsiaTheme="minorEastAsia"/>
                <w:sz w:val="18"/>
                <w:lang w:eastAsia="ja-JP"/>
              </w:rPr>
              <w:t>0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>-0xf</w:t>
            </w:r>
            <w:r w:rsidRPr="00D11E4E">
              <w:rPr>
                <w:rFonts w:eastAsiaTheme="minorEastAsia"/>
                <w:sz w:val="18"/>
                <w:lang w:eastAsia="ja-JP"/>
              </w:rPr>
              <w:t>f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dicates the base symbol value of the PLCP Header subfield. It is referred as </w:t>
            </w:r>
            <w:r w:rsidRPr="00D11E4E">
              <w:rPr>
                <w:rFonts w:eastAsiaTheme="minorEastAsia"/>
                <w:i/>
                <w:sz w:val="18"/>
                <w:lang w:eastAsia="ja-JP"/>
              </w:rPr>
              <w:t>a</w:t>
            </w:r>
            <w:r w:rsidRPr="00D11E4E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phyMpmPlcpCenterSymbol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0x0</w:t>
            </w:r>
            <w:r w:rsidRPr="00D11E4E">
              <w:rPr>
                <w:rFonts w:eastAsiaTheme="minorEastAsia"/>
                <w:sz w:val="18"/>
                <w:lang w:eastAsia="ja-JP"/>
              </w:rPr>
              <w:t>0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>-0xf</w:t>
            </w:r>
            <w:r w:rsidRPr="00D11E4E">
              <w:rPr>
                <w:rFonts w:eastAsiaTheme="minorEastAsia"/>
                <w:sz w:val="18"/>
                <w:lang w:eastAsia="ja-JP"/>
              </w:rPr>
              <w:t>f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dicates the base symbol value of the PLCP Center subfield. It is referred as </w:t>
            </w:r>
            <w:r w:rsidRPr="00D11E4E">
              <w:rPr>
                <w:rFonts w:eastAsiaTheme="minorEastAsia"/>
                <w:i/>
                <w:sz w:val="18"/>
                <w:lang w:eastAsia="ja-JP"/>
              </w:rPr>
              <w:t>b</w:t>
            </w:r>
            <w:r w:rsidRPr="00D11E4E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phyMpmPlcpFooterSymbol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0x0</w:t>
            </w:r>
            <w:r w:rsidRPr="00D11E4E">
              <w:rPr>
                <w:rFonts w:eastAsiaTheme="minorEastAsia"/>
                <w:sz w:val="18"/>
                <w:lang w:eastAsia="ja-JP"/>
              </w:rPr>
              <w:t>0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>-0xf</w:t>
            </w:r>
            <w:r w:rsidRPr="00D11E4E">
              <w:rPr>
                <w:rFonts w:eastAsiaTheme="minorEastAsia"/>
                <w:sz w:val="18"/>
                <w:lang w:eastAsia="ja-JP"/>
              </w:rPr>
              <w:t>f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dicates the base symbol value of the PLCP Footer subfield. It is referred as </w:t>
            </w:r>
            <w:r w:rsidRPr="00D11E4E">
              <w:rPr>
                <w:rFonts w:eastAsiaTheme="minorEastAsia"/>
                <w:i/>
                <w:sz w:val="18"/>
                <w:lang w:eastAsia="ja-JP"/>
              </w:rPr>
              <w:t>c</w:t>
            </w:r>
            <w:r w:rsidRPr="00D11E4E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lastRenderedPageBreak/>
              <w:t>phyMpmSymbolSize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0x0</w:t>
            </w:r>
            <w:r w:rsidR="00D11E4E">
              <w:rPr>
                <w:rFonts w:eastAsiaTheme="minorEastAsia"/>
                <w:sz w:val="18"/>
                <w:lang w:eastAsia="ja-JP"/>
              </w:rPr>
              <w:t>0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-0xf</w:t>
            </w:r>
            <w:r w:rsidR="00D11E4E">
              <w:rPr>
                <w:rFonts w:eastAsiaTheme="minorEastAsia"/>
                <w:sz w:val="18"/>
                <w:lang w:eastAsia="ja-JP"/>
              </w:rPr>
              <w:t>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number of symbols of the Payload subfield. 0x0 indicates variable. It is referred as </w:t>
            </w:r>
            <w:r w:rsidRPr="00726DD2">
              <w:rPr>
                <w:rFonts w:eastAsiaTheme="minorEastAsia"/>
                <w:i/>
                <w:sz w:val="18"/>
                <w:lang w:eastAsia="ja-JP"/>
              </w:rPr>
              <w:t>N</w:t>
            </w:r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phyMpm</w:t>
            </w:r>
            <w:r w:rsidRPr="00D761AB">
              <w:rPr>
                <w:rFonts w:eastAsiaTheme="minorEastAsia"/>
                <w:i/>
                <w:sz w:val="18"/>
                <w:lang w:eastAsia="ja-JP"/>
              </w:rPr>
              <w:t>Odd</w:t>
            </w:r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SymbolBit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/>
                <w:sz w:val="18"/>
                <w:lang w:eastAsia="ja-JP"/>
              </w:rPr>
              <w:t>0x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0-</w:t>
            </w:r>
            <w:r w:rsidRPr="00726DD2">
              <w:rPr>
                <w:rFonts w:eastAsiaTheme="minorEastAsia"/>
                <w:sz w:val="18"/>
                <w:lang w:eastAsia="ja-JP"/>
              </w:rPr>
              <w:t>0xf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bit-length that is contained in </w:t>
            </w:r>
            <w:r w:rsidRPr="00726DD2">
              <w:rPr>
                <w:rFonts w:eastAsiaTheme="minorEastAsia"/>
                <w:sz w:val="18"/>
                <w:lang w:eastAsia="ja-JP"/>
              </w:rPr>
              <w:t>each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odd-numbered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symbol </w:t>
            </w:r>
            <w:r w:rsidRPr="00726DD2">
              <w:rPr>
                <w:rFonts w:eastAsiaTheme="minorEastAsia"/>
                <w:sz w:val="18"/>
                <w:lang w:eastAsia="ja-JP"/>
              </w:rPr>
              <w:t>of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Payload subfield.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 It is referred as </w:t>
            </w:r>
            <w:proofErr w:type="spellStart"/>
            <w:r w:rsidRPr="00726DD2">
              <w:rPr>
                <w:rFonts w:eastAsiaTheme="minorEastAsia"/>
                <w:i/>
                <w:sz w:val="18"/>
                <w:lang w:eastAsia="ja-JP"/>
              </w:rPr>
              <w:t>M</w:t>
            </w:r>
            <w:r w:rsidRPr="00726DD2">
              <w:rPr>
                <w:rFonts w:eastAsiaTheme="minorEastAsia"/>
                <w:i/>
                <w:sz w:val="18"/>
                <w:vertAlign w:val="subscript"/>
                <w:lang w:eastAsia="ja-JP"/>
              </w:rPr>
              <w:t>odd</w:t>
            </w:r>
            <w:proofErr w:type="spellEnd"/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phyMpm</w:t>
            </w:r>
            <w:r w:rsidRPr="00D761AB">
              <w:rPr>
                <w:rFonts w:eastAsiaTheme="minorEastAsia"/>
                <w:i/>
                <w:sz w:val="18"/>
                <w:lang w:eastAsia="ja-JP"/>
              </w:rPr>
              <w:t>Even</w:t>
            </w:r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SymbolBit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0x0-0xf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bit-length that is contained in </w:t>
            </w:r>
            <w:r w:rsidRPr="00726DD2">
              <w:rPr>
                <w:rFonts w:eastAsiaTheme="minorEastAsia"/>
                <w:sz w:val="18"/>
                <w:lang w:eastAsia="ja-JP"/>
              </w:rPr>
              <w:t>each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even-numbered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symbol </w:t>
            </w:r>
            <w:r w:rsidRPr="00726DD2">
              <w:rPr>
                <w:rFonts w:eastAsiaTheme="minorEastAsia"/>
                <w:sz w:val="18"/>
                <w:lang w:eastAsia="ja-JP"/>
              </w:rPr>
              <w:t>of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Payload subfield.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 It is referred as </w:t>
            </w:r>
            <w:proofErr w:type="spellStart"/>
            <w:r w:rsidRPr="00726DD2">
              <w:rPr>
                <w:rFonts w:eastAsiaTheme="minorEastAsia"/>
                <w:i/>
                <w:sz w:val="18"/>
                <w:lang w:eastAsia="ja-JP"/>
              </w:rPr>
              <w:t>M</w:t>
            </w:r>
            <w:r w:rsidRPr="00726DD2">
              <w:rPr>
                <w:rFonts w:eastAsiaTheme="minorEastAsia"/>
                <w:i/>
                <w:sz w:val="18"/>
                <w:vertAlign w:val="subscript"/>
                <w:lang w:eastAsia="ja-JP"/>
              </w:rPr>
              <w:t>even</w:t>
            </w:r>
            <w:proofErr w:type="spellEnd"/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phyMpmSymbolOffset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0x00-0xff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offset value of symbols of the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Payload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subfield.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 It is referred as </w:t>
            </w:r>
            <w:r w:rsidRPr="00726DD2">
              <w:rPr>
                <w:rFonts w:eastAsiaTheme="minorEastAsia"/>
                <w:i/>
                <w:sz w:val="18"/>
                <w:lang w:eastAsia="ja-JP"/>
              </w:rPr>
              <w:t>W</w:t>
            </w:r>
            <w:r w:rsidRPr="00726DD2">
              <w:rPr>
                <w:rFonts w:eastAsiaTheme="minorEastAsia"/>
                <w:i/>
                <w:sz w:val="18"/>
                <w:vertAlign w:val="subscript"/>
                <w:lang w:eastAsia="ja-JP"/>
              </w:rPr>
              <w:t>1</w:t>
            </w:r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phyMpmSymbol</w:t>
            </w:r>
            <w:r w:rsidRPr="00D761AB">
              <w:rPr>
                <w:rFonts w:eastAsiaTheme="minorEastAsia"/>
                <w:i/>
                <w:sz w:val="18"/>
                <w:lang w:eastAsia="ja-JP"/>
              </w:rPr>
              <w:t>Unit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0x00-0xff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unit value of symbols of the Payload subfield. It is referred as </w:t>
            </w:r>
            <w:r w:rsidRPr="00726DD2">
              <w:rPr>
                <w:rFonts w:eastAsiaTheme="minorEastAsia"/>
                <w:i/>
                <w:sz w:val="18"/>
                <w:lang w:eastAsia="ja-JP"/>
              </w:rPr>
              <w:t>W</w:t>
            </w:r>
            <w:r w:rsidRPr="00726DD2">
              <w:rPr>
                <w:rFonts w:eastAsiaTheme="minorEastAsia"/>
                <w:i/>
                <w:sz w:val="18"/>
                <w:vertAlign w:val="subscript"/>
                <w:lang w:eastAsia="ja-JP"/>
              </w:rPr>
              <w:t>2</w:t>
            </w:r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F221C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F221C9">
        <w:rPr>
          <w:b/>
          <w:sz w:val="28"/>
        </w:rPr>
        <w:t>6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A-QL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Aql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OpticalClockRate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695930" w:rsidRPr="009E3C12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A-QL mode.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7D2CDD" w:rsidRPr="009E3C12" w:rsidRDefault="007D2CDD" w:rsidP="00DF2F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Aql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i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n case of A-QL modulation,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proofErr w:type="gramStart"/>
            <w:r w:rsidR="00C42DE0" w:rsidRPr="009E3C12">
              <w:rPr>
                <w:rFonts w:ascii="Arial" w:hAnsi="Arial" w:cs="Arial"/>
                <w:kern w:val="24"/>
                <w:sz w:val="16"/>
                <w:szCs w:val="16"/>
              </w:rPr>
              <w:t>CC(</w:t>
            </w:r>
            <w:proofErr w:type="gramEnd"/>
            <w:r w:rsidR="00C42DE0" w:rsidRPr="009E3C12">
              <w:rPr>
                <w:rFonts w:ascii="Arial" w:hAnsi="Arial" w:cs="Arial"/>
                <w:kern w:val="24"/>
                <w:sz w:val="16"/>
                <w:szCs w:val="16"/>
              </w:rPr>
              <w:t>1/4) as inner FEC</w:t>
            </w:r>
          </w:p>
          <w:p w:rsidR="00C42DE0" w:rsidRPr="009E3C12" w:rsidRDefault="00C42DE0" w:rsidP="00C42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CC(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1/3) as inner FEC; RS(15,11) as outer FEC</w:t>
            </w:r>
          </w:p>
          <w:p w:rsidR="00C42DE0" w:rsidRPr="009E3C12" w:rsidRDefault="00C42DE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3: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CC(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1/4) as inner FEC; RS(15,7) as outer FEC</w:t>
            </w:r>
          </w:p>
          <w:p w:rsidR="00695930" w:rsidRPr="009E3C12" w:rsidRDefault="00695930" w:rsidP="00C42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DD1263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phyAqlNum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Cells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number of individual cells on </w:t>
            </w: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Tx</w:t>
            </w:r>
            <w:proofErr w:type="spell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in 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16x16 cells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1-7: Reserved</w:t>
            </w:r>
          </w:p>
        </w:tc>
      </w:tr>
      <w:tr w:rsidR="00481887" w:rsidTr="009972DC">
        <w:tc>
          <w:tcPr>
            <w:tcW w:w="2698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phyAqlCellSize</w:t>
            </w:r>
            <w:proofErr w:type="spellEnd"/>
          </w:p>
        </w:tc>
        <w:tc>
          <w:tcPr>
            <w:tcW w:w="904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0-1000</w:t>
            </w:r>
          </w:p>
        </w:tc>
        <w:tc>
          <w:tcPr>
            <w:tcW w:w="4909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the size of cells (in pixels) to generate the A-QL code. 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phyAqlBolderSize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float</w:t>
            </w:r>
          </w:p>
        </w:tc>
        <w:tc>
          <w:tcPr>
            <w:tcW w:w="940" w:type="dxa"/>
          </w:tcPr>
          <w:p w:rsidR="009B4AB4" w:rsidRPr="009E3C12" w:rsidRDefault="00BD03CC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0-2</w:t>
            </w: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attributes specifies the ratio between the size of the bolder and the size of the cell.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DD1263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phyAqlNum</w:t>
            </w:r>
            <w:r w:rsidR="009B4AB4" w:rsidRPr="009E3C12">
              <w:rPr>
                <w:rFonts w:ascii="Arial" w:hAnsi="Arial" w:cs="Arial"/>
                <w:kern w:val="24"/>
                <w:sz w:val="16"/>
                <w:szCs w:val="16"/>
              </w:rPr>
              <w:t>CellReference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cells per each of four reference corners in A-QL mode.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 cell reference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2x2 cell reference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phyAqlColorSelection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The </w:t>
            </w:r>
            <w:r w:rsidR="00DF2F5D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selection of</w:t>
            </w: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 color</w:t>
            </w:r>
            <w:r w:rsidR="00DF2F5D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 band</w:t>
            </w: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s used in A-QL mode.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0: Grey mapping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1-9: valid combination of</w:t>
            </w:r>
            <w:r w:rsidR="00C26F51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 colors available in table 107-</w:t>
            </w: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Valid color band combinations for CSK</w:t>
            </w:r>
            <w:r w:rsidR="00C26F51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AB4" w:rsidTr="009972DC">
        <w:trPr>
          <w:trHeight w:val="530"/>
        </w:trPr>
        <w:tc>
          <w:tcPr>
            <w:tcW w:w="2698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D73130" w:rsidRDefault="00CF3803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9B4AB4" w:rsidRPr="00B63F84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 w:rsidR="00B63F84"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7D2CDD" w:rsidP="007D2CDD">
      <w:pPr>
        <w:pStyle w:val="Heading2"/>
        <w:rPr>
          <w:b/>
          <w:sz w:val="28"/>
        </w:rPr>
      </w:pPr>
      <w:r>
        <w:rPr>
          <w:b/>
          <w:sz w:val="28"/>
        </w:rPr>
        <w:t>Table 137</w:t>
      </w:r>
      <w:r w:rsidR="00DD62F4">
        <w:rPr>
          <w:b/>
          <w:sz w:val="28"/>
        </w:rPr>
        <w:t xml:space="preserve"> (new)</w:t>
      </w:r>
      <w:r w:rsidR="00A05356">
        <w:rPr>
          <w:b/>
          <w:sz w:val="28"/>
        </w:rPr>
        <w:t>: PHY PIB attributes for HA-QL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074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2040E9" w:rsidRPr="009E3C12">
              <w:rPr>
                <w:rFonts w:ascii="Arial" w:hAnsi="Arial" w:cs="Arial"/>
                <w:kern w:val="24"/>
                <w:sz w:val="16"/>
                <w:szCs w:val="16"/>
              </w:rPr>
              <w:t>HA</w:t>
            </w:r>
            <w:r w:rsidR="000749A9" w:rsidRPr="009E3C12">
              <w:rPr>
                <w:rFonts w:ascii="Arial" w:hAnsi="Arial" w:cs="Arial"/>
                <w:kern w:val="24"/>
                <w:sz w:val="16"/>
                <w:szCs w:val="16"/>
              </w:rPr>
              <w:t>qlOp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C26F51" w:rsidRPr="009E3C12">
              <w:rPr>
                <w:rFonts w:ascii="Arial" w:hAnsi="Arial" w:cs="Arial"/>
                <w:kern w:val="24"/>
                <w:sz w:val="16"/>
                <w:szCs w:val="16"/>
              </w:rPr>
              <w:t>H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A-QL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7D2CDD" w:rsidTr="009972DC">
        <w:tc>
          <w:tcPr>
            <w:tcW w:w="2698" w:type="dxa"/>
          </w:tcPr>
          <w:p w:rsidR="007D2CDD" w:rsidRPr="009E3C12" w:rsidRDefault="002040E9" w:rsidP="00074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qlLineCode</w:t>
            </w:r>
            <w:proofErr w:type="spellEnd"/>
          </w:p>
        </w:tc>
        <w:tc>
          <w:tcPr>
            <w:tcW w:w="904" w:type="dxa"/>
          </w:tcPr>
          <w:p w:rsidR="007D2CDD" w:rsidRPr="009E3C12" w:rsidRDefault="007D2CDD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7D2CDD" w:rsidRPr="009E3C12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</w:t>
            </w:r>
            <w:proofErr w:type="spell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:rsidR="007D2CDD" w:rsidRPr="009E3C12" w:rsidRDefault="00411C77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 case of HA-QL modulation, the RLL coding is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C26F51" w:rsidRPr="009E3C12">
              <w:rPr>
                <w:rFonts w:ascii="Arial" w:hAnsi="Arial" w:cs="Arial"/>
                <w:kern w:val="24"/>
                <w:sz w:val="16"/>
                <w:szCs w:val="16"/>
              </w:rPr>
              <w:t>half-rate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code </w:t>
            </w:r>
          </w:p>
          <w:p w:rsidR="007D2CDD" w:rsidRPr="009E3C12" w:rsidRDefault="009E0973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lastRenderedPageBreak/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lastRenderedPageBreak/>
              <w:t>phy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H</w:t>
            </w:r>
            <w:r w:rsidR="002040E9" w:rsidRPr="009E3C12">
              <w:rPr>
                <w:rFonts w:ascii="Arial" w:hAnsi="Arial" w:cs="Arial"/>
                <w:kern w:val="24"/>
                <w:sz w:val="16"/>
                <w:szCs w:val="16"/>
              </w:rPr>
              <w:t>A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ql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for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r w:rsidR="00C26F51" w:rsidRPr="009E3C12">
              <w:rPr>
                <w:rFonts w:ascii="Arial" w:hAnsi="Arial" w:cs="Arial"/>
                <w:kern w:val="24"/>
                <w:sz w:val="16"/>
                <w:szCs w:val="16"/>
              </w:rPr>
              <w:t>H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A-QL modulation,</w:t>
            </w:r>
          </w:p>
          <w:p w:rsidR="00C26F51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C26F51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CC(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1/3) as inner FEC; RS(15,11) as outer FEC</w:t>
            </w:r>
          </w:p>
          <w:p w:rsidR="00C26F51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CC(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1/4) as inner FEC; RS(15,7) as outer FEC</w:t>
            </w:r>
          </w:p>
          <w:p w:rsidR="00695930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</w:t>
            </w:r>
            <w:r w:rsidR="002040E9" w:rsidRPr="009E3C12">
              <w:rPr>
                <w:rFonts w:ascii="Arial" w:hAnsi="Arial" w:cs="Arial"/>
                <w:kern w:val="24"/>
                <w:sz w:val="16"/>
                <w:szCs w:val="16"/>
              </w:rPr>
              <w:t>A</w:t>
            </w:r>
            <w:r w:rsidR="00F478A2" w:rsidRPr="009E3C12">
              <w:rPr>
                <w:rFonts w:ascii="Arial" w:hAnsi="Arial" w:cs="Arial"/>
                <w:kern w:val="24"/>
                <w:sz w:val="16"/>
                <w:szCs w:val="16"/>
              </w:rPr>
              <w:t>qlNum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Cells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number of individual cells on </w:t>
            </w: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Tx</w:t>
            </w:r>
            <w:proofErr w:type="spell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in HA-QL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8x8 cells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16x16 cells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</w:t>
            </w:r>
            <w:r w:rsidR="00F478A2" w:rsidRPr="009E3C12">
              <w:rPr>
                <w:rFonts w:ascii="Arial" w:hAnsi="Arial" w:cs="Arial"/>
                <w:kern w:val="24"/>
                <w:sz w:val="16"/>
                <w:szCs w:val="16"/>
              </w:rPr>
              <w:t>qlNum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CellReference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cells per each of four reference corners in HA-QL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 cell reference</w:t>
            </w:r>
          </w:p>
          <w:p w:rsidR="005D34FE" w:rsidRPr="009E3C12" w:rsidRDefault="005D34F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2x2 cell reference</w:t>
            </w:r>
          </w:p>
          <w:p w:rsidR="00695930" w:rsidRPr="009E3C12" w:rsidRDefault="00D43384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-3: Reserved</w:t>
            </w:r>
          </w:p>
        </w:tc>
      </w:tr>
      <w:tr w:rsidR="002040E9" w:rsidTr="009972DC">
        <w:tc>
          <w:tcPr>
            <w:tcW w:w="2698" w:type="dxa"/>
          </w:tcPr>
          <w:p w:rsidR="002040E9" w:rsidRPr="009E3C12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phyHAqlAb</w:t>
            </w:r>
            <w:proofErr w:type="spellEnd"/>
          </w:p>
        </w:tc>
        <w:tc>
          <w:tcPr>
            <w:tcW w:w="904" w:type="dxa"/>
          </w:tcPr>
          <w:p w:rsidR="002040E9" w:rsidRPr="009E3C12" w:rsidRDefault="002040E9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2040E9" w:rsidRPr="009E3C12" w:rsidRDefault="003743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40" w:type="dxa"/>
          </w:tcPr>
          <w:p w:rsidR="002040E9" w:rsidRPr="009E3C12" w:rsidRDefault="003743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2040E9" w:rsidRPr="009E3C12" w:rsidRDefault="003743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attributes specifies the number of Ab bits embedded into a block of data to be carried by a HA-QL code.</w:t>
            </w:r>
          </w:p>
        </w:tc>
      </w:tr>
      <w:tr w:rsidR="002040E9" w:rsidTr="009972DC">
        <w:tc>
          <w:tcPr>
            <w:tcW w:w="2698" w:type="dxa"/>
          </w:tcPr>
          <w:p w:rsidR="002040E9" w:rsidRPr="009E3C12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phyHAqlIntensity</w:t>
            </w:r>
            <w:proofErr w:type="spellEnd"/>
          </w:p>
        </w:tc>
        <w:tc>
          <w:tcPr>
            <w:tcW w:w="904" w:type="dxa"/>
          </w:tcPr>
          <w:p w:rsidR="002040E9" w:rsidRPr="009E3C12" w:rsidRDefault="005C3065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040E9" w:rsidRPr="009E3C12" w:rsidRDefault="005C3065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float</w:t>
            </w:r>
          </w:p>
        </w:tc>
        <w:tc>
          <w:tcPr>
            <w:tcW w:w="940" w:type="dxa"/>
          </w:tcPr>
          <w:p w:rsidR="002040E9" w:rsidRPr="009E3C12" w:rsidRDefault="004757A7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</w:t>
            </w:r>
            <w:r w:rsidR="005C3065"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</w:p>
        </w:tc>
        <w:tc>
          <w:tcPr>
            <w:tcW w:w="4909" w:type="dxa"/>
          </w:tcPr>
          <w:p w:rsidR="002040E9" w:rsidRPr="009E3C12" w:rsidRDefault="005C3065" w:rsidP="00F40A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specifies the intensity level of the modulated intensity.</w:t>
            </w:r>
            <w:r w:rsidR="003259C3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0 means the intensity of the original image </w:t>
            </w:r>
            <w:r w:rsidR="00F40A79" w:rsidRPr="009E3C12">
              <w:rPr>
                <w:rFonts w:ascii="Arial" w:hAnsi="Arial" w:cs="Arial"/>
                <w:kern w:val="24"/>
                <w:sz w:val="16"/>
                <w:szCs w:val="16"/>
              </w:rPr>
              <w:t>does not change</w:t>
            </w:r>
            <w:r w:rsidR="003259C3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; and 1 means the intensity of the original image is </w:t>
            </w:r>
            <w:r w:rsidR="00F40A79" w:rsidRPr="009E3C12">
              <w:rPr>
                <w:rFonts w:ascii="Arial" w:hAnsi="Arial" w:cs="Arial"/>
                <w:kern w:val="24"/>
                <w:sz w:val="16"/>
                <w:szCs w:val="16"/>
              </w:rPr>
              <w:t>inversed</w:t>
            </w:r>
            <w:r w:rsidR="003259C3" w:rsidRPr="009E3C12">
              <w:rPr>
                <w:rFonts w:ascii="Arial" w:hAnsi="Arial" w:cs="Arial"/>
                <w:kern w:val="24"/>
                <w:sz w:val="16"/>
                <w:szCs w:val="16"/>
              </w:rPr>
              <w:t>.</w:t>
            </w:r>
          </w:p>
        </w:tc>
      </w:tr>
      <w:tr w:rsidR="00B63F84" w:rsidTr="009972DC">
        <w:tc>
          <w:tcPr>
            <w:tcW w:w="2698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B63F84" w:rsidRPr="00D73130" w:rsidRDefault="00CF3803" w:rsidP="00B63F8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B63F84" w:rsidRPr="00B63F84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Pr="00D7387E" w:rsidRDefault="009E3565" w:rsidP="009E3565">
      <w:pPr>
        <w:pStyle w:val="Heading2"/>
        <w:rPr>
          <w:b/>
          <w:sz w:val="28"/>
        </w:rPr>
      </w:pPr>
      <w:r>
        <w:rPr>
          <w:b/>
          <w:sz w:val="28"/>
        </w:rPr>
        <w:t>Table 138</w:t>
      </w:r>
      <w:r w:rsidR="00DD62F4">
        <w:rPr>
          <w:b/>
          <w:sz w:val="28"/>
        </w:rPr>
        <w:t xml:space="preserve"> (new)</w:t>
      </w:r>
      <w:r w:rsidR="00A05356">
        <w:rPr>
          <w:b/>
          <w:sz w:val="28"/>
        </w:rPr>
        <w:t xml:space="preserve">: PHY PIB attributes for </w:t>
      </w:r>
      <w:r w:rsidR="00A05356" w:rsidRPr="005E5C2E">
        <w:rPr>
          <w:b/>
          <w:sz w:val="28"/>
        </w:rPr>
        <w:t>VTASC</w:t>
      </w:r>
      <w:r w:rsidR="00A05356">
        <w:rPr>
          <w:b/>
          <w:sz w:val="28"/>
        </w:rPr>
        <w:t xml:space="preserve"> mode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810"/>
        <w:gridCol w:w="990"/>
        <w:gridCol w:w="4860"/>
      </w:tblGrid>
      <w:tr w:rsidR="00765053" w:rsidRPr="002874E1" w:rsidTr="00765053">
        <w:tc>
          <w:tcPr>
            <w:tcW w:w="2695" w:type="dxa"/>
          </w:tcPr>
          <w:p w:rsidR="00765053" w:rsidRPr="002874E1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Attribute</w:t>
            </w:r>
          </w:p>
        </w:tc>
        <w:tc>
          <w:tcPr>
            <w:tcW w:w="900" w:type="dxa"/>
          </w:tcPr>
          <w:p w:rsidR="00765053" w:rsidRPr="002874E1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Ident</w:t>
            </w:r>
          </w:p>
        </w:tc>
        <w:tc>
          <w:tcPr>
            <w:tcW w:w="810" w:type="dxa"/>
          </w:tcPr>
          <w:p w:rsidR="00765053" w:rsidRPr="002874E1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Type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16"/>
                <w:szCs w:val="20"/>
              </w:rPr>
            </w:pPr>
            <w:r w:rsidRPr="00765053">
              <w:rPr>
                <w:rFonts w:ascii="TimesNewRomanPSMT" w:hAnsi="TimesNewRomanPSMT" w:cs="TimesNewRomanPSMT"/>
                <w:b/>
                <w:sz w:val="16"/>
                <w:szCs w:val="20"/>
              </w:rPr>
              <w:t>Range</w:t>
            </w:r>
          </w:p>
        </w:tc>
        <w:tc>
          <w:tcPr>
            <w:tcW w:w="4860" w:type="dxa"/>
          </w:tcPr>
          <w:p w:rsidR="00765053" w:rsidRPr="002874E1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Description</w:t>
            </w:r>
          </w:p>
        </w:tc>
      </w:tr>
      <w:tr w:rsidR="00765053" w:rsidRPr="002874E1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phyVTASCTxMode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</w:rPr>
            </w:pPr>
            <w:bookmarkStart w:id="1" w:name="OLE_LINK3"/>
            <w:r w:rsidRPr="00765053">
              <w:rPr>
                <w:sz w:val="16"/>
                <w:szCs w:val="20"/>
              </w:rPr>
              <w:t>0-255</w:t>
            </w:r>
            <w:bookmarkEnd w:id="1"/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indicates the VTASC PHY transmission modes.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VTASC  Mode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SS VTASC Mode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phyVTASCApplicationSpecificMode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 w:rsidRPr="007805C0">
              <w:rPr>
                <w:rFonts w:cs="TimesNewRomanPSMT"/>
                <w:sz w:val="20"/>
                <w:szCs w:val="20"/>
              </w:rPr>
              <w:t>0x10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16"/>
              </w:rPr>
            </w:pPr>
            <w:r w:rsidRPr="006924CB">
              <w:rPr>
                <w:rFonts w:cs="TimesNewRomanPSMT"/>
                <w:sz w:val="16"/>
                <w:szCs w:val="16"/>
              </w:rPr>
              <w:t>This attribute specifies the application specific PHY mode.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Normal Data (Media Content, Information Content based on the Application used for)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LED ID Data </w:t>
            </w:r>
          </w:p>
          <w:p w:rsidR="00765053" w:rsidRPr="006924CB" w:rsidRDefault="00765053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2 : Authentication Data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phyVTASCTxCameraEnable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0x92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0-255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indicates the Transmitter is Enabled with Camera or not for Interactive Receiver distance specific data transfer control.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Camera not connected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1 : Camera connected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phyVTASCRxDistance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0x93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0-255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notify the Receiver distance from Transmitter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PhyVTASCFreq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0x11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frame rate of VTASC sequence Transmission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phyVTASCCodeArea</w:t>
            </w:r>
            <w:proofErr w:type="spellEnd"/>
          </w:p>
        </w:tc>
        <w:tc>
          <w:tcPr>
            <w:tcW w:w="900" w:type="dxa"/>
          </w:tcPr>
          <w:p w:rsidR="00765053" w:rsidRPr="002C2340" w:rsidRDefault="00765053" w:rsidP="00576AC3">
            <w:pPr>
              <w:jc w:val="center"/>
              <w:rPr>
                <w:sz w:val="20"/>
                <w:szCs w:val="20"/>
              </w:rPr>
            </w:pPr>
            <w:r w:rsidRPr="002C2340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</w:t>
            </w:r>
            <w:proofErr w:type="gramStart"/>
            <w:r w:rsidRPr="006924CB">
              <w:rPr>
                <w:sz w:val="16"/>
                <w:szCs w:val="16"/>
              </w:rPr>
              <w:t>specify</w:t>
            </w:r>
            <w:proofErr w:type="gramEnd"/>
            <w:r w:rsidRPr="006924CB">
              <w:rPr>
                <w:sz w:val="16"/>
                <w:szCs w:val="16"/>
              </w:rPr>
              <w:t xml:space="preserve"> the coded area of the IDE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Full Screen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Partial Screen</w:t>
            </w:r>
          </w:p>
          <w:p w:rsidR="00765053" w:rsidRPr="006924CB" w:rsidRDefault="00765053" w:rsidP="00576AC3">
            <w:pPr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2~255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phyVTASCCodeLocation</w:t>
            </w:r>
            <w:proofErr w:type="spellEnd"/>
          </w:p>
        </w:tc>
        <w:tc>
          <w:tcPr>
            <w:tcW w:w="900" w:type="dxa"/>
          </w:tcPr>
          <w:p w:rsidR="00765053" w:rsidRPr="002C2340" w:rsidRDefault="00765053" w:rsidP="00576AC3">
            <w:pPr>
              <w:jc w:val="center"/>
              <w:rPr>
                <w:sz w:val="20"/>
                <w:szCs w:val="20"/>
              </w:rPr>
            </w:pPr>
            <w:r w:rsidRPr="002C2340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color w:val="000000" w:themeColor="text1"/>
                <w:sz w:val="16"/>
                <w:szCs w:val="20"/>
              </w:rPr>
            </w:pPr>
            <w:r w:rsidRPr="00765053">
              <w:rPr>
                <w:color w:val="000000" w:themeColor="text1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765053">
              <w:rPr>
                <w:color w:val="000000" w:themeColor="text1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</w:t>
            </w:r>
            <w:proofErr w:type="gramStart"/>
            <w:r w:rsidRPr="006924CB">
              <w:rPr>
                <w:sz w:val="16"/>
                <w:szCs w:val="16"/>
              </w:rPr>
              <w:t>specify</w:t>
            </w:r>
            <w:proofErr w:type="gramEnd"/>
            <w:r w:rsidRPr="006924CB">
              <w:rPr>
                <w:sz w:val="16"/>
                <w:szCs w:val="16"/>
              </w:rPr>
              <w:t xml:space="preserve"> the Coded Location of the VTASC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Center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Bottom Right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2 :</w:t>
            </w:r>
            <w:proofErr w:type="gramEnd"/>
            <w:r w:rsidRPr="006924CB">
              <w:rPr>
                <w:sz w:val="16"/>
                <w:szCs w:val="16"/>
              </w:rPr>
              <w:t xml:space="preserve"> Bottom Left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3 :</w:t>
            </w:r>
            <w:proofErr w:type="gramEnd"/>
            <w:r w:rsidRPr="006924CB">
              <w:rPr>
                <w:sz w:val="16"/>
                <w:szCs w:val="16"/>
              </w:rPr>
              <w:t xml:space="preserve"> Top Right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4 :</w:t>
            </w:r>
            <w:proofErr w:type="gramEnd"/>
            <w:r w:rsidRPr="006924CB">
              <w:rPr>
                <w:sz w:val="16"/>
                <w:szCs w:val="16"/>
              </w:rPr>
              <w:t xml:space="preserve"> Top Left</w:t>
            </w:r>
          </w:p>
          <w:p w:rsidR="00765053" w:rsidRPr="006924CB" w:rsidRDefault="00765053" w:rsidP="00576AC3">
            <w:pPr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5~255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phyVTASCTLevel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</w:t>
            </w:r>
            <w:proofErr w:type="gramStart"/>
            <w:r w:rsidRPr="006924CB">
              <w:rPr>
                <w:sz w:val="16"/>
                <w:szCs w:val="16"/>
              </w:rPr>
              <w:t>specify</w:t>
            </w:r>
            <w:proofErr w:type="gramEnd"/>
            <w:r w:rsidRPr="006924CB">
              <w:rPr>
                <w:sz w:val="16"/>
                <w:szCs w:val="16"/>
              </w:rPr>
              <w:t xml:space="preserve"> the transparency Level of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 One Level (100 % transparency)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Two Level (100 % &amp; 50 % transparency)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2~255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phyVTASCALevel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</w:t>
            </w:r>
            <w:proofErr w:type="gramStart"/>
            <w:r w:rsidRPr="006924CB">
              <w:rPr>
                <w:sz w:val="16"/>
                <w:szCs w:val="16"/>
              </w:rPr>
              <w:t>specify</w:t>
            </w:r>
            <w:proofErr w:type="gramEnd"/>
            <w:r w:rsidRPr="006924CB">
              <w:rPr>
                <w:sz w:val="16"/>
                <w:szCs w:val="16"/>
              </w:rPr>
              <w:t xml:space="preserve"> the block size of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One Level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Two Level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2 :</w:t>
            </w:r>
            <w:proofErr w:type="gramEnd"/>
            <w:r w:rsidRPr="006924CB">
              <w:rPr>
                <w:sz w:val="16"/>
                <w:szCs w:val="16"/>
              </w:rPr>
              <w:t xml:space="preserve"> Three Level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3 :</w:t>
            </w:r>
            <w:proofErr w:type="gramEnd"/>
            <w:r w:rsidRPr="006924CB">
              <w:rPr>
                <w:sz w:val="16"/>
                <w:szCs w:val="16"/>
              </w:rPr>
              <w:t xml:space="preserve"> Four Level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4~255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phyVTASCSLevel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number of shapes used in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One Shape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lastRenderedPageBreak/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Two Shapes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2: Three Shapes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3 :</w:t>
            </w:r>
            <w:proofErr w:type="gramEnd"/>
            <w:r w:rsidRPr="006924CB">
              <w:rPr>
                <w:sz w:val="16"/>
                <w:szCs w:val="16"/>
              </w:rPr>
              <w:t xml:space="preserve"> Four Shapes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4~255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lastRenderedPageBreak/>
              <w:t>phyVTASCCLevel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number of colors used in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One color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Two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2 :</w:t>
            </w:r>
            <w:proofErr w:type="gramEnd"/>
            <w:r w:rsidRPr="006924CB">
              <w:rPr>
                <w:sz w:val="16"/>
                <w:szCs w:val="16"/>
              </w:rPr>
              <w:t xml:space="preserve"> Three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3 :</w:t>
            </w:r>
            <w:proofErr w:type="gramEnd"/>
            <w:r w:rsidRPr="006924CB">
              <w:rPr>
                <w:sz w:val="16"/>
                <w:szCs w:val="16"/>
              </w:rPr>
              <w:t xml:space="preserve"> Four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4 :</w:t>
            </w:r>
            <w:proofErr w:type="gramEnd"/>
            <w:r w:rsidRPr="006924CB">
              <w:rPr>
                <w:sz w:val="16"/>
                <w:szCs w:val="16"/>
              </w:rPr>
              <w:t xml:space="preserve"> Five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5 :</w:t>
            </w:r>
            <w:proofErr w:type="gramEnd"/>
            <w:r w:rsidRPr="006924CB">
              <w:rPr>
                <w:sz w:val="16"/>
                <w:szCs w:val="16"/>
              </w:rPr>
              <w:t xml:space="preserve"> Six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6 :</w:t>
            </w:r>
            <w:proofErr w:type="gramEnd"/>
            <w:r w:rsidRPr="006924CB">
              <w:rPr>
                <w:sz w:val="16"/>
                <w:szCs w:val="16"/>
              </w:rPr>
              <w:t xml:space="preserve"> Seven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7 :</w:t>
            </w:r>
            <w:proofErr w:type="gramEnd"/>
            <w:r w:rsidRPr="006924CB">
              <w:rPr>
                <w:sz w:val="16"/>
                <w:szCs w:val="16"/>
              </w:rPr>
              <w:t xml:space="preserve"> Eight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4~255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phyVTASCSModel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block shape Type used in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Square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Circle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3 :</w:t>
            </w:r>
            <w:proofErr w:type="gramEnd"/>
            <w:r w:rsidRPr="006924CB">
              <w:rPr>
                <w:sz w:val="16"/>
                <w:szCs w:val="16"/>
              </w:rPr>
              <w:t xml:space="preserve"> hexagon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4 :</w:t>
            </w:r>
            <w:proofErr w:type="gramEnd"/>
            <w:r w:rsidRPr="006924CB">
              <w:rPr>
                <w:sz w:val="16"/>
                <w:szCs w:val="16"/>
              </w:rPr>
              <w:t xml:space="preserve"> star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5~65535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phyVTASCAHSize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Horizontal Blocks in the VTASC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phyVTASCAVSize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Vertical Blocks in the VTASC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phyVTASCScalRateCtrl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 w:rsidRPr="007805C0">
              <w:rPr>
                <w:rFonts w:cs="TimesNewRomanPSMT"/>
                <w:sz w:val="20"/>
                <w:szCs w:val="20"/>
              </w:rPr>
              <w:t>0x</w:t>
            </w:r>
            <w:r>
              <w:rPr>
                <w:rFonts w:cs="TimesNewRomanPSMT"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</w:t>
            </w:r>
            <w:proofErr w:type="gramStart"/>
            <w:r w:rsidRPr="006924CB">
              <w:rPr>
                <w:sz w:val="16"/>
                <w:szCs w:val="16"/>
              </w:rPr>
              <w:t>specify</w:t>
            </w:r>
            <w:proofErr w:type="gramEnd"/>
            <w:r w:rsidRPr="006924CB">
              <w:rPr>
                <w:sz w:val="16"/>
                <w:szCs w:val="16"/>
              </w:rPr>
              <w:t xml:space="preserve"> the Scalable Rate control mode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0 :</w:t>
            </w:r>
            <w:proofErr w:type="gramEnd"/>
            <w:r w:rsidRPr="006924CB">
              <w:rPr>
                <w:sz w:val="16"/>
                <w:szCs w:val="16"/>
              </w:rPr>
              <w:t xml:space="preserve"> No Scalable Bitrate control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proofErr w:type="gramStart"/>
            <w:r w:rsidRPr="006924CB">
              <w:rPr>
                <w:sz w:val="16"/>
                <w:szCs w:val="16"/>
              </w:rPr>
              <w:t>1 :</w:t>
            </w:r>
            <w:proofErr w:type="gramEnd"/>
            <w:r w:rsidRPr="006924CB">
              <w:rPr>
                <w:sz w:val="16"/>
                <w:szCs w:val="16"/>
              </w:rPr>
              <w:t xml:space="preserve"> </w:t>
            </w:r>
            <w:proofErr w:type="spellStart"/>
            <w:r w:rsidRPr="006924CB">
              <w:rPr>
                <w:sz w:val="16"/>
                <w:szCs w:val="16"/>
              </w:rPr>
              <w:t>Multirate</w:t>
            </w:r>
            <w:proofErr w:type="spellEnd"/>
            <w:r w:rsidRPr="006924CB">
              <w:rPr>
                <w:sz w:val="16"/>
                <w:szCs w:val="16"/>
              </w:rPr>
              <w:t xml:space="preserve"> Scalable Controller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2:  Distance Adaptive Scalable Controller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 xml:space="preserve">3: Distance adaptive with </w:t>
            </w:r>
            <w:proofErr w:type="spellStart"/>
            <w:r w:rsidRPr="006924CB">
              <w:rPr>
                <w:sz w:val="16"/>
                <w:szCs w:val="16"/>
              </w:rPr>
              <w:t>multirate</w:t>
            </w:r>
            <w:proofErr w:type="spellEnd"/>
            <w:r w:rsidRPr="006924CB">
              <w:rPr>
                <w:sz w:val="16"/>
                <w:szCs w:val="16"/>
              </w:rPr>
              <w:t xml:space="preserve"> scalable controller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phyVTACScalRegion1OpticalClockRate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0x19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scalable optical clock rate of VTASC region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phyVTACScalRegion2OpticalClockRate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0x1A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scalable optical clock rate of VTASC region 2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phyVTACScalRegion3OpticalClockRate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0x1B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scalable optical clock rate of VTASC region 3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phyVTACScalRegion4OpticalClockRate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0x1C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scalable optical clock rate of VTASC region4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phyVTACScalRegion1DistanceRange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0x19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distance adapted on  VTASC region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phyVTACScalRegion2DistanceRange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0x1A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distance adapted on  VTASC region 2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phyVTACScalRegion3DistanceRange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0x1B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distance adapted on  VTASC region 3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phyVTACScalRegion4DistanceRange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0x1C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distance adapted on  VTASC region 4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PhySSCode1Len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0x1D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spreading code length for SS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PhySSCode2Len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0x1E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spreading code length for SS Code 2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PhySSCode3Len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0x1F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spreading code length for SS Code 3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PhySSCode4Len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0x20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spreading code length for SS Code 4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PhySSCode1FP00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0x21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specify the SS Code 1 pair code 0 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PhySSCode1FP01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0x22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SS Code 1 pair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PhySSCode2FP00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0x23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specify the SS Code 2 pair code 0 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PhySSCode2FP01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SS Code 2 pair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PhySSCode3FP00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specify the SS Code 3 pair code 0 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PhySSCode3FP01</w:t>
            </w:r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SS Code 3 pair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PhySSCode4FP00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0x27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specify the SS Code 4 pair code 0 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PhySSCode4FP01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0x28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SS Code 4 pair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phyVTASCCValue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Colors used in the VTASC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phyVTASCTxHSize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3A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  <w:highlight w:val="yellow"/>
              </w:rPr>
            </w:pPr>
            <w:r w:rsidRPr="00765053">
              <w:rPr>
                <w:sz w:val="16"/>
                <w:szCs w:val="20"/>
              </w:rPr>
              <w:t>0-65535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Horizontal Pixel in the 2D Display Transmitter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phyVTASCTxVSize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3B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  <w:highlight w:val="yellow"/>
              </w:rPr>
            </w:pPr>
            <w:r w:rsidRPr="00765053">
              <w:rPr>
                <w:sz w:val="16"/>
                <w:szCs w:val="20"/>
              </w:rPr>
              <w:t>0-65535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Vertical Pixel in the 2D Display Transmitter</w:t>
            </w:r>
          </w:p>
        </w:tc>
      </w:tr>
    </w:tbl>
    <w:p w:rsidR="00A05356" w:rsidRDefault="00A05356" w:rsidP="00A05356"/>
    <w:p w:rsidR="00A05356" w:rsidRDefault="00A05356" w:rsidP="00A05356"/>
    <w:p w:rsidR="00A05356" w:rsidRPr="00D7387E" w:rsidRDefault="00A05356" w:rsidP="009E3565">
      <w:pPr>
        <w:pStyle w:val="Heading2"/>
        <w:rPr>
          <w:b/>
          <w:sz w:val="28"/>
        </w:rPr>
      </w:pPr>
      <w:r>
        <w:rPr>
          <w:b/>
          <w:sz w:val="28"/>
        </w:rPr>
        <w:t>Table 1</w:t>
      </w:r>
      <w:r w:rsidR="009E3565">
        <w:rPr>
          <w:b/>
          <w:sz w:val="28"/>
        </w:rPr>
        <w:t>39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IDE mode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810"/>
        <w:gridCol w:w="990"/>
        <w:gridCol w:w="4860"/>
      </w:tblGrid>
      <w:tr w:rsidR="002F1A28" w:rsidRPr="002874E1" w:rsidTr="002F1A28">
        <w:tc>
          <w:tcPr>
            <w:tcW w:w="2695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Attribute</w:t>
            </w:r>
          </w:p>
        </w:tc>
        <w:tc>
          <w:tcPr>
            <w:tcW w:w="900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Ident</w:t>
            </w:r>
          </w:p>
        </w:tc>
        <w:tc>
          <w:tcPr>
            <w:tcW w:w="810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Type</w:t>
            </w:r>
          </w:p>
        </w:tc>
        <w:tc>
          <w:tcPr>
            <w:tcW w:w="990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Range</w:t>
            </w:r>
          </w:p>
        </w:tc>
        <w:tc>
          <w:tcPr>
            <w:tcW w:w="4860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Description</w:t>
            </w:r>
          </w:p>
        </w:tc>
      </w:tr>
      <w:tr w:rsidR="002F1A28" w:rsidRPr="002874E1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phyIDETxMode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0x10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This attribute indicates the Invisible Data Embedding transmission modes.</w:t>
            </w:r>
          </w:p>
          <w:p w:rsidR="002F1A28" w:rsidRPr="006924CB" w:rsidRDefault="002F1A28" w:rsidP="00576AC3">
            <w:pPr>
              <w:jc w:val="both"/>
              <w:rPr>
                <w:color w:val="000000" w:themeColor="text1"/>
                <w:sz w:val="16"/>
                <w:szCs w:val="20"/>
              </w:rPr>
            </w:pP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0 :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IDE-BLENDING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1 :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IDE-WATERMARK 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2 :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SS IDE-BLEND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  <w:highlight w:val="yellow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 xml:space="preserve">3 : SS IDE-WATERMARK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phyIDEApplicationSpecificMode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0x11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application specific PHY mode.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proofErr w:type="gramStart"/>
            <w:r w:rsidRPr="006924CB">
              <w:rPr>
                <w:sz w:val="16"/>
                <w:szCs w:val="20"/>
              </w:rPr>
              <w:t>0 :</w:t>
            </w:r>
            <w:proofErr w:type="gramEnd"/>
            <w:r w:rsidRPr="006924CB">
              <w:rPr>
                <w:sz w:val="16"/>
                <w:szCs w:val="20"/>
              </w:rPr>
              <w:t xml:space="preserve"> Normal Data (Media Content, Information Content based on the Application used for)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proofErr w:type="gramStart"/>
            <w:r w:rsidRPr="006924CB">
              <w:rPr>
                <w:sz w:val="16"/>
                <w:szCs w:val="20"/>
              </w:rPr>
              <w:t>1 :</w:t>
            </w:r>
            <w:proofErr w:type="gramEnd"/>
            <w:r w:rsidRPr="006924CB">
              <w:rPr>
                <w:sz w:val="16"/>
                <w:szCs w:val="20"/>
              </w:rPr>
              <w:t xml:space="preserve"> ID Data </w:t>
            </w:r>
          </w:p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proofErr w:type="gramStart"/>
            <w:r w:rsidRPr="006924CB">
              <w:rPr>
                <w:sz w:val="16"/>
                <w:szCs w:val="20"/>
              </w:rPr>
              <w:t>2 :</w:t>
            </w:r>
            <w:proofErr w:type="gramEnd"/>
            <w:r w:rsidRPr="006924CB">
              <w:rPr>
                <w:sz w:val="16"/>
                <w:szCs w:val="20"/>
              </w:rPr>
              <w:t xml:space="preserve"> Authentication Data</w:t>
            </w:r>
          </w:p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3~255: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phyIDETxCamerEnable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0x12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This attribute indicates the Transmitter is Enabled with Camera or not for Interactive Receiver distance specific data transfer control.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0 :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Camera not connected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1 : Camera connected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phyIDERxDistance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0x13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This attribute notify the Receiver distance from Transmitter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phyIDEModulation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0x14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modulation.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proofErr w:type="gramStart"/>
            <w:r w:rsidRPr="006924CB">
              <w:rPr>
                <w:sz w:val="16"/>
                <w:szCs w:val="20"/>
              </w:rPr>
              <w:t>0 :</w:t>
            </w:r>
            <w:proofErr w:type="gramEnd"/>
            <w:r w:rsidRPr="006924CB">
              <w:rPr>
                <w:sz w:val="16"/>
                <w:szCs w:val="20"/>
              </w:rPr>
              <w:t xml:space="preserve"> M-FSK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proofErr w:type="gramStart"/>
            <w:r w:rsidRPr="006924CB">
              <w:rPr>
                <w:sz w:val="16"/>
                <w:szCs w:val="20"/>
              </w:rPr>
              <w:t>1 :</w:t>
            </w:r>
            <w:proofErr w:type="gramEnd"/>
            <w:r w:rsidRPr="006924CB">
              <w:rPr>
                <w:sz w:val="16"/>
                <w:szCs w:val="20"/>
              </w:rPr>
              <w:t xml:space="preserve"> HYBRID-MPFSK </w:t>
            </w:r>
          </w:p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proofErr w:type="gramStart"/>
            <w:r w:rsidRPr="006924CB">
              <w:rPr>
                <w:sz w:val="16"/>
                <w:szCs w:val="20"/>
              </w:rPr>
              <w:t>2 :</w:t>
            </w:r>
            <w:proofErr w:type="gramEnd"/>
            <w:r w:rsidRPr="006924CB">
              <w:rPr>
                <w:sz w:val="16"/>
                <w:szCs w:val="20"/>
              </w:rPr>
              <w:t xml:space="preserve"> 2D Binary Code</w:t>
            </w:r>
          </w:p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3~255: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phyIDENoFrequency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0x15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number of frequency used in M-FSK and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phyIDENoPhase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0x16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number of phase used in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phyIDEFreqBase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0x15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base frequency used in M-FSK and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phyIDEFreqSeparation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0x16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frequency difference used in M-FSK and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phyIDEPhaseBase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0x15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base Phase used in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phyIDEPhaseSeparation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0x16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Phase difference used in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phyIDECodedArea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0x17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 xml:space="preserve">This attribute </w:t>
            </w:r>
            <w:proofErr w:type="gramStart"/>
            <w:r w:rsidRPr="006924CB">
              <w:rPr>
                <w:sz w:val="16"/>
                <w:szCs w:val="20"/>
              </w:rPr>
              <w:t>specify</w:t>
            </w:r>
            <w:proofErr w:type="gramEnd"/>
            <w:r w:rsidRPr="006924CB">
              <w:rPr>
                <w:sz w:val="16"/>
                <w:szCs w:val="20"/>
              </w:rPr>
              <w:t xml:space="preserve"> the coded area of the IDE</w:t>
            </w:r>
          </w:p>
          <w:p w:rsidR="002F1A28" w:rsidRPr="006924CB" w:rsidRDefault="002F1A28" w:rsidP="00576AC3">
            <w:pPr>
              <w:rPr>
                <w:sz w:val="16"/>
                <w:szCs w:val="20"/>
              </w:rPr>
            </w:pPr>
            <w:proofErr w:type="gramStart"/>
            <w:r w:rsidRPr="006924CB">
              <w:rPr>
                <w:sz w:val="16"/>
                <w:szCs w:val="20"/>
              </w:rPr>
              <w:t>0 :</w:t>
            </w:r>
            <w:proofErr w:type="gramEnd"/>
            <w:r w:rsidRPr="006924CB">
              <w:rPr>
                <w:sz w:val="16"/>
                <w:szCs w:val="20"/>
              </w:rPr>
              <w:t xml:space="preserve"> Full Screen</w:t>
            </w:r>
          </w:p>
          <w:p w:rsidR="002F1A28" w:rsidRPr="006924CB" w:rsidRDefault="002F1A28" w:rsidP="00576AC3">
            <w:pPr>
              <w:rPr>
                <w:sz w:val="16"/>
                <w:szCs w:val="20"/>
              </w:rPr>
            </w:pPr>
            <w:proofErr w:type="gramStart"/>
            <w:r w:rsidRPr="006924CB">
              <w:rPr>
                <w:sz w:val="16"/>
                <w:szCs w:val="20"/>
              </w:rPr>
              <w:t>1 :</w:t>
            </w:r>
            <w:proofErr w:type="gramEnd"/>
            <w:r w:rsidRPr="006924CB">
              <w:rPr>
                <w:sz w:val="16"/>
                <w:szCs w:val="20"/>
              </w:rPr>
              <w:t xml:space="preserve"> Partial Screen</w:t>
            </w:r>
          </w:p>
          <w:p w:rsidR="002F1A28" w:rsidRPr="006924CB" w:rsidRDefault="002F1A28" w:rsidP="00576AC3">
            <w:pPr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2~255 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phyIDECodedLocation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0x18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 xml:space="preserve">This attribute </w:t>
            </w: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specify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the Coded Location of the IDE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0 :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Center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1 :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Bottom Right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2 :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Bottom Left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3 :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Top Right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proofErr w:type="gramStart"/>
            <w:r w:rsidRPr="006924CB">
              <w:rPr>
                <w:color w:val="000000" w:themeColor="text1"/>
                <w:sz w:val="16"/>
                <w:szCs w:val="20"/>
              </w:rPr>
              <w:t>4 :</w:t>
            </w:r>
            <w:proofErr w:type="gramEnd"/>
            <w:r w:rsidRPr="006924CB">
              <w:rPr>
                <w:color w:val="000000" w:themeColor="text1"/>
                <w:sz w:val="16"/>
                <w:szCs w:val="20"/>
              </w:rPr>
              <w:t xml:space="preserve"> Top Left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  <w:highlight w:val="yellow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5~255 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phyIDEHSize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0x19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 xml:space="preserve">This attribute specify the no of horizontal pixel in the display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phyIDEVSize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0x1A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 xml:space="preserve">This attribute specify the no of vertical Pixel in the display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phyIDEENCHozAreaSize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0x1B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 xml:space="preserve">This attribute specify the no of horizontal pixel  area to Encode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phyIDEENCVerAreaSize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0x1C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This attribute specify the no of horizontal pixel  area to Encode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phyIDEMxNBlockSize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0x1D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 xml:space="preserve">This attribute </w:t>
            </w:r>
            <w:proofErr w:type="gramStart"/>
            <w:r w:rsidRPr="006924CB">
              <w:rPr>
                <w:sz w:val="16"/>
                <w:szCs w:val="20"/>
              </w:rPr>
              <w:t>specify</w:t>
            </w:r>
            <w:proofErr w:type="gramEnd"/>
            <w:r w:rsidRPr="006924CB">
              <w:rPr>
                <w:sz w:val="16"/>
                <w:szCs w:val="20"/>
              </w:rPr>
              <w:t xml:space="preserve"> the no of Horizontal pixels in Blocks in the IDE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0 – 16x16 pixels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1 – 32x32 pixels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2 – 64x64 pixels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3~255: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phyIDEFrequency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0x1E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 xml:space="preserve">This attribute specify the frame rate of IDE  sequence Transmission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PhyIDETxHSize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0x1F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This attribute specify the no of Horizontal Pixel in the 2D Display Transmitter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lastRenderedPageBreak/>
              <w:t>PhyIDETxVSize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0x20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This attribute specify the no of Vertical Pixel in the 2D Display Transmitter</w:t>
            </w:r>
          </w:p>
        </w:tc>
      </w:tr>
    </w:tbl>
    <w:p w:rsidR="00A05356" w:rsidRDefault="00A05356"/>
    <w:sectPr w:rsidR="00A053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93" w:rsidRDefault="004A3F93" w:rsidP="00471309">
      <w:pPr>
        <w:spacing w:after="0" w:line="240" w:lineRule="auto"/>
      </w:pPr>
      <w:r>
        <w:separator/>
      </w:r>
    </w:p>
  </w:endnote>
  <w:endnote w:type="continuationSeparator" w:id="0">
    <w:p w:rsidR="004A3F93" w:rsidRDefault="004A3F93" w:rsidP="0047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09" w:rsidRDefault="00471309" w:rsidP="00471309">
    <w:pPr>
      <w:pStyle w:val="Footer"/>
      <w:widowControl w:val="0"/>
      <w:pBdr>
        <w:top w:val="single" w:sz="6" w:space="0" w:color="auto"/>
      </w:pBdr>
      <w:spacing w:before="240"/>
    </w:pPr>
    <w:r>
      <w:t>D</w:t>
    </w:r>
    <w:r w:rsidR="00F63966">
      <w:t>4</w:t>
    </w:r>
    <w:r>
      <w:t xml:space="preserve">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471309" w:rsidRDefault="00471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93" w:rsidRDefault="004A3F93" w:rsidP="00471309">
      <w:pPr>
        <w:spacing w:after="0" w:line="240" w:lineRule="auto"/>
      </w:pPr>
      <w:r>
        <w:separator/>
      </w:r>
    </w:p>
  </w:footnote>
  <w:footnote w:type="continuationSeparator" w:id="0">
    <w:p w:rsidR="004A3F93" w:rsidRDefault="004A3F93" w:rsidP="0047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09" w:rsidRPr="00471309" w:rsidRDefault="004B1050" w:rsidP="0047130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September</w:t>
    </w:r>
    <w:r w:rsidR="00471309">
      <w:rPr>
        <w:b/>
        <w:sz w:val="28"/>
      </w:rPr>
      <w:t xml:space="preserve"> 2017</w:t>
    </w:r>
    <w:r w:rsidR="00471309" w:rsidRPr="009C47F1">
      <w:rPr>
        <w:b/>
        <w:sz w:val="28"/>
      </w:rPr>
      <w:tab/>
    </w:r>
    <w:r w:rsidR="00471309" w:rsidRPr="009C47F1">
      <w:rPr>
        <w:b/>
        <w:sz w:val="28"/>
      </w:rPr>
      <w:tab/>
      <w:t xml:space="preserve"> IEEE P802.15-16-</w:t>
    </w:r>
    <w:r w:rsidR="002D3197" w:rsidRPr="002D3197">
      <w:rPr>
        <w:b/>
        <w:sz w:val="28"/>
      </w:rPr>
      <w:t>0532</w:t>
    </w:r>
    <w:r w:rsidR="00471309">
      <w:rPr>
        <w:b/>
        <w:sz w:val="28"/>
      </w:rPr>
      <w:t>-</w:t>
    </w:r>
    <w:r w:rsidR="00471309" w:rsidRPr="009C47F1">
      <w:rPr>
        <w:b/>
        <w:sz w:val="28"/>
      </w:rPr>
      <w:t>0</w:t>
    </w:r>
    <w:r w:rsidR="002D3197">
      <w:rPr>
        <w:b/>
        <w:sz w:val="28"/>
      </w:rPr>
      <w:t>0</w:t>
    </w:r>
    <w:r w:rsidR="00471309" w:rsidRPr="009C47F1">
      <w:rPr>
        <w:b/>
        <w:sz w:val="28"/>
      </w:rPr>
      <w:t>-007a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3NjAyMbC0NDIwMDVU0lEKTi0uzszPAykwqQUABaVBGSwAAAA="/>
  </w:docVars>
  <w:rsids>
    <w:rsidRoot w:val="00EB3287"/>
    <w:rsid w:val="00017BC7"/>
    <w:rsid w:val="00036A45"/>
    <w:rsid w:val="0003734F"/>
    <w:rsid w:val="0004508C"/>
    <w:rsid w:val="000749A9"/>
    <w:rsid w:val="001C5248"/>
    <w:rsid w:val="002040E9"/>
    <w:rsid w:val="00205907"/>
    <w:rsid w:val="00220E3E"/>
    <w:rsid w:val="00293050"/>
    <w:rsid w:val="002D3197"/>
    <w:rsid w:val="002F1A28"/>
    <w:rsid w:val="003259C3"/>
    <w:rsid w:val="0037433E"/>
    <w:rsid w:val="003B2F6C"/>
    <w:rsid w:val="00403206"/>
    <w:rsid w:val="00411C77"/>
    <w:rsid w:val="00440A1B"/>
    <w:rsid w:val="00471309"/>
    <w:rsid w:val="004757A7"/>
    <w:rsid w:val="00481887"/>
    <w:rsid w:val="00486F9C"/>
    <w:rsid w:val="004A3F93"/>
    <w:rsid w:val="004B1050"/>
    <w:rsid w:val="004D7D19"/>
    <w:rsid w:val="00535E24"/>
    <w:rsid w:val="0056103A"/>
    <w:rsid w:val="005C3065"/>
    <w:rsid w:val="005D19E1"/>
    <w:rsid w:val="005D2726"/>
    <w:rsid w:val="005D34FE"/>
    <w:rsid w:val="005E5C2E"/>
    <w:rsid w:val="0061225C"/>
    <w:rsid w:val="00656627"/>
    <w:rsid w:val="006924CB"/>
    <w:rsid w:val="00695930"/>
    <w:rsid w:val="006A2633"/>
    <w:rsid w:val="006A7FEA"/>
    <w:rsid w:val="00726DD2"/>
    <w:rsid w:val="007503B8"/>
    <w:rsid w:val="00765053"/>
    <w:rsid w:val="007A3CB3"/>
    <w:rsid w:val="007B7276"/>
    <w:rsid w:val="007C4D18"/>
    <w:rsid w:val="007D2CDD"/>
    <w:rsid w:val="007F3883"/>
    <w:rsid w:val="008640CB"/>
    <w:rsid w:val="00875242"/>
    <w:rsid w:val="008D6A0A"/>
    <w:rsid w:val="008D70C9"/>
    <w:rsid w:val="00943260"/>
    <w:rsid w:val="009638D4"/>
    <w:rsid w:val="00982FBA"/>
    <w:rsid w:val="009B30F9"/>
    <w:rsid w:val="009B4AB4"/>
    <w:rsid w:val="009E0973"/>
    <w:rsid w:val="009E3565"/>
    <w:rsid w:val="009E3C12"/>
    <w:rsid w:val="00A05356"/>
    <w:rsid w:val="00B17CE9"/>
    <w:rsid w:val="00B63F84"/>
    <w:rsid w:val="00BC4B0E"/>
    <w:rsid w:val="00BD03CC"/>
    <w:rsid w:val="00BF3213"/>
    <w:rsid w:val="00C26F51"/>
    <w:rsid w:val="00C42DE0"/>
    <w:rsid w:val="00CF3803"/>
    <w:rsid w:val="00D11E4E"/>
    <w:rsid w:val="00D345A9"/>
    <w:rsid w:val="00D42CD1"/>
    <w:rsid w:val="00D43384"/>
    <w:rsid w:val="00D761AB"/>
    <w:rsid w:val="00D93E4D"/>
    <w:rsid w:val="00DA1083"/>
    <w:rsid w:val="00DB6632"/>
    <w:rsid w:val="00DD1263"/>
    <w:rsid w:val="00DD62F4"/>
    <w:rsid w:val="00DF1466"/>
    <w:rsid w:val="00DF2F5D"/>
    <w:rsid w:val="00E47E03"/>
    <w:rsid w:val="00E61782"/>
    <w:rsid w:val="00E7238F"/>
    <w:rsid w:val="00E94FA7"/>
    <w:rsid w:val="00EB3287"/>
    <w:rsid w:val="00F221C9"/>
    <w:rsid w:val="00F328CF"/>
    <w:rsid w:val="00F40A79"/>
    <w:rsid w:val="00F478A2"/>
    <w:rsid w:val="00F63966"/>
    <w:rsid w:val="00F86609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90E1"/>
  <w15:chartTrackingRefBased/>
  <w15:docId w15:val="{CE1DAEA9-5357-49F8-B95B-E199AC47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C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7C4D18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F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4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09"/>
  </w:style>
  <w:style w:type="paragraph" w:styleId="Footer">
    <w:name w:val="footer"/>
    <w:basedOn w:val="Normal"/>
    <w:link w:val="FooterChar"/>
    <w:unhideWhenUsed/>
    <w:rsid w:val="004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09"/>
  </w:style>
  <w:style w:type="character" w:styleId="CommentReference">
    <w:name w:val="annotation reference"/>
    <w:basedOn w:val="DefaultParagraphFont"/>
    <w:uiPriority w:val="99"/>
    <w:semiHidden/>
    <w:unhideWhenUsed/>
    <w:rsid w:val="00765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053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053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CDEA-89F5-4AB9-8B25-C6A0CA54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WINC603</cp:lastModifiedBy>
  <cp:revision>4</cp:revision>
  <dcterms:created xsi:type="dcterms:W3CDTF">2017-09-13T18:16:00Z</dcterms:created>
  <dcterms:modified xsi:type="dcterms:W3CDTF">2017-09-13T18:17:00Z</dcterms:modified>
</cp:coreProperties>
</file>