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30" w:rsidRDefault="002F08A1" w:rsidP="00205DA7">
      <w:pPr>
        <w:tabs>
          <w:tab w:val="left" w:pos="510"/>
        </w:tabs>
        <w:jc w:val="center"/>
        <w:rPr>
          <w:b/>
          <w:sz w:val="28"/>
        </w:rPr>
      </w:pPr>
      <w:r>
        <w:rPr>
          <w:b/>
          <w:sz w:val="28"/>
        </w:rPr>
        <w:t>IEEE P802.15</w:t>
      </w:r>
      <w:r w:rsidR="00205DA7">
        <w:rPr>
          <w:b/>
          <w:sz w:val="28"/>
        </w:rPr>
        <w:t xml:space="preserve"> </w:t>
      </w:r>
    </w:p>
    <w:p w:rsidR="002F08A1" w:rsidRDefault="002F08A1" w:rsidP="00205DA7">
      <w:pPr>
        <w:tabs>
          <w:tab w:val="left" w:pos="510"/>
        </w:tabs>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771F1C" w:rsidP="00F33B81">
            <w:pPr>
              <w:pStyle w:val="covertext"/>
              <w:jc w:val="both"/>
            </w:pPr>
            <w:r>
              <w:rPr>
                <w:b/>
                <w:sz w:val="28"/>
                <w:szCs w:val="28"/>
              </w:rPr>
              <w:t xml:space="preserve">D2 Comments Resolution Based </w:t>
            </w:r>
            <w:r w:rsidR="00F96F91" w:rsidRPr="00B83F1E">
              <w:rPr>
                <w:b/>
                <w:sz w:val="28"/>
                <w:szCs w:val="28"/>
              </w:rPr>
              <w:t>PHY PIB Attributes</w:t>
            </w:r>
            <w:r>
              <w:rPr>
                <w:b/>
                <w:sz w:val="28"/>
                <w:szCs w:val="28"/>
              </w:rPr>
              <w:t xml:space="preserve"> Revision</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F33B81" w:rsidP="00F33B81">
            <w:pPr>
              <w:pStyle w:val="covertext"/>
            </w:pPr>
            <w:r>
              <w:t>May</w:t>
            </w:r>
            <w:r w:rsidR="002F08A1">
              <w:t xml:space="preserve">, </w:t>
            </w:r>
            <w:r w:rsidR="00FD746F">
              <w:rPr>
                <w:rFonts w:hint="eastAsia"/>
              </w:rPr>
              <w:t>2017</w:t>
            </w:r>
          </w:p>
        </w:tc>
      </w:tr>
      <w:tr w:rsidR="00B107EB" w:rsidTr="007B785E">
        <w:tc>
          <w:tcPr>
            <w:tcW w:w="1260" w:type="dxa"/>
            <w:tcBorders>
              <w:top w:val="single" w:sz="4" w:space="0" w:color="auto"/>
              <w:bottom w:val="single" w:sz="4" w:space="0" w:color="auto"/>
            </w:tcBorders>
          </w:tcPr>
          <w:p w:rsidR="00B107EB" w:rsidRDefault="00B107EB" w:rsidP="00B107EB">
            <w:pPr>
              <w:pStyle w:val="covertext"/>
            </w:pPr>
            <w:r>
              <w:t>Source</w:t>
            </w:r>
          </w:p>
        </w:tc>
        <w:tc>
          <w:tcPr>
            <w:tcW w:w="4050" w:type="dxa"/>
            <w:tcBorders>
              <w:top w:val="single" w:sz="4" w:space="0" w:color="auto"/>
              <w:bottom w:val="single" w:sz="4" w:space="0" w:color="auto"/>
            </w:tcBorders>
          </w:tcPr>
          <w:p w:rsidR="00B107EB" w:rsidRDefault="00874142" w:rsidP="00874142">
            <w:pPr>
              <w:pStyle w:val="covertext"/>
            </w:pPr>
            <w:r w:rsidRPr="00874142">
              <w:t>Jaesang Cha</w:t>
            </w:r>
            <w:r>
              <w:t xml:space="preserve"> </w:t>
            </w:r>
            <w:r w:rsidRPr="00874142">
              <w:t>(SNUST), Minwoo Lee</w:t>
            </w:r>
            <w:r>
              <w:t xml:space="preserve"> </w:t>
            </w:r>
            <w:r w:rsidRPr="00874142">
              <w:t>(SNUST), Soonho Jung</w:t>
            </w:r>
            <w:r>
              <w:t xml:space="preserve"> </w:t>
            </w:r>
            <w:r w:rsidRPr="00874142">
              <w:t>(SNUST), Kim Chan</w:t>
            </w:r>
            <w:r>
              <w:t xml:space="preserve"> </w:t>
            </w:r>
            <w:r w:rsidRPr="00874142">
              <w:t xml:space="preserve">(SNUST), </w:t>
            </w:r>
            <w:proofErr w:type="spellStart"/>
            <w:r w:rsidRPr="00874142">
              <w:t>Ilkyoo</w:t>
            </w:r>
            <w:proofErr w:type="spellEnd"/>
            <w:r w:rsidRPr="00874142">
              <w:t xml:space="preserve"> Lee (</w:t>
            </w:r>
            <w:proofErr w:type="spellStart"/>
            <w:r w:rsidRPr="00874142">
              <w:t>Kongju</w:t>
            </w:r>
            <w:proofErr w:type="spellEnd"/>
            <w:r w:rsidRPr="00874142">
              <w:t xml:space="preserve"> </w:t>
            </w:r>
            <w:proofErr w:type="spellStart"/>
            <w:r w:rsidRPr="00874142">
              <w:t>Nat’Univ</w:t>
            </w:r>
            <w:proofErr w:type="spellEnd"/>
            <w:r w:rsidRPr="00874142">
              <w:t xml:space="preserve">.), </w:t>
            </w:r>
            <w:proofErr w:type="spellStart"/>
            <w:r w:rsidRPr="00874142">
              <w:t>Gilsik</w:t>
            </w:r>
            <w:proofErr w:type="spellEnd"/>
            <w:r w:rsidRPr="00874142">
              <w:t xml:space="preserve"> Lee</w:t>
            </w:r>
            <w:r>
              <w:t xml:space="preserve"> </w:t>
            </w:r>
            <w:r w:rsidRPr="00874142">
              <w:t xml:space="preserve">(The Univ. of Texas at Dallas), </w:t>
            </w:r>
            <w:proofErr w:type="spellStart"/>
            <w:r w:rsidRPr="00874142">
              <w:t>Sooyoung</w:t>
            </w:r>
            <w:proofErr w:type="spellEnd"/>
            <w:r w:rsidRPr="00874142">
              <w:t xml:space="preserve"> Chang</w:t>
            </w:r>
            <w:r>
              <w:t xml:space="preserve"> </w:t>
            </w:r>
            <w:r w:rsidRPr="00874142">
              <w:t>(CSUS)</w:t>
            </w:r>
            <w:r>
              <w:t xml:space="preserve"> </w:t>
            </w:r>
            <w:r w:rsidRPr="00874142">
              <w:t>, Vinayagam Mariappan</w:t>
            </w:r>
            <w:r>
              <w:t xml:space="preserve"> </w:t>
            </w:r>
            <w:r w:rsidRPr="00874142">
              <w:t>(SNUST)</w:t>
            </w:r>
          </w:p>
        </w:tc>
        <w:tc>
          <w:tcPr>
            <w:tcW w:w="4140" w:type="dxa"/>
            <w:tcBorders>
              <w:top w:val="single" w:sz="4" w:space="0" w:color="auto"/>
              <w:bottom w:val="single" w:sz="4" w:space="0" w:color="auto"/>
            </w:tcBorders>
          </w:tcPr>
          <w:p w:rsidR="00B107EB" w:rsidRDefault="00B107EB" w:rsidP="00B107EB">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B107EB" w:rsidRDefault="00B107EB" w:rsidP="00B107EB">
            <w:pPr>
              <w:pStyle w:val="covertext"/>
              <w:tabs>
                <w:tab w:val="left" w:pos="1152"/>
              </w:tabs>
              <w:spacing w:before="0" w:after="0"/>
              <w:rPr>
                <w:sz w:val="18"/>
              </w:rPr>
            </w:pPr>
          </w:p>
        </w:tc>
      </w:tr>
      <w:tr w:rsidR="00B107EB" w:rsidTr="007B785E">
        <w:tc>
          <w:tcPr>
            <w:tcW w:w="1260" w:type="dxa"/>
            <w:tcBorders>
              <w:top w:val="single" w:sz="6" w:space="0" w:color="auto"/>
            </w:tcBorders>
          </w:tcPr>
          <w:p w:rsidR="00B107EB" w:rsidRDefault="00B107EB" w:rsidP="00B107EB">
            <w:pPr>
              <w:pStyle w:val="covertext"/>
            </w:pPr>
            <w:r>
              <w:t>Re:</w:t>
            </w:r>
          </w:p>
        </w:tc>
        <w:tc>
          <w:tcPr>
            <w:tcW w:w="8190" w:type="dxa"/>
            <w:gridSpan w:val="2"/>
            <w:tcBorders>
              <w:top w:val="single" w:sz="6" w:space="0" w:color="auto"/>
            </w:tcBorders>
          </w:tcPr>
          <w:p w:rsidR="00B107EB" w:rsidRDefault="00F33B81" w:rsidP="00F33B81">
            <w:pPr>
              <w:pStyle w:val="covertext"/>
            </w:pPr>
            <w:r>
              <w:t xml:space="preserve">PHY PIB attributes specification revision to </w:t>
            </w:r>
            <w:r w:rsidRPr="00F33B81">
              <w:t>Use of over-the-air PHY frame configuration is forbidden for PHY types IV, V and VI</w:t>
            </w:r>
          </w:p>
        </w:tc>
      </w:tr>
      <w:tr w:rsidR="00B107EB" w:rsidTr="007B785E">
        <w:tc>
          <w:tcPr>
            <w:tcW w:w="1260" w:type="dxa"/>
            <w:tcBorders>
              <w:top w:val="single" w:sz="6" w:space="0" w:color="auto"/>
            </w:tcBorders>
          </w:tcPr>
          <w:p w:rsidR="00B107EB" w:rsidRDefault="00B107EB" w:rsidP="00B107EB">
            <w:pPr>
              <w:pStyle w:val="covertext"/>
            </w:pPr>
            <w:r>
              <w:t>Abstract</w:t>
            </w:r>
          </w:p>
        </w:tc>
        <w:tc>
          <w:tcPr>
            <w:tcW w:w="8190" w:type="dxa"/>
            <w:gridSpan w:val="2"/>
            <w:tcBorders>
              <w:top w:val="single" w:sz="6" w:space="0" w:color="auto"/>
            </w:tcBorders>
          </w:tcPr>
          <w:p w:rsidR="00B107EB" w:rsidRDefault="00B107EB" w:rsidP="00F33B81">
            <w:pPr>
              <w:pStyle w:val="covertext"/>
              <w:jc w:val="both"/>
            </w:pPr>
            <w:r w:rsidRPr="0099127A">
              <w:t>Details of Resolutions regarding</w:t>
            </w:r>
            <w:r w:rsidR="00C73029">
              <w:t xml:space="preserve"> to the submitted Comments on D</w:t>
            </w:r>
            <w:r w:rsidR="00F33B81">
              <w:t>2</w:t>
            </w:r>
            <w:r w:rsidRPr="0099127A">
              <w:t xml:space="preserve"> </w:t>
            </w:r>
            <w:r w:rsidRPr="0099127A">
              <w:rPr>
                <w:noProof/>
              </w:rPr>
              <w:t>are suggested</w:t>
            </w:r>
            <w:r>
              <w:rPr>
                <w:noProof/>
              </w:rPr>
              <w:t xml:space="preserve"> for PHY </w:t>
            </w:r>
            <w:r w:rsidRPr="00811569">
              <w:rPr>
                <w:noProof/>
              </w:rPr>
              <w:t>PIB Attributes</w:t>
            </w:r>
            <w:r w:rsidR="009A5A13">
              <w:rPr>
                <w:noProof/>
              </w:rPr>
              <w:t xml:space="preserve"> </w:t>
            </w:r>
            <w:r w:rsidR="009A5A13" w:rsidRPr="005E6BEA">
              <w:t>Specification Revision</w:t>
            </w:r>
            <w:r w:rsidR="00F33B81">
              <w:t xml:space="preserve"> to use </w:t>
            </w:r>
            <w:r w:rsidR="00F33B81" w:rsidRPr="00F33B81">
              <w:t>of over-the-air PHY frame configuration is forbidden for PHY types IV, V and VI</w:t>
            </w:r>
            <w:r w:rsidRPr="0030573A">
              <w:t>.</w:t>
            </w:r>
            <w:r>
              <w:t xml:space="preserve"> </w:t>
            </w:r>
            <w:r w:rsidR="00E64829">
              <w:t xml:space="preserve">The proposed method is designed  to operate on the application services like LED ID using Color/QR Code, </w:t>
            </w:r>
            <w:proofErr w:type="spellStart"/>
            <w:r w:rsidR="00E64829">
              <w:t>etc</w:t>
            </w:r>
            <w:proofErr w:type="spellEnd"/>
            <w:r w:rsidR="00E64829">
              <w:t>, LBS, Emergency EXIT Signage, LED-IT and Digital Signage with Advertisement Information etc.</w:t>
            </w:r>
          </w:p>
        </w:tc>
      </w:tr>
      <w:tr w:rsidR="00B107EB" w:rsidTr="007B785E">
        <w:tc>
          <w:tcPr>
            <w:tcW w:w="1260" w:type="dxa"/>
            <w:tcBorders>
              <w:top w:val="single" w:sz="6" w:space="0" w:color="auto"/>
            </w:tcBorders>
          </w:tcPr>
          <w:p w:rsidR="00B107EB" w:rsidRDefault="00B107EB" w:rsidP="00B107EB">
            <w:pPr>
              <w:pStyle w:val="covertext"/>
            </w:pPr>
            <w:r>
              <w:t>Purpose</w:t>
            </w:r>
          </w:p>
        </w:tc>
        <w:tc>
          <w:tcPr>
            <w:tcW w:w="8190" w:type="dxa"/>
            <w:gridSpan w:val="2"/>
            <w:tcBorders>
              <w:top w:val="single" w:sz="6" w:space="0" w:color="auto"/>
            </w:tcBorders>
          </w:tcPr>
          <w:p w:rsidR="00B107EB" w:rsidRDefault="00C73029" w:rsidP="00B107EB">
            <w:pPr>
              <w:pStyle w:val="covertext"/>
            </w:pPr>
            <w:r>
              <w:t>D1</w:t>
            </w:r>
            <w:r w:rsidR="00B107EB" w:rsidRPr="0099127A">
              <w:t xml:space="preserve"> Comments Resolutions and Editorial Revision.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Notice</w:t>
            </w:r>
          </w:p>
        </w:tc>
        <w:tc>
          <w:tcPr>
            <w:tcW w:w="8190" w:type="dxa"/>
            <w:gridSpan w:val="2"/>
            <w:tcBorders>
              <w:top w:val="single" w:sz="6" w:space="0" w:color="auto"/>
              <w:bottom w:val="single" w:sz="6" w:space="0" w:color="auto"/>
            </w:tcBorders>
          </w:tcPr>
          <w:p w:rsidR="00B107EB" w:rsidRDefault="00B107EB" w:rsidP="00B107E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Release</w:t>
            </w:r>
          </w:p>
        </w:tc>
        <w:tc>
          <w:tcPr>
            <w:tcW w:w="8190" w:type="dxa"/>
            <w:gridSpan w:val="2"/>
            <w:tcBorders>
              <w:top w:val="single" w:sz="6" w:space="0" w:color="auto"/>
              <w:bottom w:val="single" w:sz="6" w:space="0" w:color="auto"/>
            </w:tcBorders>
          </w:tcPr>
          <w:p w:rsidR="00B107EB" w:rsidRDefault="00B107EB" w:rsidP="00B107EB">
            <w:pPr>
              <w:pStyle w:val="covertext"/>
              <w:jc w:val="both"/>
            </w:pPr>
            <w:r>
              <w:t>The contributor acknowledges and accepts that this contribution becomes the property of IEEE and may be made publicly available by P802.15.</w:t>
            </w:r>
          </w:p>
        </w:tc>
      </w:tr>
    </w:tbl>
    <w:p w:rsidR="00526464" w:rsidRPr="00BD298D" w:rsidRDefault="002F08A1" w:rsidP="00F24206">
      <w:pPr>
        <w:tabs>
          <w:tab w:val="left" w:pos="7515"/>
        </w:tabs>
        <w:rPr>
          <w:rFonts w:ascii="Arial" w:hAnsi="Arial" w:cs="Arial"/>
          <w:b/>
          <w:sz w:val="28"/>
          <w:szCs w:val="28"/>
          <w:u w:val="single"/>
        </w:rPr>
      </w:pPr>
      <w:r>
        <w:rPr>
          <w:rFonts w:ascii="Arial" w:hAnsi="Arial" w:cs="Arial"/>
          <w:b/>
          <w:sz w:val="28"/>
          <w:szCs w:val="28"/>
          <w:u w:val="single"/>
        </w:rPr>
        <w:br w:type="page"/>
      </w:r>
      <w:bookmarkStart w:id="0" w:name="_Toc445802866"/>
      <w:r w:rsidR="009C17DC">
        <w:rPr>
          <w:b/>
          <w:sz w:val="28"/>
          <w:szCs w:val="28"/>
        </w:rPr>
        <w:lastRenderedPageBreak/>
        <w:t>I</w:t>
      </w:r>
      <w:r w:rsidR="00BD298D" w:rsidRPr="00BD298D">
        <w:rPr>
          <w:b/>
          <w:sz w:val="28"/>
          <w:szCs w:val="28"/>
        </w:rPr>
        <w:t xml:space="preserve">. </w:t>
      </w:r>
      <w:r w:rsidR="00E64829">
        <w:rPr>
          <w:b/>
          <w:sz w:val="28"/>
          <w:szCs w:val="28"/>
        </w:rPr>
        <w:t>PHY TYPE IV PHY PIB Attributes</w:t>
      </w:r>
    </w:p>
    <w:p w:rsidR="002263CB" w:rsidRPr="00505E0E" w:rsidRDefault="009C17DC" w:rsidP="002263CB">
      <w:pPr>
        <w:pStyle w:val="Heading1"/>
        <w:rPr>
          <w:rFonts w:ascii="Arial" w:hAnsi="Arial" w:cs="Arial"/>
          <w:b/>
          <w:color w:val="auto"/>
          <w:sz w:val="26"/>
          <w:szCs w:val="26"/>
        </w:rPr>
      </w:pPr>
      <w:r>
        <w:rPr>
          <w:rFonts w:ascii="Arial" w:hAnsi="Arial" w:cs="Arial"/>
          <w:b/>
          <w:color w:val="auto"/>
          <w:sz w:val="26"/>
          <w:szCs w:val="26"/>
        </w:rPr>
        <w:t>1.</w:t>
      </w:r>
      <w:r w:rsidR="002263CB">
        <w:rPr>
          <w:rFonts w:ascii="Arial" w:hAnsi="Arial" w:cs="Arial"/>
          <w:b/>
          <w:color w:val="auto"/>
          <w:sz w:val="26"/>
          <w:szCs w:val="26"/>
        </w:rPr>
        <w:t xml:space="preserve"> </w:t>
      </w:r>
      <w:r w:rsidR="002263CB" w:rsidRPr="00505E0E">
        <w:rPr>
          <w:rFonts w:ascii="Arial" w:hAnsi="Arial" w:cs="Arial"/>
          <w:b/>
          <w:color w:val="auto"/>
          <w:sz w:val="26"/>
          <w:szCs w:val="26"/>
        </w:rPr>
        <w:t>PHY PIB Attributes</w:t>
      </w:r>
      <w:r w:rsidR="002263CB">
        <w:rPr>
          <w:rFonts w:ascii="Arial" w:hAnsi="Arial" w:cs="Arial"/>
          <w:b/>
          <w:color w:val="auto"/>
          <w:sz w:val="26"/>
          <w:szCs w:val="26"/>
        </w:rPr>
        <w:t xml:space="preserve"> for Offset-VPWM</w:t>
      </w:r>
    </w:p>
    <w:p w:rsidR="002263CB" w:rsidRDefault="002263CB" w:rsidP="002263CB">
      <w:pPr>
        <w:jc w:val="both"/>
        <w:rPr>
          <w:rFonts w:ascii="Arial" w:hAnsi="Arial" w:cs="Arial"/>
          <w:sz w:val="24"/>
          <w:szCs w:val="24"/>
        </w:rPr>
      </w:pPr>
    </w:p>
    <w:p w:rsidR="002263CB" w:rsidRPr="00946FE3" w:rsidRDefault="002263CB" w:rsidP="002263CB">
      <w:pPr>
        <w:jc w:val="both"/>
        <w:rPr>
          <w:rFonts w:ascii="Arial" w:hAnsi="Arial" w:cs="Arial"/>
          <w:color w:val="FF0000"/>
          <w:sz w:val="24"/>
          <w:szCs w:val="24"/>
        </w:rPr>
      </w:pPr>
      <w:r w:rsidRPr="00AC708A">
        <w:rPr>
          <w:rFonts w:ascii="Arial" w:hAnsi="Arial" w:cs="Arial"/>
          <w:sz w:val="24"/>
          <w:szCs w:val="24"/>
        </w:rPr>
        <w:t xml:space="preserve">The </w:t>
      </w:r>
      <w:r w:rsidRPr="00CF6C72">
        <w:rPr>
          <w:rFonts w:ascii="Arial" w:hAnsi="Arial" w:cs="Arial"/>
          <w:color w:val="FF0000"/>
          <w:sz w:val="24"/>
          <w:szCs w:val="24"/>
        </w:rPr>
        <w:t xml:space="preserve">PHY </w:t>
      </w:r>
      <w:r>
        <w:rPr>
          <w:rFonts w:ascii="Arial" w:hAnsi="Arial" w:cs="Arial"/>
          <w:color w:val="FF0000"/>
          <w:sz w:val="24"/>
          <w:szCs w:val="24"/>
        </w:rPr>
        <w:t xml:space="preserve">PIB attributes </w:t>
      </w:r>
      <w:r w:rsidRPr="00CF6C72">
        <w:rPr>
          <w:rFonts w:ascii="Arial" w:hAnsi="Arial" w:cs="Arial"/>
          <w:color w:val="FF0000"/>
          <w:sz w:val="24"/>
          <w:szCs w:val="24"/>
        </w:rPr>
        <w:t xml:space="preserve">for </w:t>
      </w:r>
      <w:r>
        <w:rPr>
          <w:rFonts w:ascii="Arial" w:hAnsi="Arial" w:cs="Arial"/>
          <w:color w:val="FF0000"/>
          <w:sz w:val="24"/>
          <w:szCs w:val="24"/>
        </w:rPr>
        <w:t>Offset-VPWM</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Pr>
          <w:rFonts w:ascii="Arial" w:hAnsi="Arial" w:cs="Arial"/>
          <w:color w:val="FF0000"/>
          <w:sz w:val="24"/>
          <w:szCs w:val="24"/>
        </w:rPr>
        <w:t>1</w:t>
      </w:r>
      <w:r w:rsidR="00216AD0">
        <w:rPr>
          <w:rFonts w:ascii="Arial" w:hAnsi="Arial" w:cs="Arial"/>
          <w:color w:val="FF0000"/>
          <w:sz w:val="24"/>
          <w:szCs w:val="24"/>
        </w:rPr>
        <w:t>79</w:t>
      </w:r>
      <w:r>
        <w:rPr>
          <w:rFonts w:ascii="Arial" w:hAnsi="Arial" w:cs="Arial"/>
          <w:color w:val="FF0000"/>
          <w:sz w:val="24"/>
          <w:szCs w:val="24"/>
        </w:rPr>
        <w:t xml:space="preserve"> </w:t>
      </w:r>
      <w:r w:rsidRPr="00254888">
        <w:rPr>
          <w:rFonts w:ascii="Arial" w:hAnsi="Arial" w:cs="Arial"/>
          <w:color w:val="FF0000"/>
          <w:sz w:val="24"/>
          <w:szCs w:val="24"/>
        </w:rPr>
        <w:t>—PHY PIB attributes (continued</w:t>
      </w:r>
      <w:r w:rsidRPr="001E5D1B">
        <w:t xml:space="preserve"> </w:t>
      </w:r>
      <w:r w:rsidRPr="001E5D1B">
        <w:rPr>
          <w:rFonts w:ascii="Arial" w:hAnsi="Arial" w:cs="Arial"/>
          <w:color w:val="FF0000"/>
          <w:sz w:val="24"/>
          <w:szCs w:val="24"/>
        </w:rPr>
        <w:t xml:space="preserve">for </w:t>
      </w:r>
      <w:r>
        <w:rPr>
          <w:rFonts w:ascii="Arial" w:hAnsi="Arial" w:cs="Arial"/>
          <w:color w:val="FF0000"/>
          <w:sz w:val="24"/>
          <w:szCs w:val="24"/>
        </w:rPr>
        <w:t>Offset-VPWM</w:t>
      </w:r>
      <w:r w:rsidRPr="001E5D1B">
        <w:rPr>
          <w:rFonts w:ascii="Arial" w:hAnsi="Arial" w:cs="Arial"/>
          <w:color w:val="FF0000"/>
          <w:sz w:val="24"/>
          <w:szCs w:val="24"/>
        </w:rPr>
        <w:t>)</w:t>
      </w:r>
      <w:r w:rsidRPr="00072CFD">
        <w:rPr>
          <w:rFonts w:ascii="Arial" w:hAnsi="Arial" w:cs="Arial"/>
          <w:color w:val="FF0000"/>
          <w:sz w:val="24"/>
          <w:szCs w:val="24"/>
        </w:rPr>
        <w:t>.</w:t>
      </w: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216AD0" w:rsidRPr="002874E1" w:rsidTr="001B144F">
        <w:tc>
          <w:tcPr>
            <w:tcW w:w="2245" w:type="dxa"/>
          </w:tcPr>
          <w:p w:rsidR="00216AD0" w:rsidRPr="002874E1" w:rsidRDefault="00216AD0"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216AD0" w:rsidRPr="002874E1" w:rsidRDefault="00216AD0"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216AD0" w:rsidRPr="002874E1" w:rsidRDefault="00216AD0"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216AD0" w:rsidRPr="002874E1" w:rsidRDefault="00216AD0"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216AD0" w:rsidRPr="002874E1" w:rsidRDefault="00216AD0"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216AD0" w:rsidTr="001B144F">
        <w:tc>
          <w:tcPr>
            <w:tcW w:w="2245" w:type="dxa"/>
          </w:tcPr>
          <w:p w:rsidR="00216AD0" w:rsidRPr="00787F4A" w:rsidRDefault="00216AD0" w:rsidP="001B144F">
            <w:pPr>
              <w:autoSpaceDE w:val="0"/>
              <w:autoSpaceDN w:val="0"/>
              <w:adjustRightInd w:val="0"/>
              <w:rPr>
                <w:rFonts w:cs="TimesNewRomanPSMT"/>
                <w:sz w:val="24"/>
                <w:szCs w:val="24"/>
              </w:rPr>
            </w:pPr>
            <w:proofErr w:type="spellStart"/>
            <w:r w:rsidRPr="00787F4A">
              <w:rPr>
                <w:rFonts w:cs="TimesNewRomanPSMT"/>
                <w:sz w:val="24"/>
                <w:szCs w:val="24"/>
              </w:rPr>
              <w:t>phy</w:t>
            </w:r>
            <w:r>
              <w:rPr>
                <w:rFonts w:cs="TimesNewRomanPSMT"/>
                <w:sz w:val="24"/>
                <w:szCs w:val="24"/>
              </w:rPr>
              <w:t>SMFlashLIGHT</w:t>
            </w:r>
            <w:r w:rsidRPr="00787F4A">
              <w:rPr>
                <w:rFonts w:cs="TimesNewRomanPSMT"/>
                <w:sz w:val="24"/>
                <w:szCs w:val="24"/>
              </w:rPr>
              <w:t>ApplicationSpecificMode</w:t>
            </w:r>
            <w:proofErr w:type="spellEnd"/>
          </w:p>
        </w:tc>
        <w:tc>
          <w:tcPr>
            <w:tcW w:w="1260" w:type="dxa"/>
          </w:tcPr>
          <w:p w:rsidR="00216AD0" w:rsidRPr="00787F4A" w:rsidRDefault="00216AD0" w:rsidP="001B144F">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216AD0" w:rsidRPr="00787F4A" w:rsidRDefault="00216AD0" w:rsidP="001B144F">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216AD0" w:rsidRPr="00787F4A" w:rsidRDefault="00216AD0" w:rsidP="001B144F">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216AD0" w:rsidRPr="00787F4A" w:rsidRDefault="00216AD0" w:rsidP="001B144F">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216AD0" w:rsidRPr="00787F4A" w:rsidRDefault="00216AD0" w:rsidP="001B144F">
            <w:pPr>
              <w:jc w:val="both"/>
              <w:rPr>
                <w:sz w:val="24"/>
                <w:szCs w:val="24"/>
              </w:rPr>
            </w:pPr>
            <w:r w:rsidRPr="00787F4A">
              <w:rPr>
                <w:sz w:val="24"/>
                <w:szCs w:val="24"/>
              </w:rPr>
              <w:t>0 : Normal Data (Media Content, Information Content based on the Application used)</w:t>
            </w:r>
          </w:p>
          <w:p w:rsidR="00216AD0" w:rsidRPr="00787F4A" w:rsidRDefault="00216AD0" w:rsidP="001B144F">
            <w:pPr>
              <w:jc w:val="both"/>
              <w:rPr>
                <w:sz w:val="24"/>
                <w:szCs w:val="24"/>
              </w:rPr>
            </w:pPr>
            <w:r w:rsidRPr="00787F4A">
              <w:rPr>
                <w:sz w:val="24"/>
                <w:szCs w:val="24"/>
              </w:rPr>
              <w:t xml:space="preserve">1 : ID Data </w:t>
            </w:r>
          </w:p>
          <w:p w:rsidR="00216AD0" w:rsidRPr="00787F4A" w:rsidRDefault="00216AD0" w:rsidP="001B144F">
            <w:pPr>
              <w:autoSpaceDE w:val="0"/>
              <w:autoSpaceDN w:val="0"/>
              <w:adjustRightInd w:val="0"/>
              <w:jc w:val="both"/>
              <w:rPr>
                <w:rFonts w:cs="TimesNewRomanPSMT"/>
                <w:sz w:val="24"/>
                <w:szCs w:val="24"/>
              </w:rPr>
            </w:pPr>
            <w:r w:rsidRPr="00787F4A">
              <w:rPr>
                <w:sz w:val="24"/>
                <w:szCs w:val="24"/>
              </w:rPr>
              <w:t>2 : Authentication Data</w:t>
            </w:r>
          </w:p>
        </w:tc>
      </w:tr>
      <w:tr w:rsidR="00216AD0" w:rsidTr="001B144F">
        <w:tc>
          <w:tcPr>
            <w:tcW w:w="2245" w:type="dxa"/>
          </w:tcPr>
          <w:p w:rsidR="00216AD0" w:rsidRDefault="00216AD0" w:rsidP="001B144F">
            <w:pPr>
              <w:autoSpaceDE w:val="0"/>
              <w:autoSpaceDN w:val="0"/>
              <w:adjustRightInd w:val="0"/>
              <w:rPr>
                <w:rFonts w:ascii="TimesNewRomanPSMT" w:hAnsi="TimesNewRomanPSMT" w:cs="TimesNewRomanPSMT"/>
                <w:sz w:val="20"/>
                <w:szCs w:val="20"/>
              </w:rPr>
            </w:pPr>
            <w:proofErr w:type="spellStart"/>
            <w:r>
              <w:rPr>
                <w:sz w:val="24"/>
                <w:szCs w:val="24"/>
              </w:rPr>
              <w:t>phyOffsetVPWMStdPERIOD</w:t>
            </w:r>
            <w:proofErr w:type="spellEnd"/>
          </w:p>
        </w:tc>
        <w:tc>
          <w:tcPr>
            <w:tcW w:w="1260" w:type="dxa"/>
          </w:tcPr>
          <w:p w:rsidR="00216AD0" w:rsidRPr="00787F4A" w:rsidRDefault="00216AD0" w:rsidP="001B144F">
            <w:pPr>
              <w:autoSpaceDE w:val="0"/>
              <w:autoSpaceDN w:val="0"/>
              <w:adjustRightInd w:val="0"/>
              <w:jc w:val="center"/>
              <w:rPr>
                <w:rFonts w:cs="TimesNewRomanPSMT"/>
                <w:sz w:val="24"/>
                <w:szCs w:val="24"/>
              </w:rPr>
            </w:pPr>
            <w:r w:rsidRPr="00787F4A">
              <w:rPr>
                <w:rFonts w:cs="TimesNewRomanPSMT"/>
                <w:sz w:val="24"/>
                <w:szCs w:val="24"/>
              </w:rPr>
              <w:t>0x1</w:t>
            </w:r>
            <w:r>
              <w:rPr>
                <w:rFonts w:cs="TimesNewRomanPSMT"/>
                <w:sz w:val="24"/>
                <w:szCs w:val="24"/>
              </w:rPr>
              <w:t>1</w:t>
            </w:r>
          </w:p>
        </w:tc>
        <w:tc>
          <w:tcPr>
            <w:tcW w:w="1350" w:type="dxa"/>
          </w:tcPr>
          <w:p w:rsidR="00216AD0" w:rsidRPr="00787F4A" w:rsidRDefault="00216AD0" w:rsidP="001B144F">
            <w:pPr>
              <w:autoSpaceDE w:val="0"/>
              <w:autoSpaceDN w:val="0"/>
              <w:adjustRightInd w:val="0"/>
              <w:jc w:val="center"/>
              <w:rPr>
                <w:rFonts w:cs="TimesNewRomanPSMT"/>
                <w:sz w:val="24"/>
                <w:szCs w:val="24"/>
              </w:rPr>
            </w:pPr>
            <w:r>
              <w:rPr>
                <w:sz w:val="24"/>
                <w:szCs w:val="24"/>
              </w:rPr>
              <w:t>Integer</w:t>
            </w:r>
          </w:p>
        </w:tc>
        <w:tc>
          <w:tcPr>
            <w:tcW w:w="990" w:type="dxa"/>
          </w:tcPr>
          <w:p w:rsidR="00216AD0" w:rsidRPr="00787F4A" w:rsidRDefault="00216AD0" w:rsidP="001B144F">
            <w:pPr>
              <w:autoSpaceDE w:val="0"/>
              <w:autoSpaceDN w:val="0"/>
              <w:adjustRightInd w:val="0"/>
              <w:jc w:val="center"/>
              <w:rPr>
                <w:rFonts w:cs="TimesNewRomanPSMT"/>
                <w:sz w:val="24"/>
                <w:szCs w:val="24"/>
              </w:rPr>
            </w:pPr>
            <w:r w:rsidRPr="0073678D">
              <w:rPr>
                <w:sz w:val="24"/>
                <w:szCs w:val="24"/>
              </w:rPr>
              <w:t>0-</w:t>
            </w:r>
            <w:r>
              <w:rPr>
                <w:sz w:val="24"/>
                <w:szCs w:val="24"/>
              </w:rPr>
              <w:t>65535</w:t>
            </w:r>
          </w:p>
        </w:tc>
        <w:tc>
          <w:tcPr>
            <w:tcW w:w="3505" w:type="dxa"/>
          </w:tcPr>
          <w:p w:rsidR="00216AD0" w:rsidRPr="00787F4A" w:rsidRDefault="00216AD0" w:rsidP="001B144F">
            <w:pPr>
              <w:autoSpaceDE w:val="0"/>
              <w:autoSpaceDN w:val="0"/>
              <w:adjustRightInd w:val="0"/>
              <w:jc w:val="both"/>
              <w:rPr>
                <w:rFonts w:cs="TimesNewRomanPSMT"/>
                <w:sz w:val="24"/>
                <w:szCs w:val="24"/>
              </w:rPr>
            </w:pPr>
            <w:r>
              <w:rPr>
                <w:sz w:val="24"/>
                <w:szCs w:val="24"/>
              </w:rPr>
              <w:t>This attribute specify the standard PWM period used to transmit the data (in micro secs)</w:t>
            </w:r>
          </w:p>
        </w:tc>
      </w:tr>
      <w:tr w:rsidR="00216AD0" w:rsidTr="001B144F">
        <w:tc>
          <w:tcPr>
            <w:tcW w:w="2245" w:type="dxa"/>
          </w:tcPr>
          <w:p w:rsidR="00216AD0" w:rsidRDefault="00216AD0" w:rsidP="001B144F">
            <w:pPr>
              <w:autoSpaceDE w:val="0"/>
              <w:autoSpaceDN w:val="0"/>
              <w:adjustRightInd w:val="0"/>
              <w:rPr>
                <w:rFonts w:ascii="TimesNewRomanPSMT" w:hAnsi="TimesNewRomanPSMT" w:cs="TimesNewRomanPSMT"/>
                <w:sz w:val="20"/>
                <w:szCs w:val="20"/>
              </w:rPr>
            </w:pPr>
            <w:proofErr w:type="spellStart"/>
            <w:r>
              <w:rPr>
                <w:sz w:val="24"/>
                <w:szCs w:val="24"/>
              </w:rPr>
              <w:t>phyOffsetVPWMOffsetPERIOD</w:t>
            </w:r>
            <w:proofErr w:type="spellEnd"/>
          </w:p>
        </w:tc>
        <w:tc>
          <w:tcPr>
            <w:tcW w:w="1260" w:type="dxa"/>
          </w:tcPr>
          <w:p w:rsidR="00216AD0" w:rsidRPr="00787F4A" w:rsidRDefault="00216AD0" w:rsidP="001B144F">
            <w:pPr>
              <w:autoSpaceDE w:val="0"/>
              <w:autoSpaceDN w:val="0"/>
              <w:adjustRightInd w:val="0"/>
              <w:jc w:val="center"/>
              <w:rPr>
                <w:rFonts w:cs="TimesNewRomanPSMT"/>
                <w:sz w:val="24"/>
                <w:szCs w:val="24"/>
              </w:rPr>
            </w:pPr>
            <w:r w:rsidRPr="00787F4A">
              <w:rPr>
                <w:rFonts w:cs="TimesNewRomanPSMT"/>
                <w:sz w:val="24"/>
                <w:szCs w:val="24"/>
              </w:rPr>
              <w:t>0x1</w:t>
            </w:r>
            <w:r>
              <w:rPr>
                <w:rFonts w:cs="TimesNewRomanPSMT"/>
                <w:sz w:val="24"/>
                <w:szCs w:val="24"/>
              </w:rPr>
              <w:t>2</w:t>
            </w:r>
          </w:p>
        </w:tc>
        <w:tc>
          <w:tcPr>
            <w:tcW w:w="1350" w:type="dxa"/>
          </w:tcPr>
          <w:p w:rsidR="00216AD0" w:rsidRPr="00787F4A" w:rsidRDefault="00216AD0" w:rsidP="001B144F">
            <w:pPr>
              <w:autoSpaceDE w:val="0"/>
              <w:autoSpaceDN w:val="0"/>
              <w:adjustRightInd w:val="0"/>
              <w:jc w:val="center"/>
              <w:rPr>
                <w:rFonts w:cs="TimesNewRomanPSMT"/>
                <w:sz w:val="24"/>
                <w:szCs w:val="24"/>
              </w:rPr>
            </w:pPr>
            <w:r>
              <w:rPr>
                <w:sz w:val="24"/>
                <w:szCs w:val="24"/>
              </w:rPr>
              <w:t>Integer</w:t>
            </w:r>
          </w:p>
        </w:tc>
        <w:tc>
          <w:tcPr>
            <w:tcW w:w="990" w:type="dxa"/>
          </w:tcPr>
          <w:p w:rsidR="00216AD0" w:rsidRPr="00787F4A" w:rsidRDefault="00216AD0" w:rsidP="001B144F">
            <w:pPr>
              <w:autoSpaceDE w:val="0"/>
              <w:autoSpaceDN w:val="0"/>
              <w:adjustRightInd w:val="0"/>
              <w:jc w:val="center"/>
              <w:rPr>
                <w:rFonts w:cs="TimesNewRomanPSMT"/>
                <w:sz w:val="24"/>
                <w:szCs w:val="24"/>
              </w:rPr>
            </w:pPr>
            <w:r w:rsidRPr="0073678D">
              <w:rPr>
                <w:sz w:val="24"/>
                <w:szCs w:val="24"/>
              </w:rPr>
              <w:t>0-</w:t>
            </w:r>
            <w:r>
              <w:rPr>
                <w:sz w:val="24"/>
                <w:szCs w:val="24"/>
              </w:rPr>
              <w:t>65535</w:t>
            </w:r>
          </w:p>
        </w:tc>
        <w:tc>
          <w:tcPr>
            <w:tcW w:w="3505" w:type="dxa"/>
          </w:tcPr>
          <w:p w:rsidR="00216AD0" w:rsidRPr="00787F4A" w:rsidRDefault="00216AD0" w:rsidP="001B144F">
            <w:pPr>
              <w:autoSpaceDE w:val="0"/>
              <w:autoSpaceDN w:val="0"/>
              <w:adjustRightInd w:val="0"/>
              <w:jc w:val="both"/>
              <w:rPr>
                <w:rFonts w:cs="TimesNewRomanPSMT"/>
                <w:sz w:val="24"/>
                <w:szCs w:val="24"/>
              </w:rPr>
            </w:pPr>
            <w:r>
              <w:rPr>
                <w:sz w:val="24"/>
                <w:szCs w:val="24"/>
              </w:rPr>
              <w:t>This attribute specify the Variable offset PWM period used to transmit the data (in micro secs)</w:t>
            </w:r>
          </w:p>
        </w:tc>
      </w:tr>
    </w:tbl>
    <w:p w:rsidR="002263CB" w:rsidRDefault="002263CB" w:rsidP="00216AD0">
      <w:pPr>
        <w:pStyle w:val="Heading1"/>
        <w:tabs>
          <w:tab w:val="left" w:pos="2130"/>
        </w:tabs>
        <w:rPr>
          <w:rFonts w:ascii="Arial" w:hAnsi="Arial" w:cs="Arial"/>
          <w:b/>
          <w:color w:val="auto"/>
          <w:sz w:val="26"/>
          <w:szCs w:val="26"/>
        </w:rPr>
      </w:pPr>
    </w:p>
    <w:bookmarkEnd w:id="0"/>
    <w:p w:rsidR="00216AD0" w:rsidRPr="00216AD0" w:rsidRDefault="00216AD0" w:rsidP="00216AD0">
      <w:pPr>
        <w:jc w:val="center"/>
        <w:rPr>
          <w:rFonts w:ascii="Arial" w:hAnsi="Arial" w:cs="Arial"/>
          <w:b/>
          <w:color w:val="FF0000"/>
          <w:sz w:val="24"/>
          <w:szCs w:val="24"/>
        </w:rPr>
      </w:pPr>
      <w:r w:rsidRPr="00216AD0">
        <w:rPr>
          <w:rFonts w:ascii="Arial" w:hAnsi="Arial" w:cs="Arial"/>
          <w:b/>
          <w:color w:val="FF0000"/>
          <w:sz w:val="24"/>
          <w:szCs w:val="24"/>
        </w:rPr>
        <w:t xml:space="preserve">Table 179 — PHY PIB attributes (continued for </w:t>
      </w:r>
      <w:r>
        <w:rPr>
          <w:rFonts w:ascii="Arial" w:hAnsi="Arial" w:cs="Arial"/>
          <w:b/>
          <w:color w:val="FF0000"/>
          <w:sz w:val="24"/>
          <w:szCs w:val="24"/>
        </w:rPr>
        <w:t>OffsetVPWM</w:t>
      </w:r>
      <w:r w:rsidRPr="00216AD0">
        <w:rPr>
          <w:rFonts w:ascii="Arial" w:hAnsi="Arial" w:cs="Arial"/>
          <w:b/>
          <w:color w:val="FF0000"/>
          <w:sz w:val="24"/>
          <w:szCs w:val="24"/>
        </w:rPr>
        <w:t>)</w:t>
      </w:r>
    </w:p>
    <w:p w:rsidR="009F0945" w:rsidRDefault="009F0945" w:rsidP="00216AD0">
      <w:pPr>
        <w:tabs>
          <w:tab w:val="left" w:pos="2565"/>
        </w:tabs>
        <w:rPr>
          <w:rFonts w:ascii="Arial-BoldMT" w:hAnsi="Arial-BoldMT" w:cs="Arial-BoldMT"/>
          <w:b/>
          <w:bCs/>
          <w:sz w:val="24"/>
          <w:szCs w:val="24"/>
        </w:rPr>
      </w:pPr>
    </w:p>
    <w:p w:rsidR="00216AD0" w:rsidRDefault="00216AD0">
      <w:pPr>
        <w:rPr>
          <w:b/>
          <w:sz w:val="28"/>
          <w:szCs w:val="28"/>
        </w:rPr>
      </w:pPr>
      <w:bookmarkStart w:id="1" w:name="_Toc445772548"/>
      <w:bookmarkStart w:id="2" w:name="_Toc445802867"/>
      <w:r>
        <w:rPr>
          <w:b/>
          <w:sz w:val="28"/>
          <w:szCs w:val="28"/>
        </w:rPr>
        <w:br w:type="page"/>
      </w:r>
    </w:p>
    <w:p w:rsidR="00E64829" w:rsidRPr="00BD298D" w:rsidRDefault="009C17DC" w:rsidP="00E64829">
      <w:pPr>
        <w:tabs>
          <w:tab w:val="left" w:pos="7515"/>
        </w:tabs>
        <w:rPr>
          <w:rFonts w:ascii="Arial" w:hAnsi="Arial" w:cs="Arial"/>
          <w:b/>
          <w:sz w:val="28"/>
          <w:szCs w:val="28"/>
          <w:u w:val="single"/>
        </w:rPr>
      </w:pPr>
      <w:r>
        <w:rPr>
          <w:b/>
          <w:sz w:val="28"/>
          <w:szCs w:val="28"/>
        </w:rPr>
        <w:lastRenderedPageBreak/>
        <w:t>II</w:t>
      </w:r>
      <w:r w:rsidR="00E64829" w:rsidRPr="00BD298D">
        <w:rPr>
          <w:b/>
          <w:sz w:val="28"/>
          <w:szCs w:val="28"/>
        </w:rPr>
        <w:t xml:space="preserve">. </w:t>
      </w:r>
      <w:r w:rsidR="00E64829">
        <w:rPr>
          <w:b/>
          <w:sz w:val="28"/>
          <w:szCs w:val="28"/>
        </w:rPr>
        <w:t>PHY TYPE VI PHY PIB Attributes</w:t>
      </w:r>
    </w:p>
    <w:p w:rsidR="002263CB" w:rsidRPr="00505E0E" w:rsidRDefault="009C17DC" w:rsidP="002263CB">
      <w:pPr>
        <w:pStyle w:val="Heading1"/>
        <w:rPr>
          <w:rFonts w:ascii="Arial" w:hAnsi="Arial" w:cs="Arial"/>
          <w:b/>
          <w:color w:val="auto"/>
          <w:sz w:val="26"/>
          <w:szCs w:val="26"/>
        </w:rPr>
      </w:pPr>
      <w:r>
        <w:rPr>
          <w:rFonts w:ascii="Arial" w:hAnsi="Arial" w:cs="Arial"/>
          <w:b/>
          <w:color w:val="auto"/>
          <w:sz w:val="26"/>
          <w:szCs w:val="26"/>
        </w:rPr>
        <w:t>1.</w:t>
      </w:r>
      <w:r w:rsidR="002263CB">
        <w:rPr>
          <w:rFonts w:ascii="Arial" w:hAnsi="Arial" w:cs="Arial"/>
          <w:b/>
          <w:color w:val="auto"/>
          <w:sz w:val="26"/>
          <w:szCs w:val="26"/>
        </w:rPr>
        <w:t xml:space="preserve"> </w:t>
      </w:r>
      <w:r w:rsidR="002263CB" w:rsidRPr="00505E0E">
        <w:rPr>
          <w:rFonts w:ascii="Arial" w:hAnsi="Arial" w:cs="Arial"/>
          <w:b/>
          <w:color w:val="auto"/>
          <w:sz w:val="26"/>
          <w:szCs w:val="26"/>
        </w:rPr>
        <w:t>PHY PIB Attributes</w:t>
      </w:r>
      <w:r w:rsidR="002263CB">
        <w:rPr>
          <w:rFonts w:ascii="Arial" w:hAnsi="Arial" w:cs="Arial"/>
          <w:b/>
          <w:color w:val="auto"/>
          <w:sz w:val="26"/>
          <w:szCs w:val="26"/>
        </w:rPr>
        <w:t xml:space="preserve"> for VTASC</w:t>
      </w:r>
    </w:p>
    <w:p w:rsidR="002263CB" w:rsidRDefault="002263CB" w:rsidP="002263CB">
      <w:pPr>
        <w:jc w:val="both"/>
        <w:rPr>
          <w:rFonts w:ascii="Arial" w:hAnsi="Arial" w:cs="Arial"/>
          <w:sz w:val="24"/>
          <w:szCs w:val="24"/>
        </w:rPr>
      </w:pPr>
    </w:p>
    <w:p w:rsidR="002263CB" w:rsidRPr="00946FE3" w:rsidRDefault="002263CB" w:rsidP="002263CB">
      <w:pPr>
        <w:jc w:val="both"/>
        <w:rPr>
          <w:rFonts w:ascii="Arial" w:hAnsi="Arial" w:cs="Arial"/>
          <w:color w:val="FF0000"/>
          <w:sz w:val="24"/>
          <w:szCs w:val="24"/>
        </w:rPr>
      </w:pPr>
      <w:r w:rsidRPr="00AC708A">
        <w:rPr>
          <w:rFonts w:ascii="Arial" w:hAnsi="Arial" w:cs="Arial"/>
          <w:sz w:val="24"/>
          <w:szCs w:val="24"/>
        </w:rPr>
        <w:t xml:space="preserve">The </w:t>
      </w:r>
      <w:r w:rsidRPr="00CF6C72">
        <w:rPr>
          <w:rFonts w:ascii="Arial" w:hAnsi="Arial" w:cs="Arial"/>
          <w:color w:val="FF0000"/>
          <w:sz w:val="24"/>
          <w:szCs w:val="24"/>
        </w:rPr>
        <w:t xml:space="preserve">PHY </w:t>
      </w:r>
      <w:r>
        <w:rPr>
          <w:rFonts w:ascii="Arial" w:hAnsi="Arial" w:cs="Arial"/>
          <w:color w:val="FF0000"/>
          <w:sz w:val="24"/>
          <w:szCs w:val="24"/>
        </w:rPr>
        <w:t xml:space="preserve">PIB attributes </w:t>
      </w:r>
      <w:r w:rsidRPr="00CF6C72">
        <w:rPr>
          <w:rFonts w:ascii="Arial" w:hAnsi="Arial" w:cs="Arial"/>
          <w:color w:val="FF0000"/>
          <w:sz w:val="24"/>
          <w:szCs w:val="24"/>
        </w:rPr>
        <w:t xml:space="preserve">for </w:t>
      </w:r>
      <w:r>
        <w:rPr>
          <w:rFonts w:ascii="Arial" w:hAnsi="Arial" w:cs="Arial"/>
          <w:color w:val="FF0000"/>
          <w:sz w:val="24"/>
          <w:szCs w:val="24"/>
        </w:rPr>
        <w:t>VATSC</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Pr>
          <w:rFonts w:ascii="Arial" w:hAnsi="Arial" w:cs="Arial"/>
          <w:color w:val="FF0000"/>
          <w:sz w:val="24"/>
          <w:szCs w:val="24"/>
        </w:rPr>
        <w:t>1</w:t>
      </w:r>
      <w:r w:rsidR="00742C56">
        <w:rPr>
          <w:rFonts w:ascii="Arial" w:hAnsi="Arial" w:cs="Arial"/>
          <w:color w:val="FF0000"/>
          <w:sz w:val="24"/>
          <w:szCs w:val="24"/>
        </w:rPr>
        <w:t>79</w:t>
      </w:r>
      <w:r>
        <w:rPr>
          <w:rFonts w:ascii="Arial" w:hAnsi="Arial" w:cs="Arial"/>
          <w:color w:val="FF0000"/>
          <w:sz w:val="24"/>
          <w:szCs w:val="24"/>
        </w:rPr>
        <w:t xml:space="preserve"> </w:t>
      </w:r>
      <w:r w:rsidRPr="00254888">
        <w:rPr>
          <w:rFonts w:ascii="Arial" w:hAnsi="Arial" w:cs="Arial"/>
          <w:color w:val="FF0000"/>
          <w:sz w:val="24"/>
          <w:szCs w:val="24"/>
        </w:rPr>
        <w:t>—PHY PIB attributes (continued</w:t>
      </w:r>
      <w:r w:rsidRPr="001E5D1B">
        <w:t xml:space="preserve"> </w:t>
      </w:r>
      <w:r w:rsidRPr="001E5D1B">
        <w:rPr>
          <w:rFonts w:ascii="Arial" w:hAnsi="Arial" w:cs="Arial"/>
          <w:color w:val="FF0000"/>
          <w:sz w:val="24"/>
          <w:szCs w:val="24"/>
        </w:rPr>
        <w:t xml:space="preserve">for </w:t>
      </w:r>
      <w:r>
        <w:rPr>
          <w:rFonts w:ascii="Arial" w:hAnsi="Arial" w:cs="Arial"/>
          <w:color w:val="FF0000"/>
          <w:sz w:val="24"/>
          <w:szCs w:val="24"/>
        </w:rPr>
        <w:t>VTASC</w:t>
      </w:r>
      <w:r w:rsidRPr="001E5D1B">
        <w:rPr>
          <w:rFonts w:ascii="Arial" w:hAnsi="Arial" w:cs="Arial"/>
          <w:color w:val="FF0000"/>
          <w:sz w:val="24"/>
          <w:szCs w:val="24"/>
        </w:rPr>
        <w:t>)</w:t>
      </w:r>
      <w:r w:rsidRPr="00072CFD">
        <w:rPr>
          <w:rFonts w:ascii="Arial" w:hAnsi="Arial" w:cs="Arial"/>
          <w:color w:val="FF0000"/>
          <w:sz w:val="24"/>
          <w:szCs w:val="24"/>
        </w:rPr>
        <w:t>.</w:t>
      </w: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EF7B91" w:rsidTr="001B144F">
        <w:tc>
          <w:tcPr>
            <w:tcW w:w="9350" w:type="dxa"/>
            <w:gridSpan w:val="5"/>
          </w:tcPr>
          <w:p w:rsidR="00EF7B91" w:rsidRPr="002D0EFA" w:rsidRDefault="00EF7B91" w:rsidP="001B144F">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 xml:space="preserve">PHY PIB Table </w:t>
            </w:r>
            <w:r>
              <w:rPr>
                <w:rFonts w:ascii="TimesNewRomanPSMT" w:hAnsi="TimesNewRomanPSMT" w:cs="TimesNewRomanPSMT"/>
                <w:b/>
                <w:sz w:val="20"/>
                <w:szCs w:val="20"/>
              </w:rPr>
              <w:t xml:space="preserve">188 </w:t>
            </w:r>
            <w:r w:rsidRPr="002D0EFA">
              <w:rPr>
                <w:rFonts w:ascii="TimesNewRomanPSMT" w:hAnsi="TimesNewRomanPSMT" w:cs="TimesNewRomanPSMT"/>
                <w:b/>
                <w:sz w:val="20"/>
                <w:szCs w:val="20"/>
              </w:rPr>
              <w:t xml:space="preserve"> Additions</w:t>
            </w:r>
          </w:p>
        </w:tc>
      </w:tr>
      <w:tr w:rsidR="00EF7B91" w:rsidRPr="002874E1" w:rsidTr="001B144F">
        <w:tc>
          <w:tcPr>
            <w:tcW w:w="2245" w:type="dxa"/>
          </w:tcPr>
          <w:p w:rsidR="00EF7B91" w:rsidRPr="002874E1" w:rsidRDefault="00EF7B91"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EF7B91" w:rsidRPr="002874E1" w:rsidRDefault="00EF7B91"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EF7B91" w:rsidRPr="002874E1" w:rsidRDefault="00EF7B91"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EF7B91" w:rsidRPr="002874E1" w:rsidRDefault="00EF7B91"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EF7B91" w:rsidRPr="002874E1" w:rsidRDefault="00EF7B91" w:rsidP="001B144F">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EF7B91" w:rsidTr="001B144F">
        <w:tc>
          <w:tcPr>
            <w:tcW w:w="2245" w:type="dxa"/>
          </w:tcPr>
          <w:p w:rsidR="00EF7B91" w:rsidRPr="00787F4A" w:rsidRDefault="00EF7B91" w:rsidP="001B144F">
            <w:pPr>
              <w:autoSpaceDE w:val="0"/>
              <w:autoSpaceDN w:val="0"/>
              <w:adjustRightInd w:val="0"/>
              <w:rPr>
                <w:rFonts w:cs="TimesNewRomanPSMT"/>
                <w:sz w:val="24"/>
                <w:szCs w:val="24"/>
              </w:rPr>
            </w:pPr>
            <w:proofErr w:type="spellStart"/>
            <w:r w:rsidRPr="00CF6C72">
              <w:rPr>
                <w:rFonts w:cs="TimesNewRomanPSMT"/>
                <w:color w:val="FF0000"/>
                <w:sz w:val="24"/>
                <w:szCs w:val="24"/>
              </w:rPr>
              <w:t>phyVTASCApplicationSpecificMode</w:t>
            </w:r>
            <w:proofErr w:type="spellEnd"/>
          </w:p>
        </w:tc>
        <w:tc>
          <w:tcPr>
            <w:tcW w:w="1260" w:type="dxa"/>
          </w:tcPr>
          <w:p w:rsidR="00EF7B91" w:rsidRPr="00787F4A" w:rsidRDefault="00EF7B91" w:rsidP="001B144F">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EF7B91" w:rsidRPr="00787F4A" w:rsidRDefault="00EF7B91" w:rsidP="001B144F">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EF7B91" w:rsidRPr="00787F4A" w:rsidRDefault="00EF7B91" w:rsidP="001B144F">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EF7B91" w:rsidRPr="00787F4A" w:rsidRDefault="00EF7B91" w:rsidP="001B144F">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EF7B91" w:rsidRPr="00787F4A" w:rsidRDefault="00EF7B91" w:rsidP="001B144F">
            <w:pPr>
              <w:jc w:val="both"/>
              <w:rPr>
                <w:sz w:val="24"/>
                <w:szCs w:val="24"/>
              </w:rPr>
            </w:pPr>
            <w:r w:rsidRPr="00787F4A">
              <w:rPr>
                <w:sz w:val="24"/>
                <w:szCs w:val="24"/>
              </w:rPr>
              <w:t>0 : Normal Data (Media Content, Information Content based on the Application used for)</w:t>
            </w:r>
          </w:p>
          <w:p w:rsidR="00EF7B91" w:rsidRPr="00787F4A" w:rsidRDefault="00EF7B91" w:rsidP="001B144F">
            <w:pPr>
              <w:jc w:val="both"/>
              <w:rPr>
                <w:sz w:val="24"/>
                <w:szCs w:val="24"/>
              </w:rPr>
            </w:pPr>
            <w:r w:rsidRPr="00787F4A">
              <w:rPr>
                <w:sz w:val="24"/>
                <w:szCs w:val="24"/>
              </w:rPr>
              <w:t xml:space="preserve">1 : </w:t>
            </w:r>
            <w:r>
              <w:rPr>
                <w:sz w:val="24"/>
                <w:szCs w:val="24"/>
              </w:rPr>
              <w:t xml:space="preserve">LED </w:t>
            </w:r>
            <w:r w:rsidRPr="00787F4A">
              <w:rPr>
                <w:sz w:val="24"/>
                <w:szCs w:val="24"/>
              </w:rPr>
              <w:t xml:space="preserve">ID Data </w:t>
            </w:r>
          </w:p>
          <w:p w:rsidR="00EF7B91" w:rsidRPr="00787F4A" w:rsidRDefault="00EF7B91" w:rsidP="001B144F">
            <w:pPr>
              <w:autoSpaceDE w:val="0"/>
              <w:autoSpaceDN w:val="0"/>
              <w:adjustRightInd w:val="0"/>
              <w:jc w:val="both"/>
              <w:rPr>
                <w:rFonts w:cs="TimesNewRomanPSMT"/>
                <w:sz w:val="24"/>
                <w:szCs w:val="24"/>
              </w:rPr>
            </w:pPr>
            <w:r w:rsidRPr="00787F4A">
              <w:rPr>
                <w:sz w:val="24"/>
                <w:szCs w:val="24"/>
              </w:rPr>
              <w:t>2 : Authentication Data</w:t>
            </w:r>
          </w:p>
        </w:tc>
      </w:tr>
      <w:tr w:rsidR="00EF7B91" w:rsidTr="001B144F">
        <w:tc>
          <w:tcPr>
            <w:tcW w:w="2245" w:type="dxa"/>
          </w:tcPr>
          <w:p w:rsidR="00EF7B91" w:rsidRDefault="00EF7B91" w:rsidP="001B144F">
            <w:pPr>
              <w:rPr>
                <w:sz w:val="24"/>
                <w:szCs w:val="24"/>
              </w:rPr>
            </w:pPr>
            <w:proofErr w:type="spellStart"/>
            <w:r>
              <w:rPr>
                <w:sz w:val="24"/>
                <w:szCs w:val="24"/>
              </w:rPr>
              <w:t>phyVTASCFreq</w:t>
            </w:r>
            <w:proofErr w:type="spellEnd"/>
          </w:p>
        </w:tc>
        <w:tc>
          <w:tcPr>
            <w:tcW w:w="1260" w:type="dxa"/>
          </w:tcPr>
          <w:p w:rsidR="00EF7B91" w:rsidRDefault="00EF7B91" w:rsidP="001B144F">
            <w:pPr>
              <w:jc w:val="center"/>
              <w:rPr>
                <w:sz w:val="24"/>
                <w:szCs w:val="24"/>
              </w:rPr>
            </w:pPr>
            <w:r>
              <w:rPr>
                <w:sz w:val="24"/>
                <w:szCs w:val="24"/>
              </w:rPr>
              <w:t>0x11</w:t>
            </w:r>
          </w:p>
        </w:tc>
        <w:tc>
          <w:tcPr>
            <w:tcW w:w="1350" w:type="dxa"/>
          </w:tcPr>
          <w:p w:rsidR="00EF7B91" w:rsidRPr="00647722" w:rsidRDefault="00EF7B91" w:rsidP="001B144F">
            <w:pPr>
              <w:jc w:val="center"/>
              <w:rPr>
                <w:sz w:val="24"/>
                <w:szCs w:val="24"/>
              </w:rPr>
            </w:pPr>
            <w:r>
              <w:rPr>
                <w:sz w:val="24"/>
                <w:szCs w:val="24"/>
              </w:rPr>
              <w:t>Integer</w:t>
            </w:r>
          </w:p>
        </w:tc>
        <w:tc>
          <w:tcPr>
            <w:tcW w:w="990" w:type="dxa"/>
          </w:tcPr>
          <w:p w:rsidR="00EF7B91" w:rsidRPr="006F3752" w:rsidRDefault="00EF7B91" w:rsidP="001B144F">
            <w:pPr>
              <w:jc w:val="center"/>
              <w:rPr>
                <w:sz w:val="24"/>
                <w:szCs w:val="24"/>
                <w:highlight w:val="yellow"/>
              </w:rPr>
            </w:pPr>
            <w:r w:rsidRPr="0073678D">
              <w:rPr>
                <w:sz w:val="24"/>
                <w:szCs w:val="24"/>
              </w:rPr>
              <w:t>0-</w:t>
            </w:r>
            <w:r>
              <w:rPr>
                <w:sz w:val="24"/>
                <w:szCs w:val="24"/>
              </w:rPr>
              <w:t>65535</w:t>
            </w:r>
          </w:p>
        </w:tc>
        <w:tc>
          <w:tcPr>
            <w:tcW w:w="3505" w:type="dxa"/>
          </w:tcPr>
          <w:p w:rsidR="00EF7B91" w:rsidRPr="006F3752" w:rsidRDefault="00EF7B91" w:rsidP="001B144F">
            <w:pPr>
              <w:jc w:val="both"/>
              <w:rPr>
                <w:sz w:val="24"/>
                <w:szCs w:val="24"/>
                <w:highlight w:val="yellow"/>
              </w:rPr>
            </w:pPr>
            <w:r>
              <w:rPr>
                <w:sz w:val="24"/>
                <w:szCs w:val="24"/>
              </w:rPr>
              <w:t>This attribute specify the frame rate of VTASC sequence Transmission</w:t>
            </w:r>
          </w:p>
        </w:tc>
      </w:tr>
      <w:tr w:rsidR="00EF7B91" w:rsidTr="001B144F">
        <w:tc>
          <w:tcPr>
            <w:tcW w:w="2245" w:type="dxa"/>
          </w:tcPr>
          <w:p w:rsidR="00EF7B91" w:rsidRDefault="00EF7B91" w:rsidP="001B144F">
            <w:pPr>
              <w:rPr>
                <w:sz w:val="24"/>
                <w:szCs w:val="24"/>
              </w:rPr>
            </w:pPr>
            <w:proofErr w:type="spellStart"/>
            <w:r>
              <w:rPr>
                <w:sz w:val="24"/>
                <w:szCs w:val="24"/>
              </w:rPr>
              <w:t>phyVTASCTLevel</w:t>
            </w:r>
            <w:proofErr w:type="spellEnd"/>
          </w:p>
        </w:tc>
        <w:tc>
          <w:tcPr>
            <w:tcW w:w="1260" w:type="dxa"/>
          </w:tcPr>
          <w:p w:rsidR="00EF7B91" w:rsidRDefault="00EF7B91" w:rsidP="001B144F">
            <w:pPr>
              <w:jc w:val="center"/>
              <w:rPr>
                <w:sz w:val="24"/>
                <w:szCs w:val="24"/>
              </w:rPr>
            </w:pPr>
            <w:r>
              <w:rPr>
                <w:sz w:val="24"/>
                <w:szCs w:val="24"/>
              </w:rPr>
              <w:t>0x12</w:t>
            </w:r>
          </w:p>
        </w:tc>
        <w:tc>
          <w:tcPr>
            <w:tcW w:w="1350" w:type="dxa"/>
          </w:tcPr>
          <w:p w:rsidR="00EF7B91" w:rsidRPr="00647722" w:rsidRDefault="00EF7B91" w:rsidP="001B144F">
            <w:pPr>
              <w:jc w:val="center"/>
              <w:rPr>
                <w:sz w:val="24"/>
                <w:szCs w:val="24"/>
              </w:rPr>
            </w:pPr>
            <w:r>
              <w:rPr>
                <w:sz w:val="24"/>
                <w:szCs w:val="24"/>
              </w:rPr>
              <w:t>Integer</w:t>
            </w:r>
          </w:p>
        </w:tc>
        <w:tc>
          <w:tcPr>
            <w:tcW w:w="990" w:type="dxa"/>
          </w:tcPr>
          <w:p w:rsidR="00EF7B91" w:rsidRPr="006F3752" w:rsidRDefault="00EF7B91" w:rsidP="001B144F">
            <w:pPr>
              <w:jc w:val="center"/>
              <w:rPr>
                <w:sz w:val="24"/>
                <w:szCs w:val="24"/>
                <w:highlight w:val="yellow"/>
              </w:rPr>
            </w:pPr>
            <w:r w:rsidRPr="0073678D">
              <w:rPr>
                <w:sz w:val="24"/>
                <w:szCs w:val="24"/>
              </w:rPr>
              <w:t>0-</w:t>
            </w:r>
            <w:r>
              <w:rPr>
                <w:sz w:val="24"/>
                <w:szCs w:val="24"/>
              </w:rPr>
              <w:t>65535</w:t>
            </w:r>
          </w:p>
        </w:tc>
        <w:tc>
          <w:tcPr>
            <w:tcW w:w="3505" w:type="dxa"/>
          </w:tcPr>
          <w:p w:rsidR="00EF7B91" w:rsidRPr="006F3752" w:rsidRDefault="00EF7B91" w:rsidP="001B144F">
            <w:pPr>
              <w:jc w:val="both"/>
              <w:rPr>
                <w:sz w:val="24"/>
                <w:szCs w:val="24"/>
                <w:highlight w:val="yellow"/>
              </w:rPr>
            </w:pPr>
            <w:r>
              <w:rPr>
                <w:sz w:val="24"/>
                <w:szCs w:val="24"/>
              </w:rPr>
              <w:t xml:space="preserve">This attribute specify the </w:t>
            </w:r>
            <w:r w:rsidRPr="00B93113">
              <w:rPr>
                <w:sz w:val="24"/>
                <w:szCs w:val="24"/>
              </w:rPr>
              <w:t>transparency</w:t>
            </w:r>
            <w:r>
              <w:rPr>
                <w:sz w:val="24"/>
                <w:szCs w:val="24"/>
              </w:rPr>
              <w:t xml:space="preserve"> </w:t>
            </w:r>
            <w:r w:rsidRPr="00B93113">
              <w:rPr>
                <w:sz w:val="24"/>
                <w:szCs w:val="24"/>
              </w:rPr>
              <w:t>Level of</w:t>
            </w:r>
            <w:r>
              <w:rPr>
                <w:sz w:val="24"/>
                <w:szCs w:val="24"/>
              </w:rPr>
              <w:t xml:space="preserve"> the VTASC</w:t>
            </w:r>
          </w:p>
        </w:tc>
      </w:tr>
      <w:tr w:rsidR="00EF7B91" w:rsidTr="001B144F">
        <w:tc>
          <w:tcPr>
            <w:tcW w:w="2245" w:type="dxa"/>
          </w:tcPr>
          <w:p w:rsidR="00EF7B91" w:rsidRDefault="00EF7B91" w:rsidP="001B144F">
            <w:pPr>
              <w:rPr>
                <w:sz w:val="24"/>
                <w:szCs w:val="24"/>
              </w:rPr>
            </w:pPr>
            <w:proofErr w:type="spellStart"/>
            <w:r>
              <w:rPr>
                <w:sz w:val="24"/>
                <w:szCs w:val="24"/>
              </w:rPr>
              <w:t>phyVTASCAHSize</w:t>
            </w:r>
            <w:proofErr w:type="spellEnd"/>
          </w:p>
        </w:tc>
        <w:tc>
          <w:tcPr>
            <w:tcW w:w="1260" w:type="dxa"/>
          </w:tcPr>
          <w:p w:rsidR="00EF7B91" w:rsidRDefault="00EF7B91" w:rsidP="001B144F">
            <w:pPr>
              <w:jc w:val="center"/>
              <w:rPr>
                <w:sz w:val="24"/>
                <w:szCs w:val="24"/>
              </w:rPr>
            </w:pPr>
            <w:r>
              <w:rPr>
                <w:sz w:val="24"/>
                <w:szCs w:val="24"/>
              </w:rPr>
              <w:t>0x13</w:t>
            </w:r>
          </w:p>
        </w:tc>
        <w:tc>
          <w:tcPr>
            <w:tcW w:w="1350" w:type="dxa"/>
          </w:tcPr>
          <w:p w:rsidR="00EF7B91" w:rsidRPr="00647722" w:rsidRDefault="00EF7B91" w:rsidP="001B144F">
            <w:pPr>
              <w:jc w:val="center"/>
              <w:rPr>
                <w:sz w:val="24"/>
                <w:szCs w:val="24"/>
              </w:rPr>
            </w:pPr>
            <w:r>
              <w:rPr>
                <w:sz w:val="24"/>
                <w:szCs w:val="24"/>
              </w:rPr>
              <w:t>Integer</w:t>
            </w:r>
          </w:p>
        </w:tc>
        <w:tc>
          <w:tcPr>
            <w:tcW w:w="990" w:type="dxa"/>
          </w:tcPr>
          <w:p w:rsidR="00EF7B91" w:rsidRPr="006F3752" w:rsidRDefault="00EF7B91" w:rsidP="001B144F">
            <w:pPr>
              <w:jc w:val="center"/>
              <w:rPr>
                <w:sz w:val="24"/>
                <w:szCs w:val="24"/>
                <w:highlight w:val="yellow"/>
              </w:rPr>
            </w:pPr>
            <w:r w:rsidRPr="0073678D">
              <w:rPr>
                <w:sz w:val="24"/>
                <w:szCs w:val="24"/>
              </w:rPr>
              <w:t>0-</w:t>
            </w:r>
            <w:r>
              <w:rPr>
                <w:sz w:val="24"/>
                <w:szCs w:val="24"/>
              </w:rPr>
              <w:t>65535</w:t>
            </w:r>
          </w:p>
        </w:tc>
        <w:tc>
          <w:tcPr>
            <w:tcW w:w="3505" w:type="dxa"/>
          </w:tcPr>
          <w:p w:rsidR="00EF7B91" w:rsidRPr="006F3752" w:rsidRDefault="00EF7B91" w:rsidP="00332206">
            <w:pPr>
              <w:jc w:val="both"/>
              <w:rPr>
                <w:sz w:val="24"/>
                <w:szCs w:val="24"/>
                <w:highlight w:val="yellow"/>
              </w:rPr>
            </w:pPr>
            <w:r>
              <w:rPr>
                <w:sz w:val="24"/>
                <w:szCs w:val="24"/>
              </w:rPr>
              <w:t xml:space="preserve">This attribute specify the no of </w:t>
            </w:r>
            <w:r w:rsidR="00332206">
              <w:rPr>
                <w:sz w:val="24"/>
                <w:szCs w:val="24"/>
              </w:rPr>
              <w:t xml:space="preserve">Horizontal </w:t>
            </w:r>
            <w:r>
              <w:rPr>
                <w:sz w:val="24"/>
                <w:szCs w:val="24"/>
              </w:rPr>
              <w:t>Blocks in the VTASC</w:t>
            </w:r>
          </w:p>
        </w:tc>
      </w:tr>
      <w:tr w:rsidR="00EF7B91" w:rsidTr="001B144F">
        <w:tc>
          <w:tcPr>
            <w:tcW w:w="2245" w:type="dxa"/>
          </w:tcPr>
          <w:p w:rsidR="00EF7B91" w:rsidRDefault="00EF7B91" w:rsidP="001B144F">
            <w:pPr>
              <w:rPr>
                <w:sz w:val="24"/>
                <w:szCs w:val="24"/>
              </w:rPr>
            </w:pPr>
            <w:proofErr w:type="spellStart"/>
            <w:r>
              <w:rPr>
                <w:sz w:val="24"/>
                <w:szCs w:val="24"/>
              </w:rPr>
              <w:t>phyVTASCAVSize</w:t>
            </w:r>
            <w:proofErr w:type="spellEnd"/>
          </w:p>
        </w:tc>
        <w:tc>
          <w:tcPr>
            <w:tcW w:w="1260" w:type="dxa"/>
          </w:tcPr>
          <w:p w:rsidR="00EF7B91" w:rsidRDefault="00EF7B91" w:rsidP="001B144F">
            <w:pPr>
              <w:jc w:val="center"/>
              <w:rPr>
                <w:sz w:val="24"/>
                <w:szCs w:val="24"/>
              </w:rPr>
            </w:pPr>
            <w:r>
              <w:rPr>
                <w:sz w:val="24"/>
                <w:szCs w:val="24"/>
              </w:rPr>
              <w:t>0x14</w:t>
            </w:r>
          </w:p>
        </w:tc>
        <w:tc>
          <w:tcPr>
            <w:tcW w:w="1350" w:type="dxa"/>
          </w:tcPr>
          <w:p w:rsidR="00EF7B91" w:rsidRPr="00647722" w:rsidRDefault="00EF7B91" w:rsidP="001B144F">
            <w:pPr>
              <w:jc w:val="center"/>
              <w:rPr>
                <w:sz w:val="24"/>
                <w:szCs w:val="24"/>
              </w:rPr>
            </w:pPr>
            <w:r>
              <w:rPr>
                <w:sz w:val="24"/>
                <w:szCs w:val="24"/>
              </w:rPr>
              <w:t>Integer</w:t>
            </w:r>
          </w:p>
        </w:tc>
        <w:tc>
          <w:tcPr>
            <w:tcW w:w="990" w:type="dxa"/>
          </w:tcPr>
          <w:p w:rsidR="00EF7B91" w:rsidRPr="006F3752" w:rsidRDefault="00EF7B91" w:rsidP="001B144F">
            <w:pPr>
              <w:jc w:val="center"/>
              <w:rPr>
                <w:sz w:val="24"/>
                <w:szCs w:val="24"/>
                <w:highlight w:val="yellow"/>
              </w:rPr>
            </w:pPr>
            <w:r w:rsidRPr="0073678D">
              <w:rPr>
                <w:sz w:val="24"/>
                <w:szCs w:val="24"/>
              </w:rPr>
              <w:t>0-</w:t>
            </w:r>
            <w:r>
              <w:rPr>
                <w:sz w:val="24"/>
                <w:szCs w:val="24"/>
              </w:rPr>
              <w:t>65535</w:t>
            </w:r>
          </w:p>
        </w:tc>
        <w:tc>
          <w:tcPr>
            <w:tcW w:w="3505" w:type="dxa"/>
          </w:tcPr>
          <w:p w:rsidR="00EF7B91" w:rsidRPr="006F3752" w:rsidRDefault="00EF7B91" w:rsidP="00332206">
            <w:pPr>
              <w:jc w:val="both"/>
              <w:rPr>
                <w:sz w:val="24"/>
                <w:szCs w:val="24"/>
                <w:highlight w:val="yellow"/>
              </w:rPr>
            </w:pPr>
            <w:r>
              <w:rPr>
                <w:sz w:val="24"/>
                <w:szCs w:val="24"/>
              </w:rPr>
              <w:t xml:space="preserve">This attribute specify the no of </w:t>
            </w:r>
            <w:r w:rsidR="00332206">
              <w:rPr>
                <w:sz w:val="24"/>
                <w:szCs w:val="24"/>
              </w:rPr>
              <w:t xml:space="preserve">Vertical </w:t>
            </w:r>
            <w:r>
              <w:rPr>
                <w:sz w:val="24"/>
                <w:szCs w:val="24"/>
              </w:rPr>
              <w:t>Blocks in the VTASC</w:t>
            </w:r>
          </w:p>
        </w:tc>
      </w:tr>
      <w:tr w:rsidR="00EF7B91" w:rsidTr="001B144F">
        <w:tc>
          <w:tcPr>
            <w:tcW w:w="2245" w:type="dxa"/>
          </w:tcPr>
          <w:p w:rsidR="00EF7B91" w:rsidRDefault="00EF7B91" w:rsidP="001B144F">
            <w:pPr>
              <w:rPr>
                <w:sz w:val="24"/>
                <w:szCs w:val="24"/>
              </w:rPr>
            </w:pPr>
            <w:proofErr w:type="spellStart"/>
            <w:r>
              <w:rPr>
                <w:sz w:val="24"/>
                <w:szCs w:val="24"/>
              </w:rPr>
              <w:t>phyVTASCSModel</w:t>
            </w:r>
            <w:proofErr w:type="spellEnd"/>
          </w:p>
        </w:tc>
        <w:tc>
          <w:tcPr>
            <w:tcW w:w="1260" w:type="dxa"/>
          </w:tcPr>
          <w:p w:rsidR="00EF7B91" w:rsidRDefault="00EF7B91" w:rsidP="001B144F">
            <w:pPr>
              <w:jc w:val="center"/>
              <w:rPr>
                <w:sz w:val="24"/>
                <w:szCs w:val="24"/>
              </w:rPr>
            </w:pPr>
            <w:r>
              <w:rPr>
                <w:sz w:val="24"/>
                <w:szCs w:val="24"/>
              </w:rPr>
              <w:t>0x15</w:t>
            </w:r>
          </w:p>
        </w:tc>
        <w:tc>
          <w:tcPr>
            <w:tcW w:w="1350" w:type="dxa"/>
          </w:tcPr>
          <w:p w:rsidR="00EF7B91" w:rsidRPr="00647722" w:rsidRDefault="00EF7B91" w:rsidP="001B144F">
            <w:pPr>
              <w:jc w:val="center"/>
              <w:rPr>
                <w:sz w:val="24"/>
                <w:szCs w:val="24"/>
              </w:rPr>
            </w:pPr>
            <w:r>
              <w:rPr>
                <w:sz w:val="24"/>
                <w:szCs w:val="24"/>
              </w:rPr>
              <w:t>Integer</w:t>
            </w:r>
          </w:p>
        </w:tc>
        <w:tc>
          <w:tcPr>
            <w:tcW w:w="990" w:type="dxa"/>
          </w:tcPr>
          <w:p w:rsidR="00EF7B91" w:rsidRPr="006F3752" w:rsidRDefault="00EF7B91" w:rsidP="001B144F">
            <w:pPr>
              <w:jc w:val="center"/>
              <w:rPr>
                <w:sz w:val="24"/>
                <w:szCs w:val="24"/>
                <w:highlight w:val="yellow"/>
              </w:rPr>
            </w:pPr>
            <w:r w:rsidRPr="0073678D">
              <w:rPr>
                <w:sz w:val="24"/>
                <w:szCs w:val="24"/>
              </w:rPr>
              <w:t>0-</w:t>
            </w:r>
            <w:r>
              <w:rPr>
                <w:sz w:val="24"/>
                <w:szCs w:val="24"/>
              </w:rPr>
              <w:t>65535</w:t>
            </w:r>
          </w:p>
        </w:tc>
        <w:tc>
          <w:tcPr>
            <w:tcW w:w="3505" w:type="dxa"/>
          </w:tcPr>
          <w:p w:rsidR="00EF7B91" w:rsidRDefault="00EF7B91" w:rsidP="001B144F">
            <w:pPr>
              <w:jc w:val="both"/>
              <w:rPr>
                <w:sz w:val="24"/>
                <w:szCs w:val="24"/>
              </w:rPr>
            </w:pPr>
            <w:r>
              <w:rPr>
                <w:sz w:val="24"/>
                <w:szCs w:val="24"/>
              </w:rPr>
              <w:t xml:space="preserve">This attribute specify the Block </w:t>
            </w:r>
            <w:r w:rsidRPr="007F4D14">
              <w:rPr>
                <w:sz w:val="24"/>
                <w:szCs w:val="24"/>
              </w:rPr>
              <w:t>Shape</w:t>
            </w:r>
            <w:r>
              <w:rPr>
                <w:sz w:val="24"/>
                <w:szCs w:val="24"/>
              </w:rPr>
              <w:t xml:space="preserve"> Type used in the VTASC</w:t>
            </w:r>
          </w:p>
          <w:p w:rsidR="00EF7B91" w:rsidRDefault="00EF7B91" w:rsidP="001B144F">
            <w:pPr>
              <w:jc w:val="both"/>
              <w:rPr>
                <w:sz w:val="24"/>
                <w:szCs w:val="24"/>
              </w:rPr>
            </w:pPr>
            <w:r>
              <w:rPr>
                <w:sz w:val="24"/>
                <w:szCs w:val="24"/>
              </w:rPr>
              <w:t>0 : Square</w:t>
            </w:r>
          </w:p>
          <w:p w:rsidR="00EF7B91" w:rsidRDefault="00EF7B91" w:rsidP="001B144F">
            <w:pPr>
              <w:jc w:val="both"/>
              <w:rPr>
                <w:sz w:val="24"/>
                <w:szCs w:val="24"/>
              </w:rPr>
            </w:pPr>
            <w:r>
              <w:rPr>
                <w:sz w:val="24"/>
                <w:szCs w:val="24"/>
              </w:rPr>
              <w:t>1 : Rectangle</w:t>
            </w:r>
          </w:p>
          <w:p w:rsidR="00EF7B91" w:rsidRDefault="00EF7B91" w:rsidP="001B144F">
            <w:pPr>
              <w:jc w:val="both"/>
              <w:rPr>
                <w:sz w:val="24"/>
                <w:szCs w:val="24"/>
              </w:rPr>
            </w:pPr>
            <w:r>
              <w:rPr>
                <w:sz w:val="24"/>
                <w:szCs w:val="24"/>
              </w:rPr>
              <w:t>2 : Circle</w:t>
            </w:r>
          </w:p>
          <w:p w:rsidR="00EF7B91" w:rsidRDefault="00EF7B91" w:rsidP="001B144F">
            <w:pPr>
              <w:jc w:val="both"/>
              <w:rPr>
                <w:sz w:val="24"/>
                <w:szCs w:val="24"/>
              </w:rPr>
            </w:pPr>
            <w:r>
              <w:rPr>
                <w:sz w:val="24"/>
                <w:szCs w:val="24"/>
              </w:rPr>
              <w:t>3 : Triangle</w:t>
            </w:r>
          </w:p>
          <w:p w:rsidR="00EF7B91" w:rsidRDefault="00EF7B91" w:rsidP="001B144F">
            <w:pPr>
              <w:jc w:val="both"/>
              <w:rPr>
                <w:sz w:val="24"/>
                <w:szCs w:val="24"/>
              </w:rPr>
            </w:pPr>
            <w:r>
              <w:rPr>
                <w:sz w:val="24"/>
                <w:szCs w:val="24"/>
              </w:rPr>
              <w:t xml:space="preserve">4 : Ellipse </w:t>
            </w:r>
          </w:p>
          <w:p w:rsidR="00EF7B91" w:rsidRDefault="00EF7B91" w:rsidP="001B144F">
            <w:pPr>
              <w:jc w:val="both"/>
              <w:rPr>
                <w:sz w:val="24"/>
                <w:szCs w:val="24"/>
              </w:rPr>
            </w:pPr>
            <w:r>
              <w:rPr>
                <w:sz w:val="24"/>
                <w:szCs w:val="24"/>
              </w:rPr>
              <w:t>5 : Star</w:t>
            </w:r>
          </w:p>
          <w:p w:rsidR="00EF7B91" w:rsidRPr="006F3752" w:rsidRDefault="00EF7B91" w:rsidP="001B144F">
            <w:pPr>
              <w:jc w:val="both"/>
              <w:rPr>
                <w:sz w:val="24"/>
                <w:szCs w:val="24"/>
                <w:highlight w:val="yellow"/>
              </w:rPr>
            </w:pPr>
            <w:r>
              <w:rPr>
                <w:sz w:val="24"/>
                <w:szCs w:val="24"/>
              </w:rPr>
              <w:t>6~65535 : Reserved</w:t>
            </w:r>
          </w:p>
        </w:tc>
      </w:tr>
      <w:tr w:rsidR="00EF7B91" w:rsidTr="001B144F">
        <w:tc>
          <w:tcPr>
            <w:tcW w:w="2245" w:type="dxa"/>
          </w:tcPr>
          <w:p w:rsidR="00EF7B91" w:rsidRDefault="00EF7B91" w:rsidP="001B144F">
            <w:pPr>
              <w:rPr>
                <w:sz w:val="24"/>
                <w:szCs w:val="24"/>
              </w:rPr>
            </w:pPr>
            <w:proofErr w:type="spellStart"/>
            <w:r>
              <w:rPr>
                <w:sz w:val="24"/>
                <w:szCs w:val="24"/>
              </w:rPr>
              <w:t>phyVTASCCValue</w:t>
            </w:r>
            <w:proofErr w:type="spellEnd"/>
          </w:p>
        </w:tc>
        <w:tc>
          <w:tcPr>
            <w:tcW w:w="1260" w:type="dxa"/>
          </w:tcPr>
          <w:p w:rsidR="00EF7B91" w:rsidRDefault="00EF7B91" w:rsidP="001B144F">
            <w:pPr>
              <w:jc w:val="center"/>
              <w:rPr>
                <w:sz w:val="24"/>
                <w:szCs w:val="24"/>
              </w:rPr>
            </w:pPr>
            <w:r>
              <w:rPr>
                <w:sz w:val="24"/>
                <w:szCs w:val="24"/>
              </w:rPr>
              <w:t>0x16</w:t>
            </w:r>
          </w:p>
        </w:tc>
        <w:tc>
          <w:tcPr>
            <w:tcW w:w="1350" w:type="dxa"/>
          </w:tcPr>
          <w:p w:rsidR="00EF7B91" w:rsidRPr="00647722" w:rsidRDefault="00EF7B91" w:rsidP="001B144F">
            <w:pPr>
              <w:jc w:val="center"/>
              <w:rPr>
                <w:sz w:val="24"/>
                <w:szCs w:val="24"/>
              </w:rPr>
            </w:pPr>
            <w:r>
              <w:rPr>
                <w:sz w:val="24"/>
                <w:szCs w:val="24"/>
              </w:rPr>
              <w:t>Integer</w:t>
            </w:r>
          </w:p>
        </w:tc>
        <w:tc>
          <w:tcPr>
            <w:tcW w:w="990" w:type="dxa"/>
          </w:tcPr>
          <w:p w:rsidR="00EF7B91" w:rsidRPr="006F3752" w:rsidRDefault="00EF7B91" w:rsidP="001B144F">
            <w:pPr>
              <w:jc w:val="center"/>
              <w:rPr>
                <w:sz w:val="24"/>
                <w:szCs w:val="24"/>
                <w:highlight w:val="yellow"/>
              </w:rPr>
            </w:pPr>
            <w:r w:rsidRPr="0073678D">
              <w:rPr>
                <w:sz w:val="24"/>
                <w:szCs w:val="24"/>
              </w:rPr>
              <w:t>0-</w:t>
            </w:r>
            <w:r>
              <w:rPr>
                <w:sz w:val="24"/>
                <w:szCs w:val="24"/>
              </w:rPr>
              <w:t>65535</w:t>
            </w:r>
          </w:p>
        </w:tc>
        <w:tc>
          <w:tcPr>
            <w:tcW w:w="3505" w:type="dxa"/>
          </w:tcPr>
          <w:p w:rsidR="00EF7B91" w:rsidRPr="006F3752" w:rsidRDefault="00EF7B91" w:rsidP="001B144F">
            <w:pPr>
              <w:jc w:val="both"/>
              <w:rPr>
                <w:sz w:val="24"/>
                <w:szCs w:val="24"/>
                <w:highlight w:val="yellow"/>
              </w:rPr>
            </w:pPr>
            <w:r>
              <w:rPr>
                <w:sz w:val="24"/>
                <w:szCs w:val="24"/>
              </w:rPr>
              <w:t>This attribute specify the no of Colors used in the VTASC</w:t>
            </w:r>
          </w:p>
        </w:tc>
      </w:tr>
    </w:tbl>
    <w:p w:rsidR="002263CB" w:rsidRDefault="002263CB" w:rsidP="002263CB"/>
    <w:p w:rsidR="00EF7B91" w:rsidRPr="001E5D1B" w:rsidRDefault="00EF7B91" w:rsidP="00EF7B91">
      <w:pPr>
        <w:pStyle w:val="ListParagraph"/>
        <w:ind w:left="1275" w:firstLine="165"/>
        <w:rPr>
          <w:rFonts w:ascii="Arial" w:hAnsi="Arial" w:cs="Arial"/>
          <w:b/>
          <w:color w:val="FF0000"/>
          <w:sz w:val="24"/>
          <w:szCs w:val="24"/>
        </w:rPr>
      </w:pPr>
      <w:r w:rsidRPr="001E5D1B">
        <w:rPr>
          <w:rFonts w:ascii="Arial" w:hAnsi="Arial" w:cs="Arial"/>
          <w:b/>
          <w:color w:val="FF0000"/>
          <w:sz w:val="24"/>
          <w:szCs w:val="24"/>
        </w:rPr>
        <w:t>Table 1</w:t>
      </w:r>
      <w:r>
        <w:rPr>
          <w:rFonts w:ascii="Arial" w:hAnsi="Arial" w:cs="Arial"/>
          <w:b/>
          <w:color w:val="FF0000"/>
          <w:sz w:val="24"/>
          <w:szCs w:val="24"/>
        </w:rPr>
        <w:t>79</w:t>
      </w:r>
      <w:r w:rsidRPr="001E5D1B">
        <w:rPr>
          <w:rFonts w:ascii="Arial" w:hAnsi="Arial" w:cs="Arial"/>
          <w:b/>
          <w:color w:val="FF0000"/>
          <w:sz w:val="24"/>
          <w:szCs w:val="24"/>
        </w:rPr>
        <w:t xml:space="preserve"> — PHY PIB attributes (continued for </w:t>
      </w:r>
      <w:r>
        <w:rPr>
          <w:rFonts w:ascii="Arial" w:hAnsi="Arial" w:cs="Arial"/>
          <w:b/>
          <w:color w:val="FF0000"/>
          <w:sz w:val="24"/>
          <w:szCs w:val="24"/>
        </w:rPr>
        <w:t>VTASC</w:t>
      </w:r>
      <w:r w:rsidRPr="001E5D1B">
        <w:rPr>
          <w:rFonts w:ascii="Arial" w:hAnsi="Arial" w:cs="Arial"/>
          <w:b/>
          <w:color w:val="FF0000"/>
          <w:sz w:val="24"/>
          <w:szCs w:val="24"/>
        </w:rPr>
        <w:t>)</w:t>
      </w:r>
    </w:p>
    <w:p w:rsidR="002263CB" w:rsidRDefault="002263CB" w:rsidP="002263CB"/>
    <w:p w:rsidR="002263CB" w:rsidRPr="002263CB" w:rsidRDefault="002263CB" w:rsidP="002263CB"/>
    <w:p w:rsidR="001E5D1B" w:rsidRPr="00505E0E" w:rsidRDefault="009C17DC" w:rsidP="001E5D1B">
      <w:pPr>
        <w:pStyle w:val="Heading1"/>
        <w:rPr>
          <w:rFonts w:ascii="Arial" w:hAnsi="Arial" w:cs="Arial"/>
          <w:b/>
          <w:color w:val="auto"/>
          <w:sz w:val="26"/>
          <w:szCs w:val="26"/>
        </w:rPr>
      </w:pPr>
      <w:r>
        <w:rPr>
          <w:rFonts w:ascii="Arial" w:hAnsi="Arial" w:cs="Arial"/>
          <w:b/>
          <w:color w:val="auto"/>
          <w:sz w:val="26"/>
          <w:szCs w:val="26"/>
        </w:rPr>
        <w:lastRenderedPageBreak/>
        <w:t>2.</w:t>
      </w:r>
      <w:r w:rsidR="001E5D1B">
        <w:rPr>
          <w:rFonts w:ascii="Arial" w:hAnsi="Arial" w:cs="Arial"/>
          <w:b/>
          <w:color w:val="auto"/>
          <w:sz w:val="26"/>
          <w:szCs w:val="26"/>
        </w:rPr>
        <w:t xml:space="preserve"> </w:t>
      </w:r>
      <w:r w:rsidR="001E5D1B" w:rsidRPr="00505E0E">
        <w:rPr>
          <w:rFonts w:ascii="Arial" w:hAnsi="Arial" w:cs="Arial"/>
          <w:b/>
          <w:color w:val="auto"/>
          <w:sz w:val="26"/>
          <w:szCs w:val="26"/>
        </w:rPr>
        <w:t>PHY PIB Attributes</w:t>
      </w:r>
      <w:r w:rsidR="001E5D1B">
        <w:rPr>
          <w:rFonts w:ascii="Arial" w:hAnsi="Arial" w:cs="Arial"/>
          <w:b/>
          <w:color w:val="auto"/>
          <w:sz w:val="26"/>
          <w:szCs w:val="26"/>
        </w:rPr>
        <w:t xml:space="preserve"> for </w:t>
      </w:r>
      <w:r w:rsidR="00C401A6">
        <w:rPr>
          <w:rFonts w:ascii="Arial" w:hAnsi="Arial" w:cs="Arial"/>
          <w:b/>
          <w:color w:val="auto"/>
          <w:sz w:val="26"/>
          <w:szCs w:val="26"/>
        </w:rPr>
        <w:t>Sequential Scalable 2D Code</w:t>
      </w:r>
    </w:p>
    <w:p w:rsidR="00216AD0" w:rsidRDefault="00216AD0" w:rsidP="00216AD0">
      <w:pPr>
        <w:jc w:val="both"/>
        <w:rPr>
          <w:rFonts w:ascii="Arial" w:hAnsi="Arial" w:cs="Arial"/>
          <w:sz w:val="24"/>
          <w:szCs w:val="24"/>
        </w:rPr>
      </w:pPr>
    </w:p>
    <w:p w:rsidR="001E5D1B" w:rsidRDefault="002263CB" w:rsidP="00216AD0">
      <w:pPr>
        <w:jc w:val="both"/>
        <w:rPr>
          <w:rFonts w:ascii="Arial" w:hAnsi="Arial" w:cs="Arial"/>
          <w:color w:val="FF0000"/>
          <w:sz w:val="24"/>
          <w:szCs w:val="24"/>
        </w:rPr>
      </w:pPr>
      <w:r w:rsidRPr="00AC708A">
        <w:rPr>
          <w:rFonts w:ascii="Arial" w:hAnsi="Arial" w:cs="Arial"/>
          <w:sz w:val="24"/>
          <w:szCs w:val="24"/>
        </w:rPr>
        <w:t xml:space="preserve">The </w:t>
      </w:r>
      <w:r w:rsidRPr="00CF6C72">
        <w:rPr>
          <w:rFonts w:ascii="Arial" w:hAnsi="Arial" w:cs="Arial"/>
          <w:color w:val="FF0000"/>
          <w:sz w:val="24"/>
          <w:szCs w:val="24"/>
        </w:rPr>
        <w:t xml:space="preserve">PHY </w:t>
      </w:r>
      <w:r>
        <w:rPr>
          <w:rFonts w:ascii="Arial" w:hAnsi="Arial" w:cs="Arial"/>
          <w:color w:val="FF0000"/>
          <w:sz w:val="24"/>
          <w:szCs w:val="24"/>
        </w:rPr>
        <w:t xml:space="preserve">PIB attributes </w:t>
      </w:r>
      <w:r w:rsidRPr="00CF6C72">
        <w:rPr>
          <w:rFonts w:ascii="Arial" w:hAnsi="Arial" w:cs="Arial"/>
          <w:color w:val="FF0000"/>
          <w:sz w:val="24"/>
          <w:szCs w:val="24"/>
        </w:rPr>
        <w:t xml:space="preserve">for </w:t>
      </w:r>
      <w:r w:rsidRPr="001E5D1B">
        <w:rPr>
          <w:rFonts w:ascii="Arial" w:hAnsi="Arial" w:cs="Arial"/>
          <w:color w:val="FF0000"/>
          <w:sz w:val="24"/>
          <w:szCs w:val="24"/>
        </w:rPr>
        <w:t>Sequential Scalable 2D Code</w:t>
      </w:r>
      <w:r w:rsidRPr="001E5D1B">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Pr>
          <w:rFonts w:ascii="Arial" w:hAnsi="Arial" w:cs="Arial"/>
          <w:color w:val="FF0000"/>
          <w:sz w:val="24"/>
          <w:szCs w:val="24"/>
        </w:rPr>
        <w:t>1</w:t>
      </w:r>
      <w:r w:rsidR="00742C56">
        <w:rPr>
          <w:rFonts w:ascii="Arial" w:hAnsi="Arial" w:cs="Arial"/>
          <w:color w:val="FF0000"/>
          <w:sz w:val="24"/>
          <w:szCs w:val="24"/>
        </w:rPr>
        <w:t>79</w:t>
      </w:r>
      <w:r>
        <w:rPr>
          <w:rFonts w:ascii="Arial" w:hAnsi="Arial" w:cs="Arial"/>
          <w:color w:val="FF0000"/>
          <w:sz w:val="24"/>
          <w:szCs w:val="24"/>
        </w:rPr>
        <w:t xml:space="preserve"> </w:t>
      </w:r>
      <w:r w:rsidRPr="00254888">
        <w:rPr>
          <w:rFonts w:ascii="Arial" w:hAnsi="Arial" w:cs="Arial"/>
          <w:color w:val="FF0000"/>
          <w:sz w:val="24"/>
          <w:szCs w:val="24"/>
        </w:rPr>
        <w:t>—PHY PIB attributes (continued</w:t>
      </w:r>
      <w:r w:rsidRPr="001E5D1B">
        <w:t xml:space="preserve"> </w:t>
      </w:r>
      <w:r w:rsidRPr="001E5D1B">
        <w:rPr>
          <w:rFonts w:ascii="Arial" w:hAnsi="Arial" w:cs="Arial"/>
          <w:color w:val="FF0000"/>
          <w:sz w:val="24"/>
          <w:szCs w:val="24"/>
        </w:rPr>
        <w:t>for Sequential Scalable 2D Code)</w:t>
      </w:r>
      <w:r w:rsidRPr="00072CFD">
        <w:rPr>
          <w:rFonts w:ascii="Arial" w:hAnsi="Arial" w:cs="Arial"/>
          <w:color w:val="FF0000"/>
          <w:sz w:val="24"/>
          <w:szCs w:val="24"/>
        </w:rPr>
        <w:t>.</w:t>
      </w:r>
    </w:p>
    <w:p w:rsidR="00216AD0" w:rsidRPr="001E5D1B" w:rsidRDefault="00216AD0" w:rsidP="00216AD0">
      <w:pPr>
        <w:jc w:val="both"/>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1E5D1B" w:rsidRPr="002874E1" w:rsidTr="0000000C">
        <w:tc>
          <w:tcPr>
            <w:tcW w:w="2245" w:type="dxa"/>
          </w:tcPr>
          <w:p w:rsidR="001E5D1B" w:rsidRPr="002874E1" w:rsidRDefault="001E5D1B" w:rsidP="0000000C">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1E5D1B" w:rsidRPr="002874E1" w:rsidRDefault="001E5D1B" w:rsidP="0000000C">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1E5D1B" w:rsidRPr="002874E1" w:rsidRDefault="001E5D1B" w:rsidP="0000000C">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1E5D1B" w:rsidRPr="002874E1" w:rsidRDefault="001E5D1B" w:rsidP="0000000C">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1E5D1B" w:rsidRPr="002874E1" w:rsidRDefault="001E5D1B" w:rsidP="0000000C">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1E5D1B" w:rsidTr="0000000C">
        <w:tc>
          <w:tcPr>
            <w:tcW w:w="2245" w:type="dxa"/>
          </w:tcPr>
          <w:p w:rsidR="001E5D1B" w:rsidRPr="00787F4A" w:rsidRDefault="001E5D1B" w:rsidP="0000000C">
            <w:pPr>
              <w:autoSpaceDE w:val="0"/>
              <w:autoSpaceDN w:val="0"/>
              <w:adjustRightInd w:val="0"/>
              <w:rPr>
                <w:rFonts w:cs="TimesNewRomanPSMT"/>
                <w:sz w:val="24"/>
                <w:szCs w:val="24"/>
              </w:rPr>
            </w:pPr>
            <w:r w:rsidRPr="00787F4A">
              <w:rPr>
                <w:rFonts w:cs="TimesNewRomanPSMT"/>
                <w:sz w:val="24"/>
                <w:szCs w:val="24"/>
              </w:rPr>
              <w:t>Phy</w:t>
            </w:r>
            <w:r>
              <w:rPr>
                <w:rFonts w:cs="TimesNewRomanPSMT"/>
                <w:sz w:val="24"/>
                <w:szCs w:val="24"/>
              </w:rPr>
              <w:t>SS2DC</w:t>
            </w:r>
            <w:r w:rsidRPr="00787F4A">
              <w:rPr>
                <w:rFonts w:cs="TimesNewRomanPSMT"/>
                <w:sz w:val="24"/>
                <w:szCs w:val="24"/>
              </w:rPr>
              <w:t>ApplicationSpecificMode</w:t>
            </w:r>
          </w:p>
        </w:tc>
        <w:tc>
          <w:tcPr>
            <w:tcW w:w="1260" w:type="dxa"/>
          </w:tcPr>
          <w:p w:rsidR="001E5D1B" w:rsidRPr="00787F4A" w:rsidRDefault="001E5D1B" w:rsidP="0000000C">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1E5D1B" w:rsidRPr="00787F4A" w:rsidRDefault="001E5D1B" w:rsidP="0000000C">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1E5D1B" w:rsidRPr="00787F4A" w:rsidRDefault="001E5D1B" w:rsidP="0000000C">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1E5D1B" w:rsidRPr="00787F4A" w:rsidRDefault="001E5D1B" w:rsidP="0000000C">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1E5D1B" w:rsidRPr="00787F4A" w:rsidRDefault="001E5D1B" w:rsidP="0000000C">
            <w:pPr>
              <w:jc w:val="both"/>
              <w:rPr>
                <w:sz w:val="24"/>
                <w:szCs w:val="24"/>
              </w:rPr>
            </w:pPr>
            <w:r w:rsidRPr="00787F4A">
              <w:rPr>
                <w:sz w:val="24"/>
                <w:szCs w:val="24"/>
              </w:rPr>
              <w:t>0 : Normal Data (Media Content, Information Content based on the Application used for)</w:t>
            </w:r>
          </w:p>
          <w:p w:rsidR="001E5D1B" w:rsidRPr="00787F4A" w:rsidRDefault="001E5D1B" w:rsidP="0000000C">
            <w:pPr>
              <w:jc w:val="both"/>
              <w:rPr>
                <w:sz w:val="24"/>
                <w:szCs w:val="24"/>
              </w:rPr>
            </w:pPr>
            <w:r w:rsidRPr="00787F4A">
              <w:rPr>
                <w:sz w:val="24"/>
                <w:szCs w:val="24"/>
              </w:rPr>
              <w:t xml:space="preserve">1 : ID Data </w:t>
            </w:r>
          </w:p>
          <w:p w:rsidR="001E5D1B" w:rsidRPr="00787F4A" w:rsidRDefault="001E5D1B" w:rsidP="0000000C">
            <w:pPr>
              <w:autoSpaceDE w:val="0"/>
              <w:autoSpaceDN w:val="0"/>
              <w:adjustRightInd w:val="0"/>
              <w:jc w:val="both"/>
              <w:rPr>
                <w:rFonts w:cs="TimesNewRomanPSMT"/>
                <w:sz w:val="24"/>
                <w:szCs w:val="24"/>
              </w:rPr>
            </w:pPr>
            <w:r w:rsidRPr="00787F4A">
              <w:rPr>
                <w:sz w:val="24"/>
                <w:szCs w:val="24"/>
              </w:rPr>
              <w:t>2 : Authentication Data</w:t>
            </w:r>
          </w:p>
        </w:tc>
      </w:tr>
      <w:tr w:rsidR="001E5D1B" w:rsidTr="0000000C">
        <w:tc>
          <w:tcPr>
            <w:tcW w:w="2245" w:type="dxa"/>
          </w:tcPr>
          <w:p w:rsidR="001E5D1B" w:rsidRDefault="001E5D1B" w:rsidP="00332206">
            <w:pPr>
              <w:rPr>
                <w:sz w:val="24"/>
                <w:szCs w:val="24"/>
              </w:rPr>
            </w:pPr>
            <w:r>
              <w:rPr>
                <w:sz w:val="24"/>
                <w:szCs w:val="24"/>
              </w:rPr>
              <w:t>phySS2DCTHSize</w:t>
            </w:r>
          </w:p>
        </w:tc>
        <w:tc>
          <w:tcPr>
            <w:tcW w:w="1260" w:type="dxa"/>
          </w:tcPr>
          <w:p w:rsidR="001E5D1B" w:rsidRDefault="001E5D1B" w:rsidP="0000000C">
            <w:pPr>
              <w:jc w:val="center"/>
              <w:rPr>
                <w:sz w:val="24"/>
                <w:szCs w:val="24"/>
              </w:rPr>
            </w:pPr>
            <w:r>
              <w:rPr>
                <w:sz w:val="24"/>
                <w:szCs w:val="24"/>
              </w:rPr>
              <w:t>0x11</w:t>
            </w:r>
          </w:p>
        </w:tc>
        <w:tc>
          <w:tcPr>
            <w:tcW w:w="1350" w:type="dxa"/>
          </w:tcPr>
          <w:p w:rsidR="001E5D1B" w:rsidRPr="00647722" w:rsidRDefault="001E5D1B" w:rsidP="0000000C">
            <w:pPr>
              <w:jc w:val="center"/>
              <w:rPr>
                <w:sz w:val="24"/>
                <w:szCs w:val="24"/>
              </w:rPr>
            </w:pPr>
            <w:r>
              <w:rPr>
                <w:sz w:val="24"/>
                <w:szCs w:val="24"/>
              </w:rPr>
              <w:t>Integer</w:t>
            </w:r>
          </w:p>
        </w:tc>
        <w:tc>
          <w:tcPr>
            <w:tcW w:w="990" w:type="dxa"/>
          </w:tcPr>
          <w:p w:rsidR="001E5D1B" w:rsidRPr="006F3752" w:rsidRDefault="001E5D1B" w:rsidP="0000000C">
            <w:pPr>
              <w:jc w:val="center"/>
              <w:rPr>
                <w:sz w:val="24"/>
                <w:szCs w:val="24"/>
                <w:highlight w:val="yellow"/>
              </w:rPr>
            </w:pPr>
            <w:r w:rsidRPr="0073678D">
              <w:rPr>
                <w:sz w:val="24"/>
                <w:szCs w:val="24"/>
              </w:rPr>
              <w:t>0-</w:t>
            </w:r>
            <w:r>
              <w:rPr>
                <w:sz w:val="24"/>
                <w:szCs w:val="24"/>
              </w:rPr>
              <w:t>65535</w:t>
            </w:r>
          </w:p>
        </w:tc>
        <w:tc>
          <w:tcPr>
            <w:tcW w:w="3505" w:type="dxa"/>
          </w:tcPr>
          <w:p w:rsidR="001E5D1B" w:rsidRPr="006F3752" w:rsidRDefault="00FE13E1" w:rsidP="0000000C">
            <w:pPr>
              <w:jc w:val="both"/>
              <w:rPr>
                <w:sz w:val="24"/>
                <w:szCs w:val="24"/>
                <w:highlight w:val="yellow"/>
              </w:rPr>
            </w:pPr>
            <w:r>
              <w:rPr>
                <w:sz w:val="24"/>
                <w:szCs w:val="24"/>
              </w:rPr>
              <w:t>This attribute specify the no of Horizontal Blocks in the SS2DC</w:t>
            </w:r>
          </w:p>
        </w:tc>
      </w:tr>
      <w:tr w:rsidR="001E5D1B" w:rsidTr="0000000C">
        <w:tc>
          <w:tcPr>
            <w:tcW w:w="2245" w:type="dxa"/>
          </w:tcPr>
          <w:p w:rsidR="001E5D1B" w:rsidRDefault="001E5D1B" w:rsidP="00332206">
            <w:pPr>
              <w:rPr>
                <w:sz w:val="24"/>
                <w:szCs w:val="24"/>
              </w:rPr>
            </w:pPr>
            <w:r>
              <w:rPr>
                <w:sz w:val="24"/>
                <w:szCs w:val="24"/>
              </w:rPr>
              <w:t>phySS2DCTVSize</w:t>
            </w:r>
          </w:p>
        </w:tc>
        <w:tc>
          <w:tcPr>
            <w:tcW w:w="1260" w:type="dxa"/>
          </w:tcPr>
          <w:p w:rsidR="001E5D1B" w:rsidRDefault="001E5D1B" w:rsidP="0000000C">
            <w:pPr>
              <w:jc w:val="center"/>
              <w:rPr>
                <w:sz w:val="24"/>
                <w:szCs w:val="24"/>
              </w:rPr>
            </w:pPr>
            <w:r>
              <w:rPr>
                <w:sz w:val="24"/>
                <w:szCs w:val="24"/>
              </w:rPr>
              <w:t>0x12</w:t>
            </w:r>
          </w:p>
        </w:tc>
        <w:tc>
          <w:tcPr>
            <w:tcW w:w="1350" w:type="dxa"/>
          </w:tcPr>
          <w:p w:rsidR="001E5D1B" w:rsidRPr="00647722" w:rsidRDefault="001E5D1B" w:rsidP="0000000C">
            <w:pPr>
              <w:jc w:val="center"/>
              <w:rPr>
                <w:sz w:val="24"/>
                <w:szCs w:val="24"/>
              </w:rPr>
            </w:pPr>
            <w:r>
              <w:rPr>
                <w:sz w:val="24"/>
                <w:szCs w:val="24"/>
              </w:rPr>
              <w:t>Integer</w:t>
            </w:r>
          </w:p>
        </w:tc>
        <w:tc>
          <w:tcPr>
            <w:tcW w:w="990" w:type="dxa"/>
          </w:tcPr>
          <w:p w:rsidR="001E5D1B" w:rsidRPr="006F3752" w:rsidRDefault="001E5D1B" w:rsidP="0000000C">
            <w:pPr>
              <w:jc w:val="center"/>
              <w:rPr>
                <w:sz w:val="24"/>
                <w:szCs w:val="24"/>
                <w:highlight w:val="yellow"/>
              </w:rPr>
            </w:pPr>
            <w:r w:rsidRPr="0073678D">
              <w:rPr>
                <w:sz w:val="24"/>
                <w:szCs w:val="24"/>
              </w:rPr>
              <w:t>0-</w:t>
            </w:r>
            <w:r>
              <w:rPr>
                <w:sz w:val="24"/>
                <w:szCs w:val="24"/>
              </w:rPr>
              <w:t>65535</w:t>
            </w:r>
          </w:p>
        </w:tc>
        <w:tc>
          <w:tcPr>
            <w:tcW w:w="3505" w:type="dxa"/>
          </w:tcPr>
          <w:p w:rsidR="001E5D1B" w:rsidRPr="006F3752" w:rsidRDefault="00332206" w:rsidP="00332206">
            <w:pPr>
              <w:jc w:val="both"/>
              <w:rPr>
                <w:sz w:val="24"/>
                <w:szCs w:val="24"/>
                <w:highlight w:val="yellow"/>
              </w:rPr>
            </w:pPr>
            <w:r>
              <w:rPr>
                <w:sz w:val="24"/>
                <w:szCs w:val="24"/>
              </w:rPr>
              <w:t>This attribute specify the no of Vertical Blocks in the SS2DC</w:t>
            </w:r>
          </w:p>
        </w:tc>
      </w:tr>
      <w:tr w:rsidR="001E5D1B" w:rsidTr="0000000C">
        <w:tc>
          <w:tcPr>
            <w:tcW w:w="2245" w:type="dxa"/>
          </w:tcPr>
          <w:p w:rsidR="001E5D1B" w:rsidRDefault="001E5D1B" w:rsidP="00332206">
            <w:pPr>
              <w:rPr>
                <w:sz w:val="24"/>
                <w:szCs w:val="24"/>
              </w:rPr>
            </w:pPr>
            <w:r>
              <w:rPr>
                <w:sz w:val="24"/>
                <w:szCs w:val="24"/>
              </w:rPr>
              <w:t>phySS2DCTFrequency</w:t>
            </w:r>
          </w:p>
        </w:tc>
        <w:tc>
          <w:tcPr>
            <w:tcW w:w="1260" w:type="dxa"/>
          </w:tcPr>
          <w:p w:rsidR="001E5D1B" w:rsidRDefault="001E5D1B" w:rsidP="0000000C">
            <w:pPr>
              <w:jc w:val="center"/>
              <w:rPr>
                <w:sz w:val="24"/>
                <w:szCs w:val="24"/>
              </w:rPr>
            </w:pPr>
            <w:r>
              <w:rPr>
                <w:sz w:val="24"/>
                <w:szCs w:val="24"/>
              </w:rPr>
              <w:t>0x13</w:t>
            </w:r>
          </w:p>
        </w:tc>
        <w:tc>
          <w:tcPr>
            <w:tcW w:w="1350" w:type="dxa"/>
          </w:tcPr>
          <w:p w:rsidR="001E5D1B" w:rsidRPr="00647722" w:rsidRDefault="001E5D1B" w:rsidP="0000000C">
            <w:pPr>
              <w:jc w:val="center"/>
              <w:rPr>
                <w:sz w:val="24"/>
                <w:szCs w:val="24"/>
              </w:rPr>
            </w:pPr>
            <w:r>
              <w:rPr>
                <w:sz w:val="24"/>
                <w:szCs w:val="24"/>
              </w:rPr>
              <w:t>Integer</w:t>
            </w:r>
          </w:p>
        </w:tc>
        <w:tc>
          <w:tcPr>
            <w:tcW w:w="990" w:type="dxa"/>
          </w:tcPr>
          <w:p w:rsidR="001E5D1B" w:rsidRPr="006F3752" w:rsidRDefault="001E5D1B" w:rsidP="0000000C">
            <w:pPr>
              <w:jc w:val="center"/>
              <w:rPr>
                <w:sz w:val="24"/>
                <w:szCs w:val="24"/>
                <w:highlight w:val="yellow"/>
              </w:rPr>
            </w:pPr>
            <w:r w:rsidRPr="0073678D">
              <w:rPr>
                <w:sz w:val="24"/>
                <w:szCs w:val="24"/>
              </w:rPr>
              <w:t>0-</w:t>
            </w:r>
            <w:r>
              <w:rPr>
                <w:sz w:val="24"/>
                <w:szCs w:val="24"/>
              </w:rPr>
              <w:t>65535</w:t>
            </w:r>
          </w:p>
        </w:tc>
        <w:tc>
          <w:tcPr>
            <w:tcW w:w="3505" w:type="dxa"/>
          </w:tcPr>
          <w:p w:rsidR="001E5D1B" w:rsidRPr="006F3752" w:rsidRDefault="001E5D1B" w:rsidP="0000000C">
            <w:pPr>
              <w:jc w:val="both"/>
              <w:rPr>
                <w:sz w:val="24"/>
                <w:szCs w:val="24"/>
                <w:highlight w:val="yellow"/>
              </w:rPr>
            </w:pPr>
            <w:r>
              <w:rPr>
                <w:sz w:val="24"/>
                <w:szCs w:val="24"/>
              </w:rPr>
              <w:t xml:space="preserve">This attribute specify the frame rate of SS2DC  sequence Transmission </w:t>
            </w:r>
          </w:p>
        </w:tc>
      </w:tr>
    </w:tbl>
    <w:p w:rsidR="001E5D1B" w:rsidRPr="001E5D1B" w:rsidRDefault="001E5D1B" w:rsidP="001E5D1B">
      <w:pPr>
        <w:pStyle w:val="ListParagraph"/>
        <w:ind w:left="555"/>
        <w:rPr>
          <w:rFonts w:ascii="TimesNewRomanPSMT" w:hAnsi="TimesNewRomanPSMT" w:cs="TimesNewRomanPSMT"/>
          <w:sz w:val="20"/>
          <w:szCs w:val="20"/>
        </w:rPr>
      </w:pPr>
    </w:p>
    <w:p w:rsidR="001E5D1B" w:rsidRPr="001E5D1B" w:rsidRDefault="001E5D1B" w:rsidP="001E5D1B">
      <w:pPr>
        <w:pStyle w:val="ListParagraph"/>
        <w:ind w:left="1275" w:firstLine="165"/>
        <w:rPr>
          <w:rFonts w:ascii="Arial" w:hAnsi="Arial" w:cs="Arial"/>
          <w:b/>
          <w:color w:val="FF0000"/>
          <w:sz w:val="24"/>
          <w:szCs w:val="24"/>
        </w:rPr>
      </w:pPr>
      <w:r w:rsidRPr="001E5D1B">
        <w:rPr>
          <w:rFonts w:ascii="Arial" w:hAnsi="Arial" w:cs="Arial"/>
          <w:b/>
          <w:color w:val="FF0000"/>
          <w:sz w:val="24"/>
          <w:szCs w:val="24"/>
        </w:rPr>
        <w:t>Table 1</w:t>
      </w:r>
      <w:r w:rsidR="00742C56">
        <w:rPr>
          <w:rFonts w:ascii="Arial" w:hAnsi="Arial" w:cs="Arial"/>
          <w:b/>
          <w:color w:val="FF0000"/>
          <w:sz w:val="24"/>
          <w:szCs w:val="24"/>
        </w:rPr>
        <w:t>79</w:t>
      </w:r>
      <w:r w:rsidRPr="001E5D1B">
        <w:rPr>
          <w:rFonts w:ascii="Arial" w:hAnsi="Arial" w:cs="Arial"/>
          <w:b/>
          <w:color w:val="FF0000"/>
          <w:sz w:val="24"/>
          <w:szCs w:val="24"/>
        </w:rPr>
        <w:t xml:space="preserve"> — PHY PIB attributes (continued for SS2DC)</w:t>
      </w:r>
    </w:p>
    <w:p w:rsidR="00E64829" w:rsidRDefault="00E64829" w:rsidP="00041A54">
      <w:pPr>
        <w:pStyle w:val="Heading1"/>
        <w:rPr>
          <w:b/>
          <w:color w:val="auto"/>
          <w:sz w:val="28"/>
          <w:szCs w:val="28"/>
        </w:rPr>
      </w:pPr>
    </w:p>
    <w:p w:rsidR="00216AD0" w:rsidRDefault="00216AD0">
      <w:pPr>
        <w:rPr>
          <w:rFonts w:ascii="Arial" w:eastAsiaTheme="majorEastAsia" w:hAnsi="Arial" w:cs="Arial"/>
          <w:b/>
          <w:sz w:val="26"/>
          <w:szCs w:val="26"/>
        </w:rPr>
      </w:pPr>
      <w:r>
        <w:rPr>
          <w:rFonts w:ascii="Arial" w:hAnsi="Arial" w:cs="Arial"/>
          <w:b/>
          <w:sz w:val="26"/>
          <w:szCs w:val="26"/>
        </w:rPr>
        <w:br w:type="page"/>
      </w:r>
    </w:p>
    <w:p w:rsidR="00875575" w:rsidRPr="00505E0E" w:rsidRDefault="001E5D1B" w:rsidP="001E5D1B">
      <w:pPr>
        <w:pStyle w:val="Heading1"/>
        <w:rPr>
          <w:rFonts w:ascii="Arial" w:hAnsi="Arial" w:cs="Arial"/>
          <w:b/>
          <w:color w:val="auto"/>
          <w:sz w:val="26"/>
          <w:szCs w:val="26"/>
        </w:rPr>
      </w:pPr>
      <w:r>
        <w:rPr>
          <w:rFonts w:ascii="Arial" w:hAnsi="Arial" w:cs="Arial"/>
          <w:b/>
          <w:color w:val="auto"/>
          <w:sz w:val="26"/>
          <w:szCs w:val="26"/>
        </w:rPr>
        <w:lastRenderedPageBreak/>
        <w:t>3</w:t>
      </w:r>
      <w:r w:rsidR="009C17DC">
        <w:rPr>
          <w:rFonts w:ascii="Arial" w:hAnsi="Arial" w:cs="Arial"/>
          <w:b/>
          <w:color w:val="auto"/>
          <w:sz w:val="26"/>
          <w:szCs w:val="26"/>
        </w:rPr>
        <w:t>.</w:t>
      </w:r>
      <w:r>
        <w:rPr>
          <w:rFonts w:ascii="Arial" w:hAnsi="Arial" w:cs="Arial"/>
          <w:b/>
          <w:color w:val="auto"/>
          <w:sz w:val="26"/>
          <w:szCs w:val="26"/>
        </w:rPr>
        <w:t xml:space="preserve"> </w:t>
      </w:r>
      <w:r w:rsidR="00875575" w:rsidRPr="00505E0E">
        <w:rPr>
          <w:rFonts w:ascii="Arial" w:hAnsi="Arial" w:cs="Arial"/>
          <w:b/>
          <w:color w:val="auto"/>
          <w:sz w:val="26"/>
          <w:szCs w:val="26"/>
        </w:rPr>
        <w:t>PHY PIB Attributes</w:t>
      </w:r>
      <w:bookmarkEnd w:id="1"/>
      <w:bookmarkEnd w:id="2"/>
      <w:r w:rsidR="00E64829">
        <w:rPr>
          <w:rFonts w:ascii="Arial" w:hAnsi="Arial" w:cs="Arial"/>
          <w:b/>
          <w:color w:val="auto"/>
          <w:sz w:val="26"/>
          <w:szCs w:val="26"/>
        </w:rPr>
        <w:t xml:space="preserve"> for Invisible Data Embedding</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8343E0" w:rsidRPr="00946FE3" w:rsidRDefault="00FD3969" w:rsidP="001E5D1B">
      <w:pPr>
        <w:jc w:val="both"/>
        <w:rPr>
          <w:rFonts w:ascii="Arial" w:hAnsi="Arial" w:cs="Arial"/>
          <w:color w:val="FF0000"/>
          <w:sz w:val="24"/>
          <w:szCs w:val="24"/>
        </w:rPr>
      </w:pPr>
      <w:r w:rsidRPr="00AC708A">
        <w:rPr>
          <w:rFonts w:ascii="Arial" w:hAnsi="Arial" w:cs="Arial"/>
          <w:sz w:val="24"/>
          <w:szCs w:val="24"/>
        </w:rPr>
        <w:t xml:space="preserve">The </w:t>
      </w:r>
      <w:r w:rsidR="00AB12DF" w:rsidRPr="00CF6C72">
        <w:rPr>
          <w:rFonts w:ascii="Arial" w:hAnsi="Arial" w:cs="Arial"/>
          <w:color w:val="FF0000"/>
          <w:sz w:val="24"/>
          <w:szCs w:val="24"/>
        </w:rPr>
        <w:t xml:space="preserve">PHY </w:t>
      </w:r>
      <w:r w:rsidR="00AB12DF">
        <w:rPr>
          <w:rFonts w:ascii="Arial" w:hAnsi="Arial" w:cs="Arial"/>
          <w:color w:val="FF0000"/>
          <w:sz w:val="24"/>
          <w:szCs w:val="24"/>
        </w:rPr>
        <w:t xml:space="preserve">PIB attributes </w:t>
      </w:r>
      <w:r w:rsidRPr="00CF6C72">
        <w:rPr>
          <w:rFonts w:ascii="Arial" w:hAnsi="Arial" w:cs="Arial"/>
          <w:color w:val="FF0000"/>
          <w:sz w:val="24"/>
          <w:szCs w:val="24"/>
        </w:rPr>
        <w:t xml:space="preserve">for </w:t>
      </w:r>
      <w:r>
        <w:rPr>
          <w:rFonts w:ascii="Arial" w:hAnsi="Arial" w:cs="Arial"/>
          <w:color w:val="FF0000"/>
          <w:sz w:val="24"/>
          <w:szCs w:val="24"/>
        </w:rPr>
        <w:t>Invisible Data Embedding</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sidR="00742C56">
        <w:rPr>
          <w:rFonts w:ascii="Arial" w:hAnsi="Arial" w:cs="Arial"/>
          <w:color w:val="FF0000"/>
          <w:sz w:val="24"/>
          <w:szCs w:val="24"/>
        </w:rPr>
        <w:t>179</w:t>
      </w:r>
      <w:r w:rsidR="00970272">
        <w:rPr>
          <w:rFonts w:ascii="Arial" w:hAnsi="Arial" w:cs="Arial"/>
          <w:color w:val="FF0000"/>
          <w:sz w:val="24"/>
          <w:szCs w:val="24"/>
        </w:rPr>
        <w:t xml:space="preserve"> </w:t>
      </w:r>
      <w:r w:rsidRPr="00254888">
        <w:rPr>
          <w:rFonts w:ascii="Arial" w:hAnsi="Arial" w:cs="Arial"/>
          <w:color w:val="FF0000"/>
          <w:sz w:val="24"/>
          <w:szCs w:val="24"/>
        </w:rPr>
        <w:t>—PHY PIB attributes (continued</w:t>
      </w:r>
      <w:r w:rsidR="001E5D1B" w:rsidRPr="001E5D1B">
        <w:t xml:space="preserve"> </w:t>
      </w:r>
      <w:r w:rsidR="001E5D1B" w:rsidRPr="001E5D1B">
        <w:rPr>
          <w:rFonts w:ascii="Arial" w:hAnsi="Arial" w:cs="Arial"/>
          <w:color w:val="FF0000"/>
          <w:sz w:val="24"/>
          <w:szCs w:val="24"/>
        </w:rPr>
        <w:t>for Invisible Data Embedding)</w:t>
      </w:r>
      <w:r w:rsidRPr="00072CFD">
        <w:rPr>
          <w:rFonts w:ascii="Arial" w:hAnsi="Arial" w:cs="Arial"/>
          <w:color w:val="FF0000"/>
          <w:sz w:val="24"/>
          <w:szCs w:val="24"/>
        </w:rPr>
        <w:t>.</w:t>
      </w:r>
    </w:p>
    <w:p w:rsidR="002D0EFA" w:rsidRDefault="002D0EFA" w:rsidP="00B92D3F">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2D0EFA" w:rsidTr="00787F4A">
        <w:tc>
          <w:tcPr>
            <w:tcW w:w="9350" w:type="dxa"/>
            <w:gridSpan w:val="5"/>
          </w:tcPr>
          <w:p w:rsidR="002D0EFA" w:rsidRPr="002D0EFA" w:rsidRDefault="002D0EFA" w:rsidP="002D0EFA">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787F4A" w:rsidRPr="002874E1" w:rsidTr="00787F4A">
        <w:tc>
          <w:tcPr>
            <w:tcW w:w="224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787F4A" w:rsidTr="00787F4A">
        <w:tc>
          <w:tcPr>
            <w:tcW w:w="2245" w:type="dxa"/>
          </w:tcPr>
          <w:p w:rsidR="002D0EFA" w:rsidRPr="00787F4A" w:rsidRDefault="00787F4A" w:rsidP="006D6820">
            <w:pPr>
              <w:autoSpaceDE w:val="0"/>
              <w:autoSpaceDN w:val="0"/>
              <w:adjustRightInd w:val="0"/>
              <w:rPr>
                <w:rFonts w:cs="TimesNewRomanPSMT"/>
                <w:sz w:val="24"/>
                <w:szCs w:val="24"/>
              </w:rPr>
            </w:pPr>
            <w:proofErr w:type="spellStart"/>
            <w:r w:rsidRPr="00787F4A">
              <w:rPr>
                <w:rFonts w:cs="TimesNewRomanPSMT"/>
                <w:sz w:val="24"/>
                <w:szCs w:val="24"/>
              </w:rPr>
              <w:t>phy</w:t>
            </w:r>
            <w:r w:rsidR="006D6820">
              <w:rPr>
                <w:rFonts w:cs="TimesNewRomanPSMT"/>
                <w:sz w:val="24"/>
                <w:szCs w:val="24"/>
              </w:rPr>
              <w:t>IDE</w:t>
            </w:r>
            <w:r w:rsidRPr="00787F4A">
              <w:rPr>
                <w:rFonts w:cs="TimesNewRomanPSMT"/>
                <w:sz w:val="24"/>
                <w:szCs w:val="24"/>
              </w:rPr>
              <w:t>ApplicationSpecificMode</w:t>
            </w:r>
            <w:proofErr w:type="spellEnd"/>
          </w:p>
        </w:tc>
        <w:tc>
          <w:tcPr>
            <w:tcW w:w="126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2D0EFA" w:rsidRPr="00787F4A" w:rsidRDefault="00787F4A" w:rsidP="00787F4A">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787F4A" w:rsidRPr="00787F4A" w:rsidRDefault="00787F4A" w:rsidP="00787F4A">
            <w:pPr>
              <w:jc w:val="both"/>
              <w:rPr>
                <w:sz w:val="24"/>
                <w:szCs w:val="24"/>
              </w:rPr>
            </w:pPr>
            <w:r w:rsidRPr="00787F4A">
              <w:rPr>
                <w:sz w:val="24"/>
                <w:szCs w:val="24"/>
              </w:rPr>
              <w:t>0 : Normal Data (Media Content, Information Content based on the Application used for)</w:t>
            </w:r>
          </w:p>
          <w:p w:rsidR="00787F4A" w:rsidRPr="00787F4A" w:rsidRDefault="00787F4A" w:rsidP="00787F4A">
            <w:pPr>
              <w:jc w:val="both"/>
              <w:rPr>
                <w:sz w:val="24"/>
                <w:szCs w:val="24"/>
              </w:rPr>
            </w:pPr>
            <w:r w:rsidRPr="00787F4A">
              <w:rPr>
                <w:sz w:val="24"/>
                <w:szCs w:val="24"/>
              </w:rPr>
              <w:t xml:space="preserve">1 : ID Data </w:t>
            </w:r>
          </w:p>
          <w:p w:rsidR="00787F4A" w:rsidRPr="00787F4A" w:rsidRDefault="00787F4A" w:rsidP="00787F4A">
            <w:pPr>
              <w:autoSpaceDE w:val="0"/>
              <w:autoSpaceDN w:val="0"/>
              <w:adjustRightInd w:val="0"/>
              <w:jc w:val="both"/>
              <w:rPr>
                <w:rFonts w:cs="TimesNewRomanPSMT"/>
                <w:sz w:val="24"/>
                <w:szCs w:val="24"/>
              </w:rPr>
            </w:pPr>
            <w:r w:rsidRPr="00787F4A">
              <w:rPr>
                <w:sz w:val="24"/>
                <w:szCs w:val="24"/>
              </w:rPr>
              <w:t>2 : Authentication Data</w:t>
            </w:r>
          </w:p>
        </w:tc>
      </w:tr>
      <w:tr w:rsidR="006D6820" w:rsidTr="00787F4A">
        <w:tc>
          <w:tcPr>
            <w:tcW w:w="2245" w:type="dxa"/>
          </w:tcPr>
          <w:p w:rsidR="006D6820" w:rsidRDefault="006D6820" w:rsidP="00332206">
            <w:pPr>
              <w:rPr>
                <w:sz w:val="24"/>
                <w:szCs w:val="24"/>
              </w:rPr>
            </w:pPr>
            <w:proofErr w:type="spellStart"/>
            <w:r>
              <w:rPr>
                <w:sz w:val="24"/>
                <w:szCs w:val="24"/>
              </w:rPr>
              <w:t>phyIDEHSize</w:t>
            </w:r>
            <w:proofErr w:type="spellEnd"/>
          </w:p>
        </w:tc>
        <w:tc>
          <w:tcPr>
            <w:tcW w:w="1260" w:type="dxa"/>
          </w:tcPr>
          <w:p w:rsidR="006D6820" w:rsidRDefault="006D6820" w:rsidP="006D6820">
            <w:pPr>
              <w:jc w:val="center"/>
              <w:rPr>
                <w:sz w:val="24"/>
                <w:szCs w:val="24"/>
              </w:rPr>
            </w:pPr>
            <w:r>
              <w:rPr>
                <w:sz w:val="24"/>
                <w:szCs w:val="24"/>
              </w:rPr>
              <w:t>0x11</w:t>
            </w:r>
          </w:p>
        </w:tc>
        <w:tc>
          <w:tcPr>
            <w:tcW w:w="1350" w:type="dxa"/>
          </w:tcPr>
          <w:p w:rsidR="006D6820" w:rsidRPr="00647722" w:rsidRDefault="006D6820" w:rsidP="006D6820">
            <w:pPr>
              <w:jc w:val="center"/>
              <w:rPr>
                <w:sz w:val="24"/>
                <w:szCs w:val="24"/>
              </w:rPr>
            </w:pPr>
            <w:r>
              <w:rPr>
                <w:sz w:val="24"/>
                <w:szCs w:val="24"/>
              </w:rPr>
              <w:t>Integer</w:t>
            </w:r>
          </w:p>
        </w:tc>
        <w:tc>
          <w:tcPr>
            <w:tcW w:w="990" w:type="dxa"/>
          </w:tcPr>
          <w:p w:rsidR="006D6820" w:rsidRPr="006F3752" w:rsidRDefault="006D6820" w:rsidP="006D6820">
            <w:pPr>
              <w:jc w:val="center"/>
              <w:rPr>
                <w:sz w:val="24"/>
                <w:szCs w:val="24"/>
                <w:highlight w:val="yellow"/>
              </w:rPr>
            </w:pPr>
            <w:r w:rsidRPr="0073678D">
              <w:rPr>
                <w:sz w:val="24"/>
                <w:szCs w:val="24"/>
              </w:rPr>
              <w:t>0-</w:t>
            </w:r>
            <w:r>
              <w:rPr>
                <w:sz w:val="24"/>
                <w:szCs w:val="24"/>
              </w:rPr>
              <w:t>65535</w:t>
            </w:r>
          </w:p>
        </w:tc>
        <w:tc>
          <w:tcPr>
            <w:tcW w:w="3505" w:type="dxa"/>
          </w:tcPr>
          <w:p w:rsidR="006D6820" w:rsidRPr="006F3752" w:rsidRDefault="006D6820" w:rsidP="006D6820">
            <w:pPr>
              <w:jc w:val="both"/>
              <w:rPr>
                <w:sz w:val="24"/>
                <w:szCs w:val="24"/>
                <w:highlight w:val="yellow"/>
              </w:rPr>
            </w:pPr>
            <w:r>
              <w:rPr>
                <w:sz w:val="24"/>
                <w:szCs w:val="24"/>
              </w:rPr>
              <w:t>This attribute specify the no of Horizontal Pixel in the 2D Display Transmitter</w:t>
            </w:r>
          </w:p>
        </w:tc>
      </w:tr>
      <w:tr w:rsidR="006D6820" w:rsidTr="00787F4A">
        <w:tc>
          <w:tcPr>
            <w:tcW w:w="2245" w:type="dxa"/>
          </w:tcPr>
          <w:p w:rsidR="006D6820" w:rsidRDefault="006D6820" w:rsidP="00332206">
            <w:pPr>
              <w:rPr>
                <w:sz w:val="24"/>
                <w:szCs w:val="24"/>
              </w:rPr>
            </w:pPr>
            <w:proofErr w:type="spellStart"/>
            <w:r>
              <w:rPr>
                <w:sz w:val="24"/>
                <w:szCs w:val="24"/>
              </w:rPr>
              <w:t>phyIDEVSize</w:t>
            </w:r>
            <w:proofErr w:type="spellEnd"/>
          </w:p>
        </w:tc>
        <w:tc>
          <w:tcPr>
            <w:tcW w:w="1260" w:type="dxa"/>
          </w:tcPr>
          <w:p w:rsidR="006D6820" w:rsidRDefault="006D6820" w:rsidP="006D6820">
            <w:pPr>
              <w:jc w:val="center"/>
              <w:rPr>
                <w:sz w:val="24"/>
                <w:szCs w:val="24"/>
              </w:rPr>
            </w:pPr>
            <w:r>
              <w:rPr>
                <w:sz w:val="24"/>
                <w:szCs w:val="24"/>
              </w:rPr>
              <w:t>0x12</w:t>
            </w:r>
          </w:p>
        </w:tc>
        <w:tc>
          <w:tcPr>
            <w:tcW w:w="1350" w:type="dxa"/>
          </w:tcPr>
          <w:p w:rsidR="006D6820" w:rsidRPr="00647722" w:rsidRDefault="006D6820" w:rsidP="006D6820">
            <w:pPr>
              <w:jc w:val="center"/>
              <w:rPr>
                <w:sz w:val="24"/>
                <w:szCs w:val="24"/>
              </w:rPr>
            </w:pPr>
            <w:r>
              <w:rPr>
                <w:sz w:val="24"/>
                <w:szCs w:val="24"/>
              </w:rPr>
              <w:t>Integer</w:t>
            </w:r>
          </w:p>
        </w:tc>
        <w:tc>
          <w:tcPr>
            <w:tcW w:w="990" w:type="dxa"/>
          </w:tcPr>
          <w:p w:rsidR="006D6820" w:rsidRPr="006F3752" w:rsidRDefault="006D6820" w:rsidP="006D6820">
            <w:pPr>
              <w:jc w:val="center"/>
              <w:rPr>
                <w:sz w:val="24"/>
                <w:szCs w:val="24"/>
                <w:highlight w:val="yellow"/>
              </w:rPr>
            </w:pPr>
            <w:r w:rsidRPr="0073678D">
              <w:rPr>
                <w:sz w:val="24"/>
                <w:szCs w:val="24"/>
              </w:rPr>
              <w:t>0-</w:t>
            </w:r>
            <w:r>
              <w:rPr>
                <w:sz w:val="24"/>
                <w:szCs w:val="24"/>
              </w:rPr>
              <w:t>65535</w:t>
            </w:r>
          </w:p>
        </w:tc>
        <w:tc>
          <w:tcPr>
            <w:tcW w:w="3505" w:type="dxa"/>
          </w:tcPr>
          <w:p w:rsidR="006D6820" w:rsidRPr="006F3752" w:rsidRDefault="006D6820" w:rsidP="006D6820">
            <w:pPr>
              <w:jc w:val="both"/>
              <w:rPr>
                <w:sz w:val="24"/>
                <w:szCs w:val="24"/>
                <w:highlight w:val="yellow"/>
              </w:rPr>
            </w:pPr>
            <w:r>
              <w:rPr>
                <w:sz w:val="24"/>
                <w:szCs w:val="24"/>
              </w:rPr>
              <w:t>This attribute specify the no of Vertical Pixel in the 2D Display Transmitter</w:t>
            </w:r>
          </w:p>
        </w:tc>
      </w:tr>
      <w:tr w:rsidR="006D6820" w:rsidTr="00787F4A">
        <w:tc>
          <w:tcPr>
            <w:tcW w:w="2245" w:type="dxa"/>
          </w:tcPr>
          <w:p w:rsidR="006D6820" w:rsidRDefault="00332206" w:rsidP="00332206">
            <w:pPr>
              <w:rPr>
                <w:sz w:val="24"/>
                <w:szCs w:val="24"/>
              </w:rPr>
            </w:pPr>
            <w:proofErr w:type="spellStart"/>
            <w:r>
              <w:rPr>
                <w:sz w:val="24"/>
                <w:szCs w:val="24"/>
              </w:rPr>
              <w:t>phyIDE</w:t>
            </w:r>
            <w:r w:rsidR="006D6820">
              <w:rPr>
                <w:sz w:val="24"/>
                <w:szCs w:val="24"/>
              </w:rPr>
              <w:t>Frequency</w:t>
            </w:r>
            <w:proofErr w:type="spellEnd"/>
          </w:p>
        </w:tc>
        <w:tc>
          <w:tcPr>
            <w:tcW w:w="1260" w:type="dxa"/>
          </w:tcPr>
          <w:p w:rsidR="006D6820" w:rsidRDefault="006D6820" w:rsidP="006D6820">
            <w:pPr>
              <w:jc w:val="center"/>
              <w:rPr>
                <w:sz w:val="24"/>
                <w:szCs w:val="24"/>
              </w:rPr>
            </w:pPr>
            <w:r>
              <w:rPr>
                <w:sz w:val="24"/>
                <w:szCs w:val="24"/>
              </w:rPr>
              <w:t>0x13</w:t>
            </w:r>
          </w:p>
        </w:tc>
        <w:tc>
          <w:tcPr>
            <w:tcW w:w="1350" w:type="dxa"/>
          </w:tcPr>
          <w:p w:rsidR="006D6820" w:rsidRPr="00647722" w:rsidRDefault="006D6820" w:rsidP="006D6820">
            <w:pPr>
              <w:jc w:val="center"/>
              <w:rPr>
                <w:sz w:val="24"/>
                <w:szCs w:val="24"/>
              </w:rPr>
            </w:pPr>
            <w:r>
              <w:rPr>
                <w:sz w:val="24"/>
                <w:szCs w:val="24"/>
              </w:rPr>
              <w:t>Integer</w:t>
            </w:r>
          </w:p>
        </w:tc>
        <w:tc>
          <w:tcPr>
            <w:tcW w:w="990" w:type="dxa"/>
          </w:tcPr>
          <w:p w:rsidR="006D6820" w:rsidRPr="006F3752" w:rsidRDefault="006D6820" w:rsidP="006D6820">
            <w:pPr>
              <w:jc w:val="center"/>
              <w:rPr>
                <w:sz w:val="24"/>
                <w:szCs w:val="24"/>
                <w:highlight w:val="yellow"/>
              </w:rPr>
            </w:pPr>
            <w:r w:rsidRPr="0073678D">
              <w:rPr>
                <w:sz w:val="24"/>
                <w:szCs w:val="24"/>
              </w:rPr>
              <w:t>0-</w:t>
            </w:r>
            <w:r>
              <w:rPr>
                <w:sz w:val="24"/>
                <w:szCs w:val="24"/>
              </w:rPr>
              <w:t>65535</w:t>
            </w:r>
          </w:p>
        </w:tc>
        <w:tc>
          <w:tcPr>
            <w:tcW w:w="3505" w:type="dxa"/>
          </w:tcPr>
          <w:p w:rsidR="006D6820" w:rsidRPr="006F3752" w:rsidRDefault="006D6820" w:rsidP="006D6820">
            <w:pPr>
              <w:jc w:val="both"/>
              <w:rPr>
                <w:sz w:val="24"/>
                <w:szCs w:val="24"/>
                <w:highlight w:val="yellow"/>
              </w:rPr>
            </w:pPr>
            <w:r>
              <w:rPr>
                <w:sz w:val="24"/>
                <w:szCs w:val="24"/>
              </w:rPr>
              <w:t xml:space="preserve">This attribute specify the frame rate of IDE  sequence Transmission </w:t>
            </w:r>
          </w:p>
        </w:tc>
      </w:tr>
    </w:tbl>
    <w:p w:rsidR="00082C7B" w:rsidRDefault="00082C7B">
      <w:pPr>
        <w:rPr>
          <w:rFonts w:ascii="TimesNewRomanPSMT" w:hAnsi="TimesNewRomanPSMT" w:cs="TimesNewRomanPSMT"/>
          <w:sz w:val="20"/>
          <w:szCs w:val="20"/>
        </w:rPr>
      </w:pPr>
    </w:p>
    <w:p w:rsidR="00082C7B" w:rsidRDefault="00F27229" w:rsidP="00970272">
      <w:pPr>
        <w:jc w:val="center"/>
        <w:rPr>
          <w:rFonts w:ascii="Arial" w:hAnsi="Arial" w:cs="Arial"/>
          <w:b/>
          <w:color w:val="FF0000"/>
          <w:sz w:val="24"/>
          <w:szCs w:val="24"/>
        </w:rPr>
      </w:pPr>
      <w:r w:rsidRPr="007F1182">
        <w:rPr>
          <w:rFonts w:ascii="Arial" w:hAnsi="Arial" w:cs="Arial"/>
          <w:b/>
          <w:color w:val="FF0000"/>
          <w:sz w:val="24"/>
          <w:szCs w:val="24"/>
        </w:rPr>
        <w:t xml:space="preserve">Table </w:t>
      </w:r>
      <w:r w:rsidR="00970272">
        <w:rPr>
          <w:rFonts w:ascii="Arial" w:hAnsi="Arial" w:cs="Arial"/>
          <w:b/>
          <w:color w:val="FF0000"/>
          <w:sz w:val="24"/>
          <w:szCs w:val="24"/>
        </w:rPr>
        <w:t>1</w:t>
      </w:r>
      <w:r w:rsidR="00742C56">
        <w:rPr>
          <w:rFonts w:ascii="Arial" w:hAnsi="Arial" w:cs="Arial"/>
          <w:b/>
          <w:color w:val="FF0000"/>
          <w:sz w:val="24"/>
          <w:szCs w:val="24"/>
        </w:rPr>
        <w:t>79</w:t>
      </w:r>
      <w:r w:rsidR="00970272">
        <w:rPr>
          <w:rFonts w:ascii="Arial" w:hAnsi="Arial" w:cs="Arial"/>
          <w:b/>
          <w:color w:val="FF0000"/>
          <w:sz w:val="24"/>
          <w:szCs w:val="24"/>
        </w:rPr>
        <w:t xml:space="preserve"> </w:t>
      </w:r>
      <w:r w:rsidR="00AB12DF">
        <w:rPr>
          <w:rFonts w:ascii="Arial" w:hAnsi="Arial" w:cs="Arial"/>
          <w:b/>
          <w:color w:val="FF0000"/>
          <w:sz w:val="24"/>
          <w:szCs w:val="24"/>
        </w:rPr>
        <w:t xml:space="preserve">- </w:t>
      </w:r>
      <w:r w:rsidRPr="007F1182">
        <w:rPr>
          <w:rFonts w:ascii="Arial" w:hAnsi="Arial" w:cs="Arial"/>
          <w:b/>
          <w:color w:val="FF0000"/>
          <w:sz w:val="24"/>
          <w:szCs w:val="24"/>
        </w:rPr>
        <w:t>PHY PIB attributes (continued</w:t>
      </w:r>
      <w:r w:rsidR="006D6820">
        <w:rPr>
          <w:rFonts w:ascii="Arial" w:hAnsi="Arial" w:cs="Arial"/>
          <w:b/>
          <w:color w:val="FF0000"/>
          <w:sz w:val="24"/>
          <w:szCs w:val="24"/>
        </w:rPr>
        <w:t xml:space="preserve"> for Invisible Data Embedding</w:t>
      </w:r>
      <w:r w:rsidRPr="007F1182">
        <w:rPr>
          <w:rFonts w:ascii="Arial" w:hAnsi="Arial" w:cs="Arial"/>
          <w:b/>
          <w:color w:val="FF0000"/>
          <w:sz w:val="24"/>
          <w:szCs w:val="24"/>
        </w:rPr>
        <w:t>)</w:t>
      </w:r>
    </w:p>
    <w:sectPr w:rsidR="00082C7B" w:rsidSect="00D12C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37D" w:rsidRDefault="005C437D" w:rsidP="00065CB2">
      <w:pPr>
        <w:spacing w:after="0" w:line="240" w:lineRule="auto"/>
      </w:pPr>
      <w:r>
        <w:separator/>
      </w:r>
    </w:p>
  </w:endnote>
  <w:endnote w:type="continuationSeparator" w:id="0">
    <w:p w:rsidR="005C437D" w:rsidRDefault="005C437D"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97" w:rsidRDefault="00CD6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rsidR="00BF39B9">
      <w:tab/>
      <w:t>SNUST</w:t>
    </w:r>
  </w:p>
  <w:p w:rsidR="00C16C42" w:rsidRDefault="00C16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97" w:rsidRDefault="00CD6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37D" w:rsidRDefault="005C437D" w:rsidP="00065CB2">
      <w:pPr>
        <w:spacing w:after="0" w:line="240" w:lineRule="auto"/>
      </w:pPr>
      <w:r>
        <w:separator/>
      </w:r>
    </w:p>
  </w:footnote>
  <w:footnote w:type="continuationSeparator" w:id="0">
    <w:p w:rsidR="005C437D" w:rsidRDefault="005C437D"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97" w:rsidRDefault="00CD6A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874142">
      <w:rPr>
        <w:b/>
        <w:noProof/>
        <w:sz w:val="28"/>
      </w:rPr>
      <w:t>May, 2017</w:t>
    </w:r>
    <w:r>
      <w:rPr>
        <w:b/>
        <w:sz w:val="28"/>
      </w:rPr>
      <w:fldChar w:fldCharType="end"/>
    </w:r>
    <w:r>
      <w:rPr>
        <w:b/>
        <w:sz w:val="28"/>
      </w:rPr>
      <w:t xml:space="preserve">                                                              </w:t>
    </w:r>
    <w:r w:rsidR="00765ED5">
      <w:rPr>
        <w:b/>
        <w:sz w:val="28"/>
      </w:rPr>
      <w:t xml:space="preserve">  </w:t>
    </w:r>
    <w:r w:rsidR="00C8125A">
      <w:rPr>
        <w:b/>
        <w:sz w:val="28"/>
      </w:rPr>
      <w:t xml:space="preserve">      </w:t>
    </w:r>
    <w:r w:rsidR="00765ED5">
      <w:rPr>
        <w:b/>
        <w:sz w:val="28"/>
      </w:rPr>
      <w:t xml:space="preserve">  </w:t>
    </w:r>
    <w:r>
      <w:rPr>
        <w:b/>
        <w:sz w:val="28"/>
      </w:rPr>
      <w:t>IEEE P802.</w:t>
    </w:r>
    <w:r w:rsidRPr="007361B0">
      <w:t xml:space="preserve"> </w:t>
    </w:r>
    <w:r w:rsidRPr="007361B0">
      <w:rPr>
        <w:b/>
        <w:sz w:val="28"/>
      </w:rPr>
      <w:t>15-1</w:t>
    </w:r>
    <w:r w:rsidR="00FD746F">
      <w:rPr>
        <w:b/>
        <w:sz w:val="28"/>
      </w:rPr>
      <w:t>7</w:t>
    </w:r>
    <w:r w:rsidRPr="007361B0">
      <w:rPr>
        <w:b/>
        <w:sz w:val="28"/>
      </w:rPr>
      <w:t>-</w:t>
    </w:r>
    <w:r w:rsidR="00CD6A97" w:rsidRPr="00CD6A97">
      <w:t xml:space="preserve"> </w:t>
    </w:r>
    <w:r w:rsidR="00CD6A97" w:rsidRPr="00CD6A97">
      <w:rPr>
        <w:b/>
        <w:sz w:val="28"/>
      </w:rPr>
      <w:t>0313</w:t>
    </w:r>
    <w:bookmarkStart w:id="3" w:name="_GoBack"/>
    <w:bookmarkEnd w:id="3"/>
    <w:r w:rsidRPr="007361B0">
      <w:rPr>
        <w:b/>
        <w:sz w:val="28"/>
      </w:rPr>
      <w:t>-0</w:t>
    </w:r>
    <w:r w:rsidR="00646508">
      <w:rPr>
        <w:b/>
        <w:sz w:val="28"/>
      </w:rPr>
      <w:t>0</w:t>
    </w:r>
    <w:r w:rsidRPr="007361B0">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97" w:rsidRDefault="00CD6A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8E45BF"/>
    <w:multiLevelType w:val="multilevel"/>
    <w:tmpl w:val="E6724CE0"/>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CD60C8"/>
    <w:multiLevelType w:val="multilevel"/>
    <w:tmpl w:val="35AA4D42"/>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E74971"/>
    <w:multiLevelType w:val="multilevel"/>
    <w:tmpl w:val="83D63B3E"/>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A195425"/>
    <w:multiLevelType w:val="multilevel"/>
    <w:tmpl w:val="A6A820E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106CE"/>
    <w:multiLevelType w:val="hybridMultilevel"/>
    <w:tmpl w:val="74E609A6"/>
    <w:lvl w:ilvl="0" w:tplc="B360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5"/>
  </w:num>
  <w:num w:numId="4">
    <w:abstractNumId w:val="7"/>
  </w:num>
  <w:num w:numId="5">
    <w:abstractNumId w:val="6"/>
  </w:num>
  <w:num w:numId="6">
    <w:abstractNumId w:val="8"/>
  </w:num>
  <w:num w:numId="7">
    <w:abstractNumId w:val="5"/>
  </w:num>
  <w:num w:numId="8">
    <w:abstractNumId w:val="13"/>
  </w:num>
  <w:num w:numId="9">
    <w:abstractNumId w:val="14"/>
  </w:num>
  <w:num w:numId="10">
    <w:abstractNumId w:val="10"/>
  </w:num>
  <w:num w:numId="11">
    <w:abstractNumId w:val="0"/>
  </w:num>
  <w:num w:numId="12">
    <w:abstractNumId w:val="9"/>
  </w:num>
  <w:num w:numId="13">
    <w:abstractNumId w:val="1"/>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1A54"/>
    <w:rsid w:val="00042ABB"/>
    <w:rsid w:val="0004687B"/>
    <w:rsid w:val="00060B22"/>
    <w:rsid w:val="0006151B"/>
    <w:rsid w:val="00064194"/>
    <w:rsid w:val="00065CB2"/>
    <w:rsid w:val="00066E31"/>
    <w:rsid w:val="00082C7B"/>
    <w:rsid w:val="00087B7A"/>
    <w:rsid w:val="0009255B"/>
    <w:rsid w:val="000A1B61"/>
    <w:rsid w:val="000A1DE1"/>
    <w:rsid w:val="000A326D"/>
    <w:rsid w:val="000A499B"/>
    <w:rsid w:val="000A7F5D"/>
    <w:rsid w:val="000B3001"/>
    <w:rsid w:val="000B340B"/>
    <w:rsid w:val="000C2DEB"/>
    <w:rsid w:val="000E2CF2"/>
    <w:rsid w:val="000E664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521A"/>
    <w:rsid w:val="0018644A"/>
    <w:rsid w:val="00190DCB"/>
    <w:rsid w:val="001A0F54"/>
    <w:rsid w:val="001B2D62"/>
    <w:rsid w:val="001B51E2"/>
    <w:rsid w:val="001C01D3"/>
    <w:rsid w:val="001C1FD8"/>
    <w:rsid w:val="001D7C65"/>
    <w:rsid w:val="001E0DC5"/>
    <w:rsid w:val="001E3047"/>
    <w:rsid w:val="001E5D1B"/>
    <w:rsid w:val="001F22EB"/>
    <w:rsid w:val="001F69AE"/>
    <w:rsid w:val="001F783F"/>
    <w:rsid w:val="00203C34"/>
    <w:rsid w:val="0020475A"/>
    <w:rsid w:val="002050C2"/>
    <w:rsid w:val="00205DA7"/>
    <w:rsid w:val="00216AD0"/>
    <w:rsid w:val="002263CB"/>
    <w:rsid w:val="00231A25"/>
    <w:rsid w:val="0023699C"/>
    <w:rsid w:val="00240DAC"/>
    <w:rsid w:val="00251127"/>
    <w:rsid w:val="00252FB7"/>
    <w:rsid w:val="002641EC"/>
    <w:rsid w:val="0027072E"/>
    <w:rsid w:val="002874E1"/>
    <w:rsid w:val="002A37AA"/>
    <w:rsid w:val="002A3DEC"/>
    <w:rsid w:val="002B0E21"/>
    <w:rsid w:val="002C2ABB"/>
    <w:rsid w:val="002D0EFA"/>
    <w:rsid w:val="002E7D41"/>
    <w:rsid w:val="002F036A"/>
    <w:rsid w:val="002F08A1"/>
    <w:rsid w:val="002F0903"/>
    <w:rsid w:val="002F42B8"/>
    <w:rsid w:val="00305339"/>
    <w:rsid w:val="0030573A"/>
    <w:rsid w:val="00324E9B"/>
    <w:rsid w:val="00326B34"/>
    <w:rsid w:val="00327B57"/>
    <w:rsid w:val="00332206"/>
    <w:rsid w:val="00345A3D"/>
    <w:rsid w:val="00346D98"/>
    <w:rsid w:val="00352433"/>
    <w:rsid w:val="00354DF1"/>
    <w:rsid w:val="00355684"/>
    <w:rsid w:val="003558C3"/>
    <w:rsid w:val="00355ABC"/>
    <w:rsid w:val="0036269F"/>
    <w:rsid w:val="0036312C"/>
    <w:rsid w:val="00370E6A"/>
    <w:rsid w:val="00380DF1"/>
    <w:rsid w:val="00380E66"/>
    <w:rsid w:val="00383098"/>
    <w:rsid w:val="003865C0"/>
    <w:rsid w:val="00390334"/>
    <w:rsid w:val="003971E8"/>
    <w:rsid w:val="003A6AC5"/>
    <w:rsid w:val="003B465B"/>
    <w:rsid w:val="003C0EBD"/>
    <w:rsid w:val="003C58AA"/>
    <w:rsid w:val="003D24FB"/>
    <w:rsid w:val="003E2193"/>
    <w:rsid w:val="003F6F9E"/>
    <w:rsid w:val="00406F98"/>
    <w:rsid w:val="00407F6B"/>
    <w:rsid w:val="004107B9"/>
    <w:rsid w:val="00413354"/>
    <w:rsid w:val="00413764"/>
    <w:rsid w:val="00415C23"/>
    <w:rsid w:val="0041752F"/>
    <w:rsid w:val="00417A05"/>
    <w:rsid w:val="00421C6A"/>
    <w:rsid w:val="004249A8"/>
    <w:rsid w:val="00425DB0"/>
    <w:rsid w:val="0043052A"/>
    <w:rsid w:val="004511D6"/>
    <w:rsid w:val="00455B15"/>
    <w:rsid w:val="00466325"/>
    <w:rsid w:val="00473AA3"/>
    <w:rsid w:val="004743A1"/>
    <w:rsid w:val="00476970"/>
    <w:rsid w:val="0048185E"/>
    <w:rsid w:val="00484A13"/>
    <w:rsid w:val="004852A9"/>
    <w:rsid w:val="0048695A"/>
    <w:rsid w:val="00491AD6"/>
    <w:rsid w:val="0049750C"/>
    <w:rsid w:val="004A20CB"/>
    <w:rsid w:val="004A7E4D"/>
    <w:rsid w:val="004B2D98"/>
    <w:rsid w:val="004B47E3"/>
    <w:rsid w:val="004B71AE"/>
    <w:rsid w:val="004C5A94"/>
    <w:rsid w:val="004E18E5"/>
    <w:rsid w:val="004E7B8B"/>
    <w:rsid w:val="004F040B"/>
    <w:rsid w:val="004F275E"/>
    <w:rsid w:val="005001A8"/>
    <w:rsid w:val="00505E0E"/>
    <w:rsid w:val="0051130C"/>
    <w:rsid w:val="00513485"/>
    <w:rsid w:val="005178CA"/>
    <w:rsid w:val="005226B3"/>
    <w:rsid w:val="00523D35"/>
    <w:rsid w:val="00526464"/>
    <w:rsid w:val="005279EC"/>
    <w:rsid w:val="00532CEB"/>
    <w:rsid w:val="00533C37"/>
    <w:rsid w:val="00534561"/>
    <w:rsid w:val="00543397"/>
    <w:rsid w:val="005450AB"/>
    <w:rsid w:val="0057071F"/>
    <w:rsid w:val="00573FE3"/>
    <w:rsid w:val="005812DF"/>
    <w:rsid w:val="00581E09"/>
    <w:rsid w:val="00585AE7"/>
    <w:rsid w:val="005936B8"/>
    <w:rsid w:val="005C0EB5"/>
    <w:rsid w:val="005C2E66"/>
    <w:rsid w:val="005C437D"/>
    <w:rsid w:val="005C797E"/>
    <w:rsid w:val="005D0744"/>
    <w:rsid w:val="005D3DAF"/>
    <w:rsid w:val="005D566E"/>
    <w:rsid w:val="005D57CD"/>
    <w:rsid w:val="005F6F10"/>
    <w:rsid w:val="006060DF"/>
    <w:rsid w:val="00613D09"/>
    <w:rsid w:val="0062527D"/>
    <w:rsid w:val="0062731A"/>
    <w:rsid w:val="0063564C"/>
    <w:rsid w:val="00636885"/>
    <w:rsid w:val="00641FBA"/>
    <w:rsid w:val="006460B9"/>
    <w:rsid w:val="00646508"/>
    <w:rsid w:val="00653D10"/>
    <w:rsid w:val="0066796F"/>
    <w:rsid w:val="00670D26"/>
    <w:rsid w:val="006910A8"/>
    <w:rsid w:val="0069265A"/>
    <w:rsid w:val="00692FDD"/>
    <w:rsid w:val="006A598A"/>
    <w:rsid w:val="006B27A9"/>
    <w:rsid w:val="006C2A8E"/>
    <w:rsid w:val="006D05E0"/>
    <w:rsid w:val="006D150C"/>
    <w:rsid w:val="006D6820"/>
    <w:rsid w:val="006E003A"/>
    <w:rsid w:val="006F0671"/>
    <w:rsid w:val="006F0C7B"/>
    <w:rsid w:val="007043C7"/>
    <w:rsid w:val="00715C78"/>
    <w:rsid w:val="00717B21"/>
    <w:rsid w:val="00717DA2"/>
    <w:rsid w:val="00721212"/>
    <w:rsid w:val="0072567F"/>
    <w:rsid w:val="007303D8"/>
    <w:rsid w:val="00730A95"/>
    <w:rsid w:val="007361B0"/>
    <w:rsid w:val="00742C56"/>
    <w:rsid w:val="00746201"/>
    <w:rsid w:val="00752532"/>
    <w:rsid w:val="007600A0"/>
    <w:rsid w:val="00765ED5"/>
    <w:rsid w:val="00771F1C"/>
    <w:rsid w:val="007723DC"/>
    <w:rsid w:val="00782342"/>
    <w:rsid w:val="00787F4A"/>
    <w:rsid w:val="0079109D"/>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6DB4"/>
    <w:rsid w:val="00805B3B"/>
    <w:rsid w:val="00817535"/>
    <w:rsid w:val="0082688E"/>
    <w:rsid w:val="00832AD7"/>
    <w:rsid w:val="008343E0"/>
    <w:rsid w:val="00834D0A"/>
    <w:rsid w:val="008367E1"/>
    <w:rsid w:val="00837830"/>
    <w:rsid w:val="00843825"/>
    <w:rsid w:val="00844130"/>
    <w:rsid w:val="008452EE"/>
    <w:rsid w:val="0084769B"/>
    <w:rsid w:val="00852045"/>
    <w:rsid w:val="00857CDF"/>
    <w:rsid w:val="00873C1E"/>
    <w:rsid w:val="00874142"/>
    <w:rsid w:val="00875575"/>
    <w:rsid w:val="008808CD"/>
    <w:rsid w:val="00880A54"/>
    <w:rsid w:val="00892DE8"/>
    <w:rsid w:val="0089675E"/>
    <w:rsid w:val="008A0FEB"/>
    <w:rsid w:val="008A1271"/>
    <w:rsid w:val="008A2F9A"/>
    <w:rsid w:val="008A53BD"/>
    <w:rsid w:val="008C5E33"/>
    <w:rsid w:val="008C7F8E"/>
    <w:rsid w:val="008E0868"/>
    <w:rsid w:val="008E18D5"/>
    <w:rsid w:val="008E48CD"/>
    <w:rsid w:val="008E4FE3"/>
    <w:rsid w:val="008E6D24"/>
    <w:rsid w:val="008E72BA"/>
    <w:rsid w:val="008F7E30"/>
    <w:rsid w:val="009015C1"/>
    <w:rsid w:val="0092083B"/>
    <w:rsid w:val="0092732D"/>
    <w:rsid w:val="00942577"/>
    <w:rsid w:val="00946FAD"/>
    <w:rsid w:val="00946FE3"/>
    <w:rsid w:val="009532FF"/>
    <w:rsid w:val="00970272"/>
    <w:rsid w:val="00977DFD"/>
    <w:rsid w:val="00985C5E"/>
    <w:rsid w:val="0099644A"/>
    <w:rsid w:val="009A2355"/>
    <w:rsid w:val="009A5534"/>
    <w:rsid w:val="009A5A13"/>
    <w:rsid w:val="009C17DC"/>
    <w:rsid w:val="009C2DB7"/>
    <w:rsid w:val="009C6CA2"/>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928E4"/>
    <w:rsid w:val="00A96D54"/>
    <w:rsid w:val="00A97E27"/>
    <w:rsid w:val="00AB12DF"/>
    <w:rsid w:val="00AC2A5B"/>
    <w:rsid w:val="00AC708A"/>
    <w:rsid w:val="00AD380F"/>
    <w:rsid w:val="00AD69AE"/>
    <w:rsid w:val="00AD7DF0"/>
    <w:rsid w:val="00AE2C2F"/>
    <w:rsid w:val="00AF00D3"/>
    <w:rsid w:val="00AF00D9"/>
    <w:rsid w:val="00AF5E0A"/>
    <w:rsid w:val="00B0239A"/>
    <w:rsid w:val="00B049E3"/>
    <w:rsid w:val="00B107EB"/>
    <w:rsid w:val="00B14440"/>
    <w:rsid w:val="00B16F83"/>
    <w:rsid w:val="00B267D3"/>
    <w:rsid w:val="00B32123"/>
    <w:rsid w:val="00B41384"/>
    <w:rsid w:val="00B41532"/>
    <w:rsid w:val="00B42ADC"/>
    <w:rsid w:val="00B432F1"/>
    <w:rsid w:val="00B462B6"/>
    <w:rsid w:val="00B46BB7"/>
    <w:rsid w:val="00B47064"/>
    <w:rsid w:val="00B56A8A"/>
    <w:rsid w:val="00B6795E"/>
    <w:rsid w:val="00B67A3E"/>
    <w:rsid w:val="00B711CE"/>
    <w:rsid w:val="00B737D4"/>
    <w:rsid w:val="00B73948"/>
    <w:rsid w:val="00B75EB2"/>
    <w:rsid w:val="00B7612B"/>
    <w:rsid w:val="00B847A3"/>
    <w:rsid w:val="00B86EB9"/>
    <w:rsid w:val="00B91774"/>
    <w:rsid w:val="00B92D3F"/>
    <w:rsid w:val="00B93C67"/>
    <w:rsid w:val="00BA3F2E"/>
    <w:rsid w:val="00BB6D1E"/>
    <w:rsid w:val="00BC3186"/>
    <w:rsid w:val="00BD298D"/>
    <w:rsid w:val="00BD4B22"/>
    <w:rsid w:val="00BE6638"/>
    <w:rsid w:val="00BF39B9"/>
    <w:rsid w:val="00BF78CD"/>
    <w:rsid w:val="00C0221B"/>
    <w:rsid w:val="00C03199"/>
    <w:rsid w:val="00C033C7"/>
    <w:rsid w:val="00C07938"/>
    <w:rsid w:val="00C11E02"/>
    <w:rsid w:val="00C14C7E"/>
    <w:rsid w:val="00C160C8"/>
    <w:rsid w:val="00C16C42"/>
    <w:rsid w:val="00C16DAB"/>
    <w:rsid w:val="00C22471"/>
    <w:rsid w:val="00C23580"/>
    <w:rsid w:val="00C35695"/>
    <w:rsid w:val="00C36399"/>
    <w:rsid w:val="00C37223"/>
    <w:rsid w:val="00C401A6"/>
    <w:rsid w:val="00C44A75"/>
    <w:rsid w:val="00C46C0B"/>
    <w:rsid w:val="00C47E59"/>
    <w:rsid w:val="00C50554"/>
    <w:rsid w:val="00C63F41"/>
    <w:rsid w:val="00C656CB"/>
    <w:rsid w:val="00C73029"/>
    <w:rsid w:val="00C766F3"/>
    <w:rsid w:val="00C8125A"/>
    <w:rsid w:val="00C8650A"/>
    <w:rsid w:val="00C900B5"/>
    <w:rsid w:val="00C90E4E"/>
    <w:rsid w:val="00CB558B"/>
    <w:rsid w:val="00CB6F33"/>
    <w:rsid w:val="00CC1F68"/>
    <w:rsid w:val="00CD0EFC"/>
    <w:rsid w:val="00CD57ED"/>
    <w:rsid w:val="00CD6A97"/>
    <w:rsid w:val="00CD7583"/>
    <w:rsid w:val="00CE1C9C"/>
    <w:rsid w:val="00CF266B"/>
    <w:rsid w:val="00D05732"/>
    <w:rsid w:val="00D12CF2"/>
    <w:rsid w:val="00D14D57"/>
    <w:rsid w:val="00D15F66"/>
    <w:rsid w:val="00D20A16"/>
    <w:rsid w:val="00D275F5"/>
    <w:rsid w:val="00D32AB9"/>
    <w:rsid w:val="00D363ED"/>
    <w:rsid w:val="00D36681"/>
    <w:rsid w:val="00D411C4"/>
    <w:rsid w:val="00D42EFC"/>
    <w:rsid w:val="00D43F52"/>
    <w:rsid w:val="00D6059E"/>
    <w:rsid w:val="00D611ED"/>
    <w:rsid w:val="00D650A4"/>
    <w:rsid w:val="00D66FBF"/>
    <w:rsid w:val="00D82D05"/>
    <w:rsid w:val="00D90FAF"/>
    <w:rsid w:val="00D95E9E"/>
    <w:rsid w:val="00DA1130"/>
    <w:rsid w:val="00DA7BE8"/>
    <w:rsid w:val="00DB0017"/>
    <w:rsid w:val="00DB37BA"/>
    <w:rsid w:val="00DB68A2"/>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29"/>
    <w:rsid w:val="00E64838"/>
    <w:rsid w:val="00E65843"/>
    <w:rsid w:val="00E771E2"/>
    <w:rsid w:val="00E929D0"/>
    <w:rsid w:val="00E94EA1"/>
    <w:rsid w:val="00E977C2"/>
    <w:rsid w:val="00EA2779"/>
    <w:rsid w:val="00EA7FBB"/>
    <w:rsid w:val="00EB1883"/>
    <w:rsid w:val="00EB54F6"/>
    <w:rsid w:val="00EC7F01"/>
    <w:rsid w:val="00ED10CF"/>
    <w:rsid w:val="00EE1EDB"/>
    <w:rsid w:val="00EE4CC3"/>
    <w:rsid w:val="00EF00CE"/>
    <w:rsid w:val="00EF1EE5"/>
    <w:rsid w:val="00EF4E43"/>
    <w:rsid w:val="00EF58AB"/>
    <w:rsid w:val="00EF7B91"/>
    <w:rsid w:val="00F24206"/>
    <w:rsid w:val="00F24AEE"/>
    <w:rsid w:val="00F27229"/>
    <w:rsid w:val="00F3239E"/>
    <w:rsid w:val="00F33B81"/>
    <w:rsid w:val="00F4185E"/>
    <w:rsid w:val="00F435DE"/>
    <w:rsid w:val="00F4581F"/>
    <w:rsid w:val="00F46542"/>
    <w:rsid w:val="00F530A9"/>
    <w:rsid w:val="00F540BC"/>
    <w:rsid w:val="00F57DE4"/>
    <w:rsid w:val="00F62BAF"/>
    <w:rsid w:val="00F667F1"/>
    <w:rsid w:val="00F71A20"/>
    <w:rsid w:val="00F74590"/>
    <w:rsid w:val="00F87D50"/>
    <w:rsid w:val="00F90B3D"/>
    <w:rsid w:val="00F96F91"/>
    <w:rsid w:val="00FA1AD1"/>
    <w:rsid w:val="00FA361A"/>
    <w:rsid w:val="00FA38EB"/>
    <w:rsid w:val="00FA51FB"/>
    <w:rsid w:val="00FA6302"/>
    <w:rsid w:val="00FB2D3C"/>
    <w:rsid w:val="00FB4411"/>
    <w:rsid w:val="00FC0011"/>
    <w:rsid w:val="00FC551A"/>
    <w:rsid w:val="00FD3969"/>
    <w:rsid w:val="00FD4C18"/>
    <w:rsid w:val="00FD746F"/>
    <w:rsid w:val="00FE13E1"/>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1841696512">
      <w:bodyDiv w:val="1"/>
      <w:marLeft w:val="0"/>
      <w:marRight w:val="0"/>
      <w:marTop w:val="0"/>
      <w:marBottom w:val="0"/>
      <w:divBdr>
        <w:top w:val="none" w:sz="0" w:space="0" w:color="auto"/>
        <w:left w:val="none" w:sz="0" w:space="0" w:color="auto"/>
        <w:bottom w:val="none" w:sz="0" w:space="0" w:color="auto"/>
        <w:right w:val="none" w:sz="0" w:space="0" w:color="auto"/>
      </w:divBdr>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BEE4-474C-4D86-9306-ED77397B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5</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124</cp:revision>
  <cp:lastPrinted>2016-03-07T13:32:00Z</cp:lastPrinted>
  <dcterms:created xsi:type="dcterms:W3CDTF">2016-05-02T15:27:00Z</dcterms:created>
  <dcterms:modified xsi:type="dcterms:W3CDTF">2017-05-11T04:40:00Z</dcterms:modified>
</cp:coreProperties>
</file>