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80" w:rsidRPr="00F1788E" w:rsidRDefault="00AC5D80" w:rsidP="00AC5D80">
      <w:pPr>
        <w:pStyle w:val="Heading1"/>
        <w:rPr>
          <w:sz w:val="18"/>
        </w:rPr>
      </w:pP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C5D80" w:rsidRDefault="00AC5D80" w:rsidP="00AC5D80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FF08A2">
            <w:pPr>
              <w:pStyle w:val="covertext"/>
            </w:pPr>
            <w:r>
              <w:rPr>
                <w:b/>
                <w:sz w:val="28"/>
              </w:rPr>
              <w:t>OCC MACs configuration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6E3256">
            <w:pPr>
              <w:pStyle w:val="covertext"/>
            </w:pPr>
            <w:r w:rsidRPr="005A6601">
              <w:rPr>
                <w:noProof/>
              </w:rPr>
              <w:t>[</w:t>
            </w:r>
            <w:r w:rsidR="006E3256">
              <w:rPr>
                <w:noProof/>
              </w:rPr>
              <w:t>January 2017</w:t>
            </w:r>
            <w:r>
              <w:t>]</w:t>
            </w:r>
          </w:p>
        </w:tc>
      </w:tr>
      <w:tr w:rsidR="00AC5D80" w:rsidTr="007C74B4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Pr="00752F22" w:rsidRDefault="00AC5D80" w:rsidP="007C74B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</w:t>
            </w:r>
            <w:r w:rsidR="006E3256">
              <w:rPr>
                <w:rFonts w:ascii="Arial" w:hAnsi="Arial" w:cs="Arial"/>
                <w:szCs w:val="24"/>
              </w:rPr>
              <w:t xml:space="preserve">Nam Tuan Le, </w:t>
            </w:r>
            <w:r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AC5D80" w:rsidRPr="00D12662" w:rsidRDefault="00AC5D80" w:rsidP="007C74B4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FF08A2" w:rsidRPr="00FF08A2" w:rsidRDefault="006E3256" w:rsidP="00FF08A2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D1 comments and resolutions</w:t>
            </w:r>
          </w:p>
          <w:p w:rsidR="00AC5D80" w:rsidRDefault="00FF08A2" w:rsidP="00FF08A2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FF08A2">
            <w:pPr>
              <w:pStyle w:val="covertext"/>
            </w:pPr>
            <w:r>
              <w:t>Summary on OCC MACs</w:t>
            </w:r>
            <w:r w:rsidR="00FF08A2">
              <w:t xml:space="preserve"> </w:t>
            </w:r>
            <w:r w:rsidR="00AC5D80">
              <w:t xml:space="preserve"> 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7C74B4">
            <w:pPr>
              <w:pStyle w:val="covertext"/>
            </w:pPr>
            <w:r>
              <w:t>D1 comments and resolution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C5D80" w:rsidRPr="00204A9B" w:rsidRDefault="00AC5D80" w:rsidP="00AC5D80">
      <w:r>
        <w:br w:type="page"/>
      </w:r>
    </w:p>
    <w:p w:rsidR="00216BF9" w:rsidRPr="00815555" w:rsidRDefault="006E3256" w:rsidP="00875F0E">
      <w:pPr>
        <w:pStyle w:val="Heading1"/>
        <w:rPr>
          <w:b/>
          <w:sz w:val="26"/>
        </w:rPr>
      </w:pPr>
      <w:r w:rsidRPr="00815555">
        <w:rPr>
          <w:b/>
          <w:sz w:val="26"/>
        </w:rPr>
        <w:lastRenderedPageBreak/>
        <w:t>Summary on OCC MACs</w:t>
      </w:r>
    </w:p>
    <w:p w:rsidR="006E3256" w:rsidRPr="00AE0E8E" w:rsidRDefault="00F45CFB" w:rsidP="00875F0E">
      <w:pPr>
        <w:pStyle w:val="ListParagraph"/>
        <w:numPr>
          <w:ilvl w:val="0"/>
          <w:numId w:val="4"/>
        </w:numPr>
        <w:outlineLvl w:val="1"/>
        <w:rPr>
          <w:b/>
        </w:rPr>
      </w:pPr>
      <w:r>
        <w:rPr>
          <w:b/>
        </w:rPr>
        <w:t xml:space="preserve">MAC </w:t>
      </w:r>
      <w:proofErr w:type="spellStart"/>
      <w:r w:rsidR="006E3256" w:rsidRPr="00AE0E8E">
        <w:rPr>
          <w:b/>
        </w:rPr>
        <w:t>Supperframe</w:t>
      </w:r>
      <w:proofErr w:type="spellEnd"/>
      <w:r w:rsidR="006E3256" w:rsidRPr="00AE0E8E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130"/>
      </w:tblGrid>
      <w:tr w:rsidR="00AE0E8E" w:rsidTr="00AE0E8E">
        <w:tc>
          <w:tcPr>
            <w:tcW w:w="3955" w:type="dxa"/>
          </w:tcPr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>Unidirectional information broadcasting</w:t>
            </w:r>
          </w:p>
        </w:tc>
        <w:tc>
          <w:tcPr>
            <w:tcW w:w="5130" w:type="dxa"/>
          </w:tcPr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 xml:space="preserve">Bidirectional data transfer </w:t>
            </w:r>
          </w:p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>(OCC for both downlink and uplink)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 w:rsidP="00AE0E8E">
            <w:r>
              <w:t>PHY 4 modes</w:t>
            </w:r>
          </w:p>
        </w:tc>
        <w:tc>
          <w:tcPr>
            <w:tcW w:w="5130" w:type="dxa"/>
          </w:tcPr>
          <w:p w:rsidR="00AE0E8E" w:rsidRDefault="00AE0E8E">
            <w:r>
              <w:t>PHY 4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>
            <w:r>
              <w:t>PHY 5 modes</w:t>
            </w:r>
          </w:p>
        </w:tc>
        <w:tc>
          <w:tcPr>
            <w:tcW w:w="5130" w:type="dxa"/>
          </w:tcPr>
          <w:p w:rsidR="00AE0E8E" w:rsidRDefault="00AE0E8E">
            <w:r>
              <w:t>x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>
            <w:r>
              <w:t>PHY 6 modes</w:t>
            </w:r>
          </w:p>
        </w:tc>
        <w:tc>
          <w:tcPr>
            <w:tcW w:w="5130" w:type="dxa"/>
          </w:tcPr>
          <w:p w:rsidR="00AE0E8E" w:rsidRDefault="00AE0E8E">
            <w:r>
              <w:t xml:space="preserve">PHY 6 </w:t>
            </w:r>
          </w:p>
        </w:tc>
      </w:tr>
    </w:tbl>
    <w:p w:rsidR="00815555" w:rsidRDefault="00815555" w:rsidP="00815555">
      <w:pPr>
        <w:spacing w:after="0" w:line="240" w:lineRule="auto"/>
      </w:pPr>
    </w:p>
    <w:p w:rsidR="00AE0E8E" w:rsidRDefault="00AE0E8E" w:rsidP="006856E6">
      <w:pPr>
        <w:spacing w:after="0" w:line="240" w:lineRule="auto"/>
      </w:pPr>
      <w:r>
        <w:t>From our perspective, unidirectional information broadcasting modes shall not implement any MAC supper frame.</w:t>
      </w:r>
    </w:p>
    <w:p w:rsidR="00AE0E8E" w:rsidRDefault="00A37D49">
      <w:r>
        <w:t xml:space="preserve">On the other hand, </w:t>
      </w:r>
      <w:r w:rsidR="00AE0E8E">
        <w:t>bidirectional data transfer modes</w:t>
      </w:r>
      <w:r>
        <w:t xml:space="preserve"> shall optionally implement a simple</w:t>
      </w:r>
      <w:r w:rsidR="00407B41">
        <w:t xml:space="preserve"> channe</w:t>
      </w:r>
      <w:r>
        <w:t>l access (</w:t>
      </w:r>
      <w:r w:rsidR="00F72270">
        <w:t>e.g.</w:t>
      </w:r>
      <w:r>
        <w:t xml:space="preserve"> </w:t>
      </w:r>
      <w:proofErr w:type="spellStart"/>
      <w:r>
        <w:t>unslotted</w:t>
      </w:r>
      <w:proofErr w:type="spellEnd"/>
      <w:r>
        <w:t xml:space="preserve"> ALOHA)</w:t>
      </w:r>
      <w:r w:rsidR="00407B41">
        <w:t>. When</w:t>
      </w:r>
      <w:r>
        <w:t>ever</w:t>
      </w:r>
      <w:r w:rsidR="00407B41">
        <w:t xml:space="preserve"> TRX has data, </w:t>
      </w:r>
      <w:r>
        <w:t xml:space="preserve">it </w:t>
      </w:r>
      <w:r w:rsidR="00407B41">
        <w:t>just transmit</w:t>
      </w:r>
      <w:r>
        <w:t>s</w:t>
      </w:r>
      <w:r w:rsidR="00407B41">
        <w:t>.</w:t>
      </w:r>
    </w:p>
    <w:p w:rsidR="008D6004" w:rsidRDefault="008D6004"/>
    <w:p w:rsidR="008D6004" w:rsidRDefault="008D6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330"/>
        <w:gridCol w:w="3685"/>
      </w:tblGrid>
      <w:tr w:rsidR="008D6004" w:rsidTr="008D6004">
        <w:trPr>
          <w:trHeight w:val="548"/>
        </w:trPr>
        <w:tc>
          <w:tcPr>
            <w:tcW w:w="2335" w:type="dxa"/>
          </w:tcPr>
          <w:p w:rsidR="008D6004" w:rsidRDefault="008D6004"/>
        </w:tc>
        <w:tc>
          <w:tcPr>
            <w:tcW w:w="3330" w:type="dxa"/>
          </w:tcPr>
          <w:p w:rsidR="008D6004" w:rsidRPr="008D6004" w:rsidRDefault="008D6004" w:rsidP="008D6004">
            <w:pPr>
              <w:jc w:val="center"/>
              <w:rPr>
                <w:b/>
              </w:rPr>
            </w:pPr>
            <w:r w:rsidRPr="008D6004">
              <w:rPr>
                <w:b/>
              </w:rPr>
              <w:t>Information Broadcasting</w:t>
            </w:r>
          </w:p>
        </w:tc>
        <w:tc>
          <w:tcPr>
            <w:tcW w:w="3685" w:type="dxa"/>
          </w:tcPr>
          <w:p w:rsidR="008D6004" w:rsidRPr="008D6004" w:rsidRDefault="008D6004" w:rsidP="008D6004">
            <w:pPr>
              <w:jc w:val="center"/>
              <w:rPr>
                <w:b/>
              </w:rPr>
            </w:pPr>
            <w:r w:rsidRPr="008D6004">
              <w:rPr>
                <w:b/>
              </w:rPr>
              <w:t>Bidirectional data transfer</w:t>
            </w:r>
          </w:p>
        </w:tc>
      </w:tr>
      <w:tr w:rsidR="008D6004" w:rsidTr="00851778">
        <w:trPr>
          <w:trHeight w:val="449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Channel access</w:t>
            </w:r>
          </w:p>
        </w:tc>
        <w:tc>
          <w:tcPr>
            <w:tcW w:w="3330" w:type="dxa"/>
          </w:tcPr>
          <w:p w:rsidR="008D6004" w:rsidRDefault="008D6004">
            <w:r>
              <w:t>No</w:t>
            </w:r>
          </w:p>
        </w:tc>
        <w:tc>
          <w:tcPr>
            <w:tcW w:w="3685" w:type="dxa"/>
          </w:tcPr>
          <w:p w:rsidR="008D6004" w:rsidRDefault="008D6004" w:rsidP="008D6004">
            <w:r>
              <w:t>Yes</w:t>
            </w:r>
          </w:p>
        </w:tc>
      </w:tr>
      <w:tr w:rsidR="008D6004" w:rsidTr="00851778">
        <w:trPr>
          <w:trHeight w:val="431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Addressing</w:t>
            </w:r>
          </w:p>
        </w:tc>
        <w:tc>
          <w:tcPr>
            <w:tcW w:w="3330" w:type="dxa"/>
          </w:tcPr>
          <w:p w:rsidR="008D6004" w:rsidRDefault="008D6004">
            <w:r>
              <w:t>Source (optional)</w:t>
            </w:r>
          </w:p>
        </w:tc>
        <w:tc>
          <w:tcPr>
            <w:tcW w:w="3685" w:type="dxa"/>
          </w:tcPr>
          <w:p w:rsidR="008D6004" w:rsidRDefault="008D6004" w:rsidP="00851778">
            <w:r>
              <w:t>Source or</w:t>
            </w:r>
            <w:r w:rsidR="00851778">
              <w:t xml:space="preserve"> </w:t>
            </w:r>
            <w:r>
              <w:t>Destination</w:t>
            </w:r>
          </w:p>
        </w:tc>
      </w:tr>
      <w:tr w:rsidR="008D6004" w:rsidTr="00851778">
        <w:trPr>
          <w:trHeight w:val="449"/>
        </w:trPr>
        <w:tc>
          <w:tcPr>
            <w:tcW w:w="2335" w:type="dxa"/>
          </w:tcPr>
          <w:p w:rsidR="008D6004" w:rsidRPr="008D6004" w:rsidRDefault="008D6004" w:rsidP="008D6004">
            <w:pPr>
              <w:rPr>
                <w:b/>
              </w:rPr>
            </w:pPr>
            <w:r w:rsidRPr="008D6004">
              <w:rPr>
                <w:b/>
              </w:rPr>
              <w:t>Security</w:t>
            </w:r>
          </w:p>
        </w:tc>
        <w:tc>
          <w:tcPr>
            <w:tcW w:w="3330" w:type="dxa"/>
          </w:tcPr>
          <w:p w:rsidR="008D6004" w:rsidRDefault="008D6004" w:rsidP="008D6004">
            <w:r>
              <w:t>No</w:t>
            </w:r>
          </w:p>
        </w:tc>
        <w:tc>
          <w:tcPr>
            <w:tcW w:w="3685" w:type="dxa"/>
          </w:tcPr>
          <w:p w:rsidR="008D6004" w:rsidRDefault="008D6004" w:rsidP="008D6004">
            <w:r>
              <w:t>Optional</w:t>
            </w:r>
          </w:p>
        </w:tc>
      </w:tr>
      <w:tr w:rsidR="008D6004" w:rsidTr="00851778">
        <w:trPr>
          <w:trHeight w:val="440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Acknowledge</w:t>
            </w:r>
            <w:r w:rsidR="00851778">
              <w:rPr>
                <w:b/>
              </w:rPr>
              <w:t>ment</w:t>
            </w:r>
          </w:p>
        </w:tc>
        <w:tc>
          <w:tcPr>
            <w:tcW w:w="3330" w:type="dxa"/>
          </w:tcPr>
          <w:p w:rsidR="008D6004" w:rsidRDefault="008D6004">
            <w:r>
              <w:t>No</w:t>
            </w:r>
          </w:p>
        </w:tc>
        <w:tc>
          <w:tcPr>
            <w:tcW w:w="3685" w:type="dxa"/>
          </w:tcPr>
          <w:p w:rsidR="008D6004" w:rsidRDefault="008D6004">
            <w:r>
              <w:t>Optional (prefer NO)</w:t>
            </w:r>
          </w:p>
        </w:tc>
      </w:tr>
      <w:tr w:rsidR="008D6004" w:rsidTr="00851778">
        <w:trPr>
          <w:trHeight w:val="440"/>
        </w:trPr>
        <w:tc>
          <w:tcPr>
            <w:tcW w:w="2335" w:type="dxa"/>
          </w:tcPr>
          <w:p w:rsidR="008D6004" w:rsidRPr="006253C7" w:rsidRDefault="006253C7">
            <w:pPr>
              <w:rPr>
                <w:b/>
              </w:rPr>
            </w:pPr>
            <w:proofErr w:type="spellStart"/>
            <w:r w:rsidRPr="006253C7">
              <w:rPr>
                <w:b/>
              </w:rPr>
              <w:t>Superframe</w:t>
            </w:r>
            <w:proofErr w:type="spellEnd"/>
            <w:r w:rsidRPr="006253C7">
              <w:rPr>
                <w:b/>
              </w:rPr>
              <w:t xml:space="preserve"> structure</w:t>
            </w:r>
          </w:p>
        </w:tc>
        <w:tc>
          <w:tcPr>
            <w:tcW w:w="3330" w:type="dxa"/>
          </w:tcPr>
          <w:p w:rsidR="008D6004" w:rsidRDefault="006253C7">
            <w:r>
              <w:t>No</w:t>
            </w:r>
          </w:p>
        </w:tc>
        <w:tc>
          <w:tcPr>
            <w:tcW w:w="3685" w:type="dxa"/>
          </w:tcPr>
          <w:p w:rsidR="008D6004" w:rsidRDefault="006253C7">
            <w:r>
              <w:t>Optional</w:t>
            </w:r>
          </w:p>
        </w:tc>
      </w:tr>
    </w:tbl>
    <w:p w:rsidR="008D6004" w:rsidRDefault="008D6004"/>
    <w:p w:rsidR="0089385F" w:rsidRDefault="0089385F">
      <w:r>
        <w:br w:type="page"/>
      </w:r>
    </w:p>
    <w:p w:rsidR="006E3256" w:rsidRPr="00AE0E8E" w:rsidRDefault="006E3256" w:rsidP="00875F0E">
      <w:pPr>
        <w:pStyle w:val="ListParagraph"/>
        <w:numPr>
          <w:ilvl w:val="0"/>
          <w:numId w:val="4"/>
        </w:numPr>
        <w:outlineLvl w:val="1"/>
        <w:rPr>
          <w:b/>
        </w:rPr>
      </w:pPr>
      <w:r w:rsidRPr="00AE0E8E">
        <w:rPr>
          <w:b/>
        </w:rPr>
        <w:lastRenderedPageBreak/>
        <w:t>MAC frame formats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980"/>
        <w:gridCol w:w="2790"/>
        <w:gridCol w:w="1629"/>
        <w:gridCol w:w="1966"/>
      </w:tblGrid>
      <w:tr w:rsidR="006856E6" w:rsidTr="00C0518F">
        <w:trPr>
          <w:trHeight w:val="386"/>
        </w:trPr>
        <w:tc>
          <w:tcPr>
            <w:tcW w:w="985" w:type="dxa"/>
          </w:tcPr>
          <w:p w:rsidR="006856E6" w:rsidRDefault="006856E6"/>
        </w:tc>
        <w:tc>
          <w:tcPr>
            <w:tcW w:w="1980" w:type="dxa"/>
          </w:tcPr>
          <w:p w:rsidR="006856E6" w:rsidRDefault="006856E6"/>
        </w:tc>
        <w:tc>
          <w:tcPr>
            <w:tcW w:w="2790" w:type="dxa"/>
          </w:tcPr>
          <w:p w:rsidR="006856E6" w:rsidRPr="00851778" w:rsidRDefault="006856E6" w:rsidP="00E46006">
            <w:pPr>
              <w:jc w:val="center"/>
              <w:rPr>
                <w:b/>
              </w:rPr>
            </w:pPr>
            <w:r w:rsidRPr="00851778">
              <w:rPr>
                <w:b/>
              </w:rPr>
              <w:t>MHR</w:t>
            </w:r>
          </w:p>
        </w:tc>
        <w:tc>
          <w:tcPr>
            <w:tcW w:w="1629" w:type="dxa"/>
          </w:tcPr>
          <w:p w:rsidR="006856E6" w:rsidRPr="00851778" w:rsidRDefault="006856E6" w:rsidP="00E46006">
            <w:pPr>
              <w:jc w:val="center"/>
              <w:rPr>
                <w:b/>
              </w:rPr>
            </w:pPr>
            <w:r w:rsidRPr="00851778">
              <w:rPr>
                <w:b/>
              </w:rPr>
              <w:t>MSDU</w:t>
            </w:r>
          </w:p>
        </w:tc>
        <w:tc>
          <w:tcPr>
            <w:tcW w:w="1966" w:type="dxa"/>
          </w:tcPr>
          <w:p w:rsidR="006856E6" w:rsidRPr="00851778" w:rsidRDefault="006856E6" w:rsidP="00E46006">
            <w:pPr>
              <w:jc w:val="center"/>
              <w:rPr>
                <w:b/>
              </w:rPr>
            </w:pPr>
            <w:r w:rsidRPr="00851778">
              <w:rPr>
                <w:b/>
              </w:rPr>
              <w:t>MFR</w:t>
            </w:r>
          </w:p>
        </w:tc>
      </w:tr>
      <w:tr w:rsidR="006856E6" w:rsidTr="00FE6606">
        <w:tc>
          <w:tcPr>
            <w:tcW w:w="985" w:type="dxa"/>
          </w:tcPr>
          <w:p w:rsidR="006856E6" w:rsidRDefault="006856E6"/>
        </w:tc>
        <w:tc>
          <w:tcPr>
            <w:tcW w:w="1980" w:type="dxa"/>
          </w:tcPr>
          <w:p w:rsidR="006856E6" w:rsidRDefault="006856E6">
            <w:r>
              <w:t>IEEE 802.15.7-2011</w:t>
            </w:r>
          </w:p>
        </w:tc>
        <w:tc>
          <w:tcPr>
            <w:tcW w:w="2790" w:type="dxa"/>
          </w:tcPr>
          <w:p w:rsidR="006856E6" w:rsidRDefault="006856E6">
            <w:r>
              <w:t>Frame control: 2 octets</w:t>
            </w:r>
          </w:p>
          <w:p w:rsidR="006856E6" w:rsidRDefault="006856E6">
            <w:r>
              <w:t>Sequence No.: 1</w:t>
            </w:r>
          </w:p>
          <w:p w:rsidR="006856E6" w:rsidRDefault="006856E6">
            <w:r>
              <w:t>Addressing fields</w:t>
            </w:r>
            <w:r w:rsidR="00C0518F">
              <w:t xml:space="preserve">: </w:t>
            </w:r>
          </w:p>
          <w:p w:rsidR="006856E6" w:rsidRDefault="006856E6">
            <w:r>
              <w:t>Acknowledge field</w:t>
            </w:r>
            <w:r w:rsidR="00C0518F">
              <w:t>:</w:t>
            </w:r>
          </w:p>
          <w:p w:rsidR="006856E6" w:rsidRDefault="006856E6">
            <w:r>
              <w:t>Polling field</w:t>
            </w:r>
            <w:r w:rsidR="00C0518F">
              <w:t>:</w:t>
            </w:r>
          </w:p>
          <w:p w:rsidR="006856E6" w:rsidRDefault="006856E6">
            <w:r>
              <w:t>Security header</w:t>
            </w:r>
            <w:r w:rsidR="00C0518F">
              <w:t>: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Frame payload</w:t>
            </w:r>
          </w:p>
        </w:tc>
        <w:tc>
          <w:tcPr>
            <w:tcW w:w="1966" w:type="dxa"/>
          </w:tcPr>
          <w:p w:rsidR="006856E6" w:rsidRDefault="006856E6" w:rsidP="00E46006">
            <w:pPr>
              <w:jc w:val="center"/>
            </w:pPr>
            <w:r>
              <w:t>FCS</w:t>
            </w:r>
          </w:p>
        </w:tc>
      </w:tr>
      <w:tr w:rsidR="006856E6" w:rsidTr="00FE6606">
        <w:tc>
          <w:tcPr>
            <w:tcW w:w="985" w:type="dxa"/>
            <w:vMerge w:val="restart"/>
            <w:vAlign w:val="center"/>
          </w:tcPr>
          <w:p w:rsidR="006856E6" w:rsidRDefault="006856E6" w:rsidP="006856E6">
            <w:pPr>
              <w:jc w:val="center"/>
            </w:pPr>
            <w:r>
              <w:t>PHY 4</w:t>
            </w:r>
          </w:p>
        </w:tc>
        <w:tc>
          <w:tcPr>
            <w:tcW w:w="1980" w:type="dxa"/>
          </w:tcPr>
          <w:p w:rsidR="006856E6" w:rsidRDefault="006856E6" w:rsidP="00E46006">
            <w:r>
              <w:t>UFSOOK</w:t>
            </w:r>
          </w:p>
        </w:tc>
        <w:tc>
          <w:tcPr>
            <w:tcW w:w="2790" w:type="dxa"/>
          </w:tcPr>
          <w:p w:rsidR="006856E6" w:rsidRDefault="006856E6" w:rsidP="00E46006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6856E6" w:rsidP="00E46006">
            <w:pPr>
              <w:jc w:val="center"/>
            </w:pPr>
            <w:r>
              <w:t>CRC-3 (optional)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Default="006856E6" w:rsidP="00E46006"/>
        </w:tc>
        <w:tc>
          <w:tcPr>
            <w:tcW w:w="1980" w:type="dxa"/>
          </w:tcPr>
          <w:p w:rsidR="006856E6" w:rsidRDefault="006856E6" w:rsidP="00E46006">
            <w:r>
              <w:t>S2-PSK</w:t>
            </w:r>
          </w:p>
        </w:tc>
        <w:tc>
          <w:tcPr>
            <w:tcW w:w="2790" w:type="dxa"/>
          </w:tcPr>
          <w:p w:rsidR="006856E6" w:rsidRDefault="006856E6" w:rsidP="00E46006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6856E6" w:rsidP="00E46006">
            <w:pPr>
              <w:jc w:val="center"/>
            </w:pPr>
            <w:r>
              <w:t>x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Default="006856E6" w:rsidP="006856E6"/>
        </w:tc>
        <w:tc>
          <w:tcPr>
            <w:tcW w:w="1980" w:type="dxa"/>
          </w:tcPr>
          <w:p w:rsidR="006856E6" w:rsidRDefault="006856E6" w:rsidP="006856E6">
            <w:r>
              <w:t>S8-PSK</w:t>
            </w:r>
          </w:p>
        </w:tc>
        <w:tc>
          <w:tcPr>
            <w:tcW w:w="2790" w:type="dxa"/>
          </w:tcPr>
          <w:p w:rsidR="006856E6" w:rsidRDefault="006856E6" w:rsidP="006856E6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6856E6" w:rsidP="006856E6">
            <w:pPr>
              <w:jc w:val="center"/>
            </w:pPr>
            <w:r>
              <w:t>x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Pr="006856E6" w:rsidRDefault="006856E6" w:rsidP="006856E6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6856E6" w:rsidRPr="00515B2B" w:rsidRDefault="006856E6" w:rsidP="006856E6">
            <w:r w:rsidRPr="00515B2B">
              <w:t>Twinkle VPPM</w:t>
            </w:r>
          </w:p>
        </w:tc>
        <w:tc>
          <w:tcPr>
            <w:tcW w:w="2790" w:type="dxa"/>
          </w:tcPr>
          <w:p w:rsidR="006856E6" w:rsidRDefault="006856E6" w:rsidP="006856E6">
            <w:r>
              <w:t>Addressing fields (source)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6856E6" w:rsidP="006856E6">
            <w:pPr>
              <w:jc w:val="center"/>
            </w:pPr>
            <w:r>
              <w:t>FCS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Pr="006856E6" w:rsidRDefault="006856E6" w:rsidP="006856E6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6856E6" w:rsidRPr="00515B2B" w:rsidRDefault="006856E6" w:rsidP="006856E6">
            <w:r w:rsidRPr="00515B2B">
              <w:t>HS-PSK</w:t>
            </w:r>
          </w:p>
        </w:tc>
        <w:tc>
          <w:tcPr>
            <w:tcW w:w="2790" w:type="dxa"/>
          </w:tcPr>
          <w:p w:rsidR="006856E6" w:rsidRDefault="00851778" w:rsidP="00851778">
            <w:r>
              <w:t>Addressing fields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A4144A" w:rsidP="006856E6">
            <w:pPr>
              <w:jc w:val="center"/>
            </w:pPr>
            <w:r>
              <w:t>Optional</w:t>
            </w:r>
          </w:p>
        </w:tc>
      </w:tr>
      <w:tr w:rsidR="00461238" w:rsidTr="00FE6606">
        <w:tc>
          <w:tcPr>
            <w:tcW w:w="985" w:type="dxa"/>
            <w:vMerge/>
          </w:tcPr>
          <w:p w:rsidR="00461238" w:rsidRPr="006856E6" w:rsidRDefault="00461238" w:rsidP="00461238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461238" w:rsidRPr="00515B2B" w:rsidRDefault="00461238" w:rsidP="00461238">
            <w:r w:rsidRPr="00515B2B">
              <w:t>Offset-VPPM</w:t>
            </w:r>
          </w:p>
        </w:tc>
        <w:tc>
          <w:tcPr>
            <w:tcW w:w="2790" w:type="dxa"/>
          </w:tcPr>
          <w:p w:rsidR="00461238" w:rsidRDefault="008777AC" w:rsidP="008777AC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461238" w:rsidRDefault="00461238" w:rsidP="00461238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461238" w:rsidRDefault="008777AC" w:rsidP="00C0518F">
            <w:pPr>
              <w:jc w:val="center"/>
            </w:pPr>
            <w:r>
              <w:t xml:space="preserve">FCS: 2 </w:t>
            </w:r>
          </w:p>
        </w:tc>
      </w:tr>
      <w:tr w:rsidR="00461238" w:rsidTr="00FE6606">
        <w:tc>
          <w:tcPr>
            <w:tcW w:w="985" w:type="dxa"/>
            <w:vMerge w:val="restart"/>
            <w:vAlign w:val="center"/>
          </w:tcPr>
          <w:p w:rsidR="00461238" w:rsidRDefault="00461238" w:rsidP="00461238">
            <w:pPr>
              <w:jc w:val="center"/>
            </w:pPr>
            <w:r>
              <w:t>PHY 5</w:t>
            </w:r>
          </w:p>
        </w:tc>
        <w:tc>
          <w:tcPr>
            <w:tcW w:w="1980" w:type="dxa"/>
          </w:tcPr>
          <w:p w:rsidR="00461238" w:rsidRDefault="00461238" w:rsidP="00461238">
            <w:r>
              <w:t>RS-FSK</w:t>
            </w:r>
          </w:p>
        </w:tc>
        <w:tc>
          <w:tcPr>
            <w:tcW w:w="2790" w:type="dxa"/>
          </w:tcPr>
          <w:p w:rsidR="00461238" w:rsidRDefault="00461238" w:rsidP="00461238">
            <w:r>
              <w:t>Frame control: 1</w:t>
            </w:r>
          </w:p>
          <w:p w:rsidR="00461238" w:rsidRDefault="00461238" w:rsidP="00461238">
            <w:r>
              <w:t>Sequence No.: 1</w:t>
            </w:r>
          </w:p>
          <w:p w:rsidR="00461238" w:rsidRDefault="00461238" w:rsidP="00461238">
            <w:r>
              <w:t>Addressing fields: 0/2</w:t>
            </w:r>
          </w:p>
        </w:tc>
        <w:tc>
          <w:tcPr>
            <w:tcW w:w="1629" w:type="dxa"/>
          </w:tcPr>
          <w:p w:rsidR="00461238" w:rsidRDefault="00461238" w:rsidP="00461238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461238" w:rsidRDefault="00461238" w:rsidP="00C0518F">
            <w:pPr>
              <w:jc w:val="center"/>
            </w:pPr>
            <w:r>
              <w:t xml:space="preserve">FCS: 2 </w:t>
            </w:r>
          </w:p>
        </w:tc>
      </w:tr>
      <w:tr w:rsidR="00461238" w:rsidTr="00FE6606">
        <w:tc>
          <w:tcPr>
            <w:tcW w:w="985" w:type="dxa"/>
            <w:vMerge/>
          </w:tcPr>
          <w:p w:rsidR="00461238" w:rsidRDefault="00461238" w:rsidP="00461238"/>
        </w:tc>
        <w:tc>
          <w:tcPr>
            <w:tcW w:w="1980" w:type="dxa"/>
          </w:tcPr>
          <w:p w:rsidR="00461238" w:rsidRDefault="00461238" w:rsidP="00461238">
            <w:r>
              <w:t>CM-FSK</w:t>
            </w:r>
          </w:p>
        </w:tc>
        <w:tc>
          <w:tcPr>
            <w:tcW w:w="2790" w:type="dxa"/>
          </w:tcPr>
          <w:p w:rsidR="00461238" w:rsidRPr="00851778" w:rsidRDefault="00461238" w:rsidP="00461238">
            <w:proofErr w:type="spellStart"/>
            <w:r w:rsidRPr="00851778">
              <w:t>Config</w:t>
            </w:r>
            <w:proofErr w:type="spellEnd"/>
            <w:r w:rsidRPr="00851778">
              <w:t>. via MAC attributes</w:t>
            </w:r>
          </w:p>
        </w:tc>
        <w:tc>
          <w:tcPr>
            <w:tcW w:w="1629" w:type="dxa"/>
          </w:tcPr>
          <w:p w:rsidR="00461238" w:rsidRDefault="00461238" w:rsidP="00461238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461238" w:rsidRDefault="00461238" w:rsidP="00461238">
            <w:pPr>
              <w:jc w:val="center"/>
            </w:pPr>
            <w:r>
              <w:t>x</w:t>
            </w:r>
          </w:p>
        </w:tc>
      </w:tr>
      <w:tr w:rsidR="00461238" w:rsidTr="00FE6606">
        <w:tc>
          <w:tcPr>
            <w:tcW w:w="985" w:type="dxa"/>
            <w:vMerge/>
          </w:tcPr>
          <w:p w:rsidR="00461238" w:rsidRDefault="00461238" w:rsidP="00461238"/>
        </w:tc>
        <w:tc>
          <w:tcPr>
            <w:tcW w:w="1980" w:type="dxa"/>
          </w:tcPr>
          <w:p w:rsidR="00461238" w:rsidRDefault="00461238" w:rsidP="00461238">
            <w:r>
              <w:t>C-OOK</w:t>
            </w:r>
          </w:p>
        </w:tc>
        <w:tc>
          <w:tcPr>
            <w:tcW w:w="2790" w:type="dxa"/>
          </w:tcPr>
          <w:p w:rsidR="00461238" w:rsidRPr="00851778" w:rsidRDefault="00461238" w:rsidP="00461238">
            <w:proofErr w:type="spellStart"/>
            <w:r w:rsidRPr="00851778">
              <w:t>Config</w:t>
            </w:r>
            <w:proofErr w:type="spellEnd"/>
            <w:r w:rsidRPr="00851778">
              <w:t>. via MAC attributes</w:t>
            </w:r>
          </w:p>
        </w:tc>
        <w:tc>
          <w:tcPr>
            <w:tcW w:w="1629" w:type="dxa"/>
          </w:tcPr>
          <w:p w:rsidR="00461238" w:rsidRDefault="00461238" w:rsidP="00461238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461238" w:rsidRDefault="00461238" w:rsidP="00461238">
            <w:pPr>
              <w:jc w:val="center"/>
            </w:pPr>
            <w:r>
              <w:t>x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Default="006856E6" w:rsidP="006856E6"/>
        </w:tc>
        <w:tc>
          <w:tcPr>
            <w:tcW w:w="1980" w:type="dxa"/>
          </w:tcPr>
          <w:p w:rsidR="006856E6" w:rsidRDefault="006856E6" w:rsidP="006856E6">
            <w:r>
              <w:t>Packet PWM/PPM</w:t>
            </w:r>
          </w:p>
        </w:tc>
        <w:tc>
          <w:tcPr>
            <w:tcW w:w="2790" w:type="dxa"/>
          </w:tcPr>
          <w:p w:rsidR="006856E6" w:rsidRDefault="006856E6" w:rsidP="006856E6">
            <w:pPr>
              <w:jc w:val="center"/>
            </w:pPr>
            <w:r>
              <w:t>N/A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N/A</w:t>
            </w:r>
          </w:p>
        </w:tc>
        <w:tc>
          <w:tcPr>
            <w:tcW w:w="1966" w:type="dxa"/>
          </w:tcPr>
          <w:p w:rsidR="006856E6" w:rsidRDefault="006856E6" w:rsidP="006856E6">
            <w:pPr>
              <w:jc w:val="center"/>
            </w:pPr>
            <w:r>
              <w:t>N/A</w:t>
            </w:r>
          </w:p>
        </w:tc>
      </w:tr>
      <w:tr w:rsidR="00A4144A" w:rsidTr="00FE6606">
        <w:tc>
          <w:tcPr>
            <w:tcW w:w="985" w:type="dxa"/>
            <w:vMerge w:val="restart"/>
            <w:vAlign w:val="center"/>
          </w:tcPr>
          <w:p w:rsidR="00A4144A" w:rsidRDefault="00A4144A" w:rsidP="00A4144A">
            <w:pPr>
              <w:jc w:val="center"/>
            </w:pPr>
            <w:r>
              <w:t>PHY 6</w:t>
            </w:r>
          </w:p>
        </w:tc>
        <w:tc>
          <w:tcPr>
            <w:tcW w:w="1980" w:type="dxa"/>
          </w:tcPr>
          <w:p w:rsidR="00A4144A" w:rsidRDefault="00A4144A" w:rsidP="00A4144A">
            <w:r>
              <w:t>Kookmin A-QL</w:t>
            </w:r>
          </w:p>
        </w:tc>
        <w:tc>
          <w:tcPr>
            <w:tcW w:w="2790" w:type="dxa"/>
          </w:tcPr>
          <w:p w:rsidR="00A4144A" w:rsidRDefault="00A4144A" w:rsidP="00A4144A">
            <w:r>
              <w:t>Frame control: 1</w:t>
            </w:r>
          </w:p>
          <w:p w:rsidR="00A4144A" w:rsidRDefault="00A4144A" w:rsidP="00A4144A">
            <w:r>
              <w:t>Addressing fields: 1</w:t>
            </w:r>
          </w:p>
          <w:p w:rsidR="00A4144A" w:rsidRPr="00FE6606" w:rsidRDefault="00A4144A" w:rsidP="00A4144A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FE6606">
              <w:rPr>
                <w:sz w:val="16"/>
              </w:rPr>
              <w:t>-Source address (IB mode)</w:t>
            </w:r>
          </w:p>
          <w:p w:rsidR="00A4144A" w:rsidRDefault="00A4144A" w:rsidP="00A4144A">
            <w:pPr>
              <w:ind w:left="-18"/>
            </w:pPr>
            <w:r>
              <w:rPr>
                <w:sz w:val="16"/>
              </w:rPr>
              <w:t xml:space="preserve">   </w:t>
            </w:r>
            <w:r w:rsidRPr="00FE6606">
              <w:rPr>
                <w:sz w:val="16"/>
              </w:rPr>
              <w:t xml:space="preserve">- </w:t>
            </w:r>
            <w:r w:rsidR="00851778">
              <w:rPr>
                <w:sz w:val="16"/>
              </w:rPr>
              <w:t>Source/</w:t>
            </w:r>
            <w:proofErr w:type="spellStart"/>
            <w:r w:rsidRPr="00FE6606">
              <w:rPr>
                <w:sz w:val="16"/>
              </w:rPr>
              <w:t>Dest</w:t>
            </w:r>
            <w:proofErr w:type="spellEnd"/>
            <w:r w:rsidRPr="00FE6606">
              <w:rPr>
                <w:sz w:val="16"/>
              </w:rPr>
              <w:t>. address (D2D mode)</w:t>
            </w:r>
          </w:p>
        </w:tc>
        <w:tc>
          <w:tcPr>
            <w:tcW w:w="1629" w:type="dxa"/>
          </w:tcPr>
          <w:p w:rsidR="00A4144A" w:rsidRDefault="00A4144A" w:rsidP="00A4144A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A4144A" w:rsidRDefault="00A4144A" w:rsidP="00A4144A">
            <w:pPr>
              <w:jc w:val="center"/>
            </w:pPr>
            <w:r>
              <w:t>Optional</w:t>
            </w:r>
          </w:p>
        </w:tc>
      </w:tr>
      <w:tr w:rsidR="00A4144A" w:rsidTr="00FE6606">
        <w:tc>
          <w:tcPr>
            <w:tcW w:w="985" w:type="dxa"/>
            <w:vMerge/>
          </w:tcPr>
          <w:p w:rsidR="00A4144A" w:rsidRDefault="00A4144A" w:rsidP="00A4144A"/>
        </w:tc>
        <w:tc>
          <w:tcPr>
            <w:tcW w:w="1980" w:type="dxa"/>
          </w:tcPr>
          <w:p w:rsidR="00A4144A" w:rsidRDefault="00A4144A" w:rsidP="00A4144A">
            <w:r>
              <w:t>Kookmin HA-QL</w:t>
            </w:r>
          </w:p>
        </w:tc>
        <w:tc>
          <w:tcPr>
            <w:tcW w:w="2790" w:type="dxa"/>
          </w:tcPr>
          <w:p w:rsidR="00A4144A" w:rsidRDefault="0053708B" w:rsidP="00A4144A">
            <w:proofErr w:type="spellStart"/>
            <w:r w:rsidRPr="00851778">
              <w:t>Config</w:t>
            </w:r>
            <w:proofErr w:type="spellEnd"/>
            <w:r w:rsidRPr="00851778">
              <w:t>. via MAC attributes</w:t>
            </w:r>
          </w:p>
        </w:tc>
        <w:tc>
          <w:tcPr>
            <w:tcW w:w="1629" w:type="dxa"/>
          </w:tcPr>
          <w:p w:rsidR="00A4144A" w:rsidRDefault="00A4144A" w:rsidP="00A4144A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A4144A" w:rsidRDefault="00A4144A" w:rsidP="00A4144A">
            <w:pPr>
              <w:jc w:val="center"/>
            </w:pPr>
            <w:r>
              <w:t>x</w:t>
            </w:r>
          </w:p>
        </w:tc>
      </w:tr>
      <w:tr w:rsidR="00A4144A" w:rsidTr="00FE6606">
        <w:tc>
          <w:tcPr>
            <w:tcW w:w="985" w:type="dxa"/>
            <w:vMerge/>
          </w:tcPr>
          <w:p w:rsidR="00A4144A" w:rsidRDefault="00A4144A" w:rsidP="00A4144A"/>
        </w:tc>
        <w:tc>
          <w:tcPr>
            <w:tcW w:w="1980" w:type="dxa"/>
          </w:tcPr>
          <w:p w:rsidR="00A4144A" w:rsidRDefault="00A4144A" w:rsidP="00A4144A">
            <w:r>
              <w:t>VTASC</w:t>
            </w:r>
          </w:p>
        </w:tc>
        <w:tc>
          <w:tcPr>
            <w:tcW w:w="2790" w:type="dxa"/>
            <w:vMerge w:val="restart"/>
          </w:tcPr>
          <w:p w:rsidR="00A4144A" w:rsidRDefault="00A4144A" w:rsidP="00A4144A">
            <w:r>
              <w:t>Frame control: 2</w:t>
            </w:r>
          </w:p>
          <w:p w:rsidR="00A4144A" w:rsidRDefault="00A4144A" w:rsidP="00A4144A">
            <w:r>
              <w:t>Sequence No.: 1</w:t>
            </w:r>
          </w:p>
          <w:p w:rsidR="00A4144A" w:rsidRDefault="00A4144A" w:rsidP="00A4144A">
            <w:r>
              <w:t>Addressing fields: 0/2/8</w:t>
            </w:r>
          </w:p>
        </w:tc>
        <w:tc>
          <w:tcPr>
            <w:tcW w:w="1629" w:type="dxa"/>
            <w:vMerge w:val="restart"/>
          </w:tcPr>
          <w:p w:rsidR="00A4144A" w:rsidRDefault="00A4144A" w:rsidP="00A4144A">
            <w:pPr>
              <w:jc w:val="center"/>
            </w:pPr>
            <w:r>
              <w:t>-</w:t>
            </w:r>
          </w:p>
        </w:tc>
        <w:tc>
          <w:tcPr>
            <w:tcW w:w="1966" w:type="dxa"/>
            <w:vMerge w:val="restart"/>
          </w:tcPr>
          <w:p w:rsidR="00A4144A" w:rsidRDefault="00A4144A" w:rsidP="00C0518F">
            <w:pPr>
              <w:jc w:val="center"/>
            </w:pPr>
            <w:r>
              <w:t>FCS: 2</w:t>
            </w:r>
          </w:p>
        </w:tc>
      </w:tr>
      <w:tr w:rsidR="00461238" w:rsidTr="00FE6606">
        <w:tc>
          <w:tcPr>
            <w:tcW w:w="985" w:type="dxa"/>
            <w:vMerge/>
          </w:tcPr>
          <w:p w:rsidR="00461238" w:rsidRDefault="00461238" w:rsidP="006856E6"/>
        </w:tc>
        <w:tc>
          <w:tcPr>
            <w:tcW w:w="1980" w:type="dxa"/>
          </w:tcPr>
          <w:p w:rsidR="00461238" w:rsidRDefault="00461238" w:rsidP="006856E6">
            <w:r>
              <w:t>Invisible data embedded display</w:t>
            </w:r>
          </w:p>
        </w:tc>
        <w:tc>
          <w:tcPr>
            <w:tcW w:w="2790" w:type="dxa"/>
            <w:vMerge/>
          </w:tcPr>
          <w:p w:rsidR="00461238" w:rsidRDefault="00461238" w:rsidP="006856E6"/>
        </w:tc>
        <w:tc>
          <w:tcPr>
            <w:tcW w:w="1629" w:type="dxa"/>
            <w:vMerge/>
          </w:tcPr>
          <w:p w:rsidR="00461238" w:rsidRDefault="00461238" w:rsidP="006856E6"/>
        </w:tc>
        <w:tc>
          <w:tcPr>
            <w:tcW w:w="1966" w:type="dxa"/>
            <w:vMerge/>
          </w:tcPr>
          <w:p w:rsidR="00461238" w:rsidRDefault="00461238" w:rsidP="006856E6"/>
        </w:tc>
      </w:tr>
    </w:tbl>
    <w:p w:rsidR="006E3256" w:rsidRDefault="006E3256"/>
    <w:p w:rsidR="006C228F" w:rsidRPr="003669A1" w:rsidRDefault="001D2B7A" w:rsidP="00875F0E">
      <w:pPr>
        <w:pStyle w:val="Heading2"/>
        <w:rPr>
          <w:b/>
        </w:rPr>
      </w:pPr>
      <w:r w:rsidRPr="003669A1">
        <w:rPr>
          <w:b/>
        </w:rPr>
        <w:br w:type="page"/>
      </w:r>
      <w:r w:rsidR="006E3256" w:rsidRPr="003669A1">
        <w:rPr>
          <w:b/>
        </w:rPr>
        <w:lastRenderedPageBreak/>
        <w:t xml:space="preserve"> </w:t>
      </w:r>
      <w:r w:rsidR="003669A1" w:rsidRPr="003669A1">
        <w:rPr>
          <w:b/>
        </w:rPr>
        <w:t>2.1 MHR Format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88"/>
        <w:gridCol w:w="2024"/>
        <w:gridCol w:w="1167"/>
        <w:gridCol w:w="1086"/>
        <w:gridCol w:w="1613"/>
        <w:gridCol w:w="809"/>
        <w:gridCol w:w="840"/>
        <w:gridCol w:w="1408"/>
      </w:tblGrid>
      <w:tr w:rsidR="008777AC" w:rsidTr="00D66111">
        <w:trPr>
          <w:trHeight w:val="656"/>
        </w:trPr>
        <w:tc>
          <w:tcPr>
            <w:tcW w:w="574" w:type="dxa"/>
          </w:tcPr>
          <w:p w:rsidR="008777AC" w:rsidRDefault="008777AC" w:rsidP="00122403"/>
        </w:tc>
        <w:tc>
          <w:tcPr>
            <w:tcW w:w="2031" w:type="dxa"/>
          </w:tcPr>
          <w:p w:rsidR="008777AC" w:rsidRDefault="008777AC" w:rsidP="00122403"/>
        </w:tc>
        <w:tc>
          <w:tcPr>
            <w:tcW w:w="6930" w:type="dxa"/>
            <w:gridSpan w:val="6"/>
            <w:vAlign w:val="center"/>
          </w:tcPr>
          <w:p w:rsidR="008777AC" w:rsidRPr="008777AC" w:rsidRDefault="008777AC" w:rsidP="003669A1">
            <w:pPr>
              <w:jc w:val="center"/>
              <w:rPr>
                <w:b/>
              </w:rPr>
            </w:pPr>
            <w:r w:rsidRPr="008777AC">
              <w:rPr>
                <w:b/>
              </w:rPr>
              <w:t>MHR</w:t>
            </w:r>
            <w:r w:rsidR="006A3FCB">
              <w:rPr>
                <w:b/>
              </w:rPr>
              <w:t xml:space="preserve"> </w:t>
            </w:r>
            <w:r w:rsidR="006A3FCB">
              <w:t>(octets)</w:t>
            </w:r>
          </w:p>
        </w:tc>
      </w:tr>
      <w:tr w:rsidR="008777AC" w:rsidTr="00680BF2">
        <w:trPr>
          <w:trHeight w:val="809"/>
        </w:trPr>
        <w:tc>
          <w:tcPr>
            <w:tcW w:w="574" w:type="dxa"/>
          </w:tcPr>
          <w:p w:rsidR="008777AC" w:rsidRDefault="008777AC" w:rsidP="00122403"/>
        </w:tc>
        <w:tc>
          <w:tcPr>
            <w:tcW w:w="2031" w:type="dxa"/>
          </w:tcPr>
          <w:p w:rsidR="008777AC" w:rsidRDefault="008777AC" w:rsidP="00122403"/>
        </w:tc>
        <w:tc>
          <w:tcPr>
            <w:tcW w:w="1170" w:type="dxa"/>
            <w:vAlign w:val="center"/>
          </w:tcPr>
          <w:p w:rsidR="008777AC" w:rsidRDefault="008777AC" w:rsidP="00680BF2">
            <w:pPr>
              <w:jc w:val="center"/>
            </w:pPr>
            <w:r>
              <w:t>Frame control</w:t>
            </w:r>
          </w:p>
        </w:tc>
        <w:tc>
          <w:tcPr>
            <w:tcW w:w="1086" w:type="dxa"/>
            <w:vAlign w:val="center"/>
          </w:tcPr>
          <w:p w:rsidR="008777AC" w:rsidRDefault="008777AC" w:rsidP="00680BF2">
            <w:pPr>
              <w:jc w:val="center"/>
            </w:pPr>
            <w:r>
              <w:t>Sequence number</w:t>
            </w:r>
          </w:p>
        </w:tc>
        <w:tc>
          <w:tcPr>
            <w:tcW w:w="1614" w:type="dxa"/>
            <w:vAlign w:val="center"/>
          </w:tcPr>
          <w:p w:rsidR="008777AC" w:rsidRDefault="008777AC" w:rsidP="00680BF2">
            <w:pPr>
              <w:jc w:val="center"/>
            </w:pPr>
            <w:r>
              <w:t>Addressing fields</w:t>
            </w:r>
          </w:p>
        </w:tc>
        <w:tc>
          <w:tcPr>
            <w:tcW w:w="810" w:type="dxa"/>
            <w:vAlign w:val="center"/>
          </w:tcPr>
          <w:p w:rsidR="008777AC" w:rsidRDefault="008777AC" w:rsidP="00680BF2">
            <w:pPr>
              <w:jc w:val="center"/>
            </w:pPr>
            <w:r>
              <w:t>Ack</w:t>
            </w:r>
            <w:r w:rsidR="006A3FCB">
              <w:t>.</w:t>
            </w:r>
            <w:r>
              <w:t xml:space="preserve"> field</w:t>
            </w:r>
          </w:p>
        </w:tc>
        <w:tc>
          <w:tcPr>
            <w:tcW w:w="840" w:type="dxa"/>
            <w:vAlign w:val="center"/>
          </w:tcPr>
          <w:p w:rsidR="008777AC" w:rsidRDefault="008777AC" w:rsidP="00680BF2">
            <w:pPr>
              <w:jc w:val="center"/>
            </w:pPr>
            <w:r>
              <w:t>Polling field</w:t>
            </w:r>
          </w:p>
        </w:tc>
        <w:tc>
          <w:tcPr>
            <w:tcW w:w="1410" w:type="dxa"/>
            <w:vAlign w:val="center"/>
          </w:tcPr>
          <w:p w:rsidR="008777AC" w:rsidRDefault="008777AC" w:rsidP="00680BF2">
            <w:pPr>
              <w:jc w:val="center"/>
            </w:pPr>
            <w:r>
              <w:t>Aux</w:t>
            </w:r>
            <w:r w:rsidR="006A3FCB">
              <w:t>.</w:t>
            </w:r>
            <w:r>
              <w:t xml:space="preserve"> Security Header</w:t>
            </w:r>
          </w:p>
        </w:tc>
      </w:tr>
      <w:tr w:rsidR="006646D3" w:rsidTr="00E54EB6">
        <w:trPr>
          <w:trHeight w:val="620"/>
        </w:trPr>
        <w:tc>
          <w:tcPr>
            <w:tcW w:w="574" w:type="dxa"/>
          </w:tcPr>
          <w:p w:rsidR="008777AC" w:rsidRDefault="008777AC" w:rsidP="00122403"/>
        </w:tc>
        <w:tc>
          <w:tcPr>
            <w:tcW w:w="2031" w:type="dxa"/>
          </w:tcPr>
          <w:p w:rsidR="008777AC" w:rsidRPr="00147AC8" w:rsidRDefault="008777AC" w:rsidP="00122403">
            <w:pPr>
              <w:rPr>
                <w:b/>
              </w:rPr>
            </w:pPr>
            <w:r w:rsidRPr="00147AC8">
              <w:rPr>
                <w:b/>
              </w:rPr>
              <w:t>15.7-2011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2</w:t>
            </w:r>
          </w:p>
        </w:tc>
        <w:tc>
          <w:tcPr>
            <w:tcW w:w="1086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1</w:t>
            </w: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8777AC" w:rsidRDefault="00DC080B" w:rsidP="003669A1">
            <w:pPr>
              <w:jc w:val="center"/>
            </w:pPr>
            <w:r>
              <w:t>multi subfields</w:t>
            </w:r>
          </w:p>
        </w:tc>
        <w:tc>
          <w:tcPr>
            <w:tcW w:w="810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0/3/9</w:t>
            </w:r>
          </w:p>
        </w:tc>
        <w:tc>
          <w:tcPr>
            <w:tcW w:w="840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0/2/8</w:t>
            </w:r>
          </w:p>
        </w:tc>
        <w:tc>
          <w:tcPr>
            <w:tcW w:w="1410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0/5/6/0/14</w:t>
            </w:r>
          </w:p>
        </w:tc>
      </w:tr>
      <w:tr w:rsidR="006646D3" w:rsidTr="00E54EB6">
        <w:trPr>
          <w:trHeight w:val="431"/>
        </w:trPr>
        <w:tc>
          <w:tcPr>
            <w:tcW w:w="574" w:type="dxa"/>
            <w:vMerge w:val="restart"/>
            <w:vAlign w:val="center"/>
          </w:tcPr>
          <w:p w:rsidR="008777AC" w:rsidRPr="00147AC8" w:rsidRDefault="008777AC" w:rsidP="008777AC">
            <w:pPr>
              <w:jc w:val="center"/>
              <w:rPr>
                <w:b/>
              </w:rPr>
            </w:pPr>
            <w:r w:rsidRPr="00147AC8">
              <w:rPr>
                <w:b/>
              </w:rPr>
              <w:t>PHY 4</w:t>
            </w:r>
          </w:p>
        </w:tc>
        <w:tc>
          <w:tcPr>
            <w:tcW w:w="2031" w:type="dxa"/>
          </w:tcPr>
          <w:p w:rsidR="008777AC" w:rsidRDefault="008777AC" w:rsidP="008777AC">
            <w:r>
              <w:t>UFSOOK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6646D3" w:rsidTr="00E54EB6">
        <w:trPr>
          <w:trHeight w:val="530"/>
        </w:trPr>
        <w:tc>
          <w:tcPr>
            <w:tcW w:w="574" w:type="dxa"/>
            <w:vMerge/>
          </w:tcPr>
          <w:p w:rsidR="008777AC" w:rsidRPr="00147AC8" w:rsidRDefault="008777AC" w:rsidP="008777AC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8777AC">
            <w:r>
              <w:t>S2-PSK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6646D3" w:rsidTr="00E54EB6">
        <w:trPr>
          <w:trHeight w:val="440"/>
        </w:trPr>
        <w:tc>
          <w:tcPr>
            <w:tcW w:w="574" w:type="dxa"/>
            <w:vMerge/>
          </w:tcPr>
          <w:p w:rsidR="008777AC" w:rsidRPr="00147AC8" w:rsidRDefault="008777AC" w:rsidP="008777AC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8777AC">
            <w:r>
              <w:t>S8-PSK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4D2CA5" w:rsidTr="00E54EB6">
        <w:trPr>
          <w:trHeight w:val="440"/>
        </w:trPr>
        <w:tc>
          <w:tcPr>
            <w:tcW w:w="574" w:type="dxa"/>
            <w:vMerge/>
          </w:tcPr>
          <w:p w:rsidR="006A3FCB" w:rsidRPr="00147AC8" w:rsidRDefault="006A3FCB" w:rsidP="006A3FCB">
            <w:pPr>
              <w:rPr>
                <w:b/>
                <w:color w:val="FF0000"/>
              </w:rPr>
            </w:pPr>
          </w:p>
        </w:tc>
        <w:tc>
          <w:tcPr>
            <w:tcW w:w="2031" w:type="dxa"/>
          </w:tcPr>
          <w:p w:rsidR="006A3FCB" w:rsidRPr="00147AC8" w:rsidRDefault="006A3FCB" w:rsidP="006A3FCB">
            <w:r w:rsidRPr="00147AC8">
              <w:t>Twinkle VPPM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ind w:left="-63" w:right="-149"/>
              <w:jc w:val="center"/>
            </w:pPr>
            <w:r>
              <w:t>Source Address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</w:tr>
      <w:tr w:rsidR="004D2CA5" w:rsidTr="004D2CA5">
        <w:tc>
          <w:tcPr>
            <w:tcW w:w="574" w:type="dxa"/>
            <w:vMerge/>
          </w:tcPr>
          <w:p w:rsidR="006A3FCB" w:rsidRPr="00147AC8" w:rsidRDefault="006A3FCB" w:rsidP="006A3FCB">
            <w:pPr>
              <w:rPr>
                <w:b/>
                <w:color w:val="FF0000"/>
              </w:rPr>
            </w:pPr>
          </w:p>
        </w:tc>
        <w:tc>
          <w:tcPr>
            <w:tcW w:w="2031" w:type="dxa"/>
          </w:tcPr>
          <w:p w:rsidR="006A3FCB" w:rsidRPr="00147AC8" w:rsidRDefault="006A3FCB" w:rsidP="006A3FCB">
            <w:r w:rsidRPr="00147AC8">
              <w:t>HS-PSK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6A3FCB" w:rsidRDefault="003669A1" w:rsidP="003669A1">
            <w:pPr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3669A1" w:rsidRDefault="003669A1" w:rsidP="003669A1">
            <w:pPr>
              <w:ind w:left="-58" w:right="-58"/>
              <w:jc w:val="center"/>
            </w:pPr>
            <w:r>
              <w:t>1</w:t>
            </w:r>
          </w:p>
          <w:p w:rsidR="003669A1" w:rsidRDefault="003669A1" w:rsidP="006646D3">
            <w:pPr>
              <w:ind w:left="-58" w:right="-58"/>
              <w:jc w:val="center"/>
            </w:pPr>
            <w:r>
              <w:t>(Source</w:t>
            </w:r>
            <w:r w:rsidR="006646D3">
              <w:t>/</w:t>
            </w:r>
            <w:proofErr w:type="spellStart"/>
            <w:r>
              <w:t>Dest</w:t>
            </w:r>
            <w:proofErr w:type="spellEnd"/>
            <w:r>
              <w:t>.</w:t>
            </w:r>
            <w:r w:rsidR="006646D3">
              <w:t>)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</w:tr>
      <w:tr w:rsidR="004D2CA5" w:rsidTr="00E54EB6">
        <w:trPr>
          <w:trHeight w:val="440"/>
        </w:trPr>
        <w:tc>
          <w:tcPr>
            <w:tcW w:w="574" w:type="dxa"/>
            <w:vMerge/>
          </w:tcPr>
          <w:p w:rsidR="008777AC" w:rsidRPr="00147AC8" w:rsidRDefault="008777AC" w:rsidP="008777AC">
            <w:pPr>
              <w:rPr>
                <w:b/>
                <w:color w:val="FF0000"/>
              </w:rPr>
            </w:pPr>
          </w:p>
        </w:tc>
        <w:tc>
          <w:tcPr>
            <w:tcW w:w="2031" w:type="dxa"/>
          </w:tcPr>
          <w:p w:rsidR="008777AC" w:rsidRPr="00147AC8" w:rsidRDefault="008777AC" w:rsidP="008777AC">
            <w:r w:rsidRPr="00147AC8">
              <w:t>Offset-VPPM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6646D3" w:rsidTr="004D2CA5">
        <w:tc>
          <w:tcPr>
            <w:tcW w:w="574" w:type="dxa"/>
            <w:vMerge w:val="restart"/>
            <w:vAlign w:val="center"/>
          </w:tcPr>
          <w:p w:rsidR="006A3FCB" w:rsidRPr="00147AC8" w:rsidRDefault="006A3FCB" w:rsidP="006A3FCB">
            <w:pPr>
              <w:jc w:val="center"/>
              <w:rPr>
                <w:b/>
              </w:rPr>
            </w:pPr>
            <w:r w:rsidRPr="00147AC8">
              <w:rPr>
                <w:b/>
              </w:rPr>
              <w:t>PHY 5</w:t>
            </w:r>
          </w:p>
        </w:tc>
        <w:tc>
          <w:tcPr>
            <w:tcW w:w="2031" w:type="dxa"/>
          </w:tcPr>
          <w:p w:rsidR="006A3FCB" w:rsidRDefault="006A3FCB" w:rsidP="006A3FCB">
            <w:r>
              <w:t>RS-FSK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1</w:t>
            </w: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6A3FCB" w:rsidRDefault="00B94CE1" w:rsidP="00B94CE1">
            <w:pPr>
              <w:ind w:left="-58" w:right="-58"/>
            </w:pPr>
            <w:r>
              <w:t xml:space="preserve"> Source Add.:</w:t>
            </w:r>
            <w:r w:rsidR="006A3FCB">
              <w:t>0/2</w:t>
            </w:r>
          </w:p>
          <w:p w:rsidR="006A3FCB" w:rsidRDefault="00B94CE1" w:rsidP="00B94CE1">
            <w:proofErr w:type="spellStart"/>
            <w:r>
              <w:t>Dest</w:t>
            </w:r>
            <w:proofErr w:type="spellEnd"/>
            <w:r>
              <w:t>. Add.:</w:t>
            </w:r>
            <w:r w:rsidR="006A3FCB">
              <w:t>0/2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</w:tr>
      <w:tr w:rsidR="008777AC" w:rsidTr="00E54EB6">
        <w:trPr>
          <w:trHeight w:val="422"/>
        </w:trPr>
        <w:tc>
          <w:tcPr>
            <w:tcW w:w="574" w:type="dxa"/>
            <w:vMerge/>
          </w:tcPr>
          <w:p w:rsidR="008777AC" w:rsidRPr="00147AC8" w:rsidRDefault="008777AC" w:rsidP="00122403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122403">
            <w:r>
              <w:t>CM-FSK</w:t>
            </w:r>
          </w:p>
        </w:tc>
        <w:tc>
          <w:tcPr>
            <w:tcW w:w="6930" w:type="dxa"/>
            <w:gridSpan w:val="6"/>
            <w:shd w:val="clear" w:color="auto" w:fill="808080" w:themeFill="background1" w:themeFillShade="80"/>
            <w:vAlign w:val="center"/>
          </w:tcPr>
          <w:p w:rsidR="008777AC" w:rsidRPr="004D2CA5" w:rsidRDefault="008777AC" w:rsidP="003669A1">
            <w:pPr>
              <w:jc w:val="center"/>
              <w:rPr>
                <w:color w:val="FDE9D9" w:themeColor="accent6" w:themeTint="33"/>
              </w:rPr>
            </w:pPr>
            <w:proofErr w:type="spellStart"/>
            <w:r w:rsidRPr="004D2CA5">
              <w:rPr>
                <w:color w:val="FDE9D9" w:themeColor="accent6" w:themeTint="33"/>
              </w:rPr>
              <w:t>Config</w:t>
            </w:r>
            <w:proofErr w:type="spellEnd"/>
            <w:r w:rsidRPr="004D2CA5">
              <w:rPr>
                <w:color w:val="FDE9D9" w:themeColor="accent6" w:themeTint="33"/>
              </w:rPr>
              <w:t xml:space="preserve">. </w:t>
            </w:r>
            <w:r w:rsidR="003669A1" w:rsidRPr="004D2CA5">
              <w:rPr>
                <w:color w:val="FDE9D9" w:themeColor="accent6" w:themeTint="33"/>
              </w:rPr>
              <w:t>over</w:t>
            </w:r>
            <w:r w:rsidRPr="004D2CA5">
              <w:rPr>
                <w:color w:val="FDE9D9" w:themeColor="accent6" w:themeTint="33"/>
              </w:rPr>
              <w:t xml:space="preserve"> MAC attributes</w:t>
            </w:r>
          </w:p>
        </w:tc>
      </w:tr>
      <w:tr w:rsidR="008777AC" w:rsidTr="00E54EB6">
        <w:trPr>
          <w:trHeight w:val="440"/>
        </w:trPr>
        <w:tc>
          <w:tcPr>
            <w:tcW w:w="574" w:type="dxa"/>
            <w:vMerge/>
          </w:tcPr>
          <w:p w:rsidR="008777AC" w:rsidRPr="00147AC8" w:rsidRDefault="008777AC" w:rsidP="00122403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122403">
            <w:r>
              <w:t>C-OOK</w:t>
            </w:r>
          </w:p>
        </w:tc>
        <w:tc>
          <w:tcPr>
            <w:tcW w:w="6930" w:type="dxa"/>
            <w:gridSpan w:val="6"/>
            <w:shd w:val="clear" w:color="auto" w:fill="808080" w:themeFill="background1" w:themeFillShade="80"/>
            <w:vAlign w:val="center"/>
          </w:tcPr>
          <w:p w:rsidR="008777AC" w:rsidRPr="004D2CA5" w:rsidRDefault="003669A1" w:rsidP="003669A1">
            <w:pPr>
              <w:jc w:val="center"/>
              <w:rPr>
                <w:color w:val="FDE9D9" w:themeColor="accent6" w:themeTint="33"/>
              </w:rPr>
            </w:pPr>
            <w:proofErr w:type="spellStart"/>
            <w:r w:rsidRPr="004D2CA5">
              <w:rPr>
                <w:color w:val="FDE9D9" w:themeColor="accent6" w:themeTint="33"/>
              </w:rPr>
              <w:t>Config</w:t>
            </w:r>
            <w:proofErr w:type="spellEnd"/>
            <w:r w:rsidRPr="004D2CA5">
              <w:rPr>
                <w:color w:val="FDE9D9" w:themeColor="accent6" w:themeTint="33"/>
              </w:rPr>
              <w:t>. over</w:t>
            </w:r>
            <w:r w:rsidR="008777AC" w:rsidRPr="004D2CA5">
              <w:rPr>
                <w:color w:val="FDE9D9" w:themeColor="accent6" w:themeTint="33"/>
              </w:rPr>
              <w:t xml:space="preserve"> MAC attributes</w:t>
            </w:r>
          </w:p>
        </w:tc>
      </w:tr>
      <w:tr w:rsidR="008777AC" w:rsidTr="00E54EB6">
        <w:trPr>
          <w:trHeight w:val="440"/>
        </w:trPr>
        <w:tc>
          <w:tcPr>
            <w:tcW w:w="574" w:type="dxa"/>
            <w:vMerge/>
          </w:tcPr>
          <w:p w:rsidR="008777AC" w:rsidRPr="00147AC8" w:rsidRDefault="008777AC" w:rsidP="00122403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122403">
            <w:r>
              <w:t>Packet PWM/PPM</w:t>
            </w:r>
          </w:p>
        </w:tc>
        <w:tc>
          <w:tcPr>
            <w:tcW w:w="6930" w:type="dxa"/>
            <w:gridSpan w:val="6"/>
            <w:vAlign w:val="center"/>
          </w:tcPr>
          <w:p w:rsidR="008777AC" w:rsidRDefault="008777AC" w:rsidP="003669A1">
            <w:pPr>
              <w:jc w:val="center"/>
            </w:pPr>
            <w:r>
              <w:t>N/A</w:t>
            </w:r>
          </w:p>
        </w:tc>
      </w:tr>
      <w:tr w:rsidR="006646D3" w:rsidTr="004D2CA5">
        <w:tc>
          <w:tcPr>
            <w:tcW w:w="574" w:type="dxa"/>
            <w:vMerge w:val="restart"/>
            <w:vAlign w:val="center"/>
          </w:tcPr>
          <w:p w:rsidR="008777AC" w:rsidRPr="00147AC8" w:rsidRDefault="008777AC" w:rsidP="00122403">
            <w:pPr>
              <w:jc w:val="center"/>
              <w:rPr>
                <w:b/>
              </w:rPr>
            </w:pPr>
            <w:r w:rsidRPr="00147AC8">
              <w:rPr>
                <w:b/>
              </w:rPr>
              <w:t>PHY 6</w:t>
            </w:r>
          </w:p>
        </w:tc>
        <w:tc>
          <w:tcPr>
            <w:tcW w:w="2031" w:type="dxa"/>
          </w:tcPr>
          <w:p w:rsidR="008777AC" w:rsidRDefault="008777AC" w:rsidP="00122403">
            <w:r>
              <w:t>Kookmin A-QL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8777AC" w:rsidRDefault="006A3FCB" w:rsidP="003669A1">
            <w:pPr>
              <w:ind w:left="-18"/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8777AC" w:rsidRDefault="006A3FCB" w:rsidP="003669A1">
            <w:pPr>
              <w:jc w:val="center"/>
            </w:pPr>
            <w:r>
              <w:t>1</w:t>
            </w:r>
          </w:p>
          <w:p w:rsidR="006646D3" w:rsidRDefault="006646D3" w:rsidP="003669A1">
            <w:pPr>
              <w:jc w:val="center"/>
            </w:pPr>
            <w:r>
              <w:t>(Source/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6A3FCB" w:rsidTr="00E54EB6">
        <w:trPr>
          <w:trHeight w:val="530"/>
        </w:trPr>
        <w:tc>
          <w:tcPr>
            <w:tcW w:w="574" w:type="dxa"/>
            <w:vMerge/>
          </w:tcPr>
          <w:p w:rsidR="006A3FCB" w:rsidRDefault="006A3FCB" w:rsidP="00122403"/>
        </w:tc>
        <w:tc>
          <w:tcPr>
            <w:tcW w:w="2031" w:type="dxa"/>
          </w:tcPr>
          <w:p w:rsidR="006A3FCB" w:rsidRDefault="006A3FCB" w:rsidP="00122403">
            <w:r>
              <w:t>Kookmin HA-QL</w:t>
            </w:r>
          </w:p>
        </w:tc>
        <w:tc>
          <w:tcPr>
            <w:tcW w:w="6930" w:type="dxa"/>
            <w:gridSpan w:val="6"/>
            <w:shd w:val="clear" w:color="auto" w:fill="808080" w:themeFill="background1" w:themeFillShade="80"/>
            <w:vAlign w:val="center"/>
          </w:tcPr>
          <w:p w:rsidR="006A3FCB" w:rsidRDefault="003669A1" w:rsidP="003669A1">
            <w:pPr>
              <w:jc w:val="center"/>
            </w:pPr>
            <w:proofErr w:type="spellStart"/>
            <w:r w:rsidRPr="004D2CA5">
              <w:rPr>
                <w:color w:val="FDE9D9" w:themeColor="accent6" w:themeTint="33"/>
              </w:rPr>
              <w:t>Config</w:t>
            </w:r>
            <w:proofErr w:type="spellEnd"/>
            <w:r w:rsidRPr="004D2CA5">
              <w:rPr>
                <w:color w:val="FDE9D9" w:themeColor="accent6" w:themeTint="33"/>
              </w:rPr>
              <w:t>. over</w:t>
            </w:r>
            <w:r w:rsidR="006A3FCB" w:rsidRPr="004D2CA5">
              <w:rPr>
                <w:color w:val="FDE9D9" w:themeColor="accent6" w:themeTint="33"/>
              </w:rPr>
              <w:t xml:space="preserve"> MAC attributes</w:t>
            </w:r>
          </w:p>
        </w:tc>
      </w:tr>
      <w:tr w:rsidR="006646D3" w:rsidTr="00E54EB6">
        <w:trPr>
          <w:trHeight w:val="440"/>
        </w:trPr>
        <w:tc>
          <w:tcPr>
            <w:tcW w:w="574" w:type="dxa"/>
            <w:vMerge/>
          </w:tcPr>
          <w:p w:rsidR="006A3FCB" w:rsidRDefault="006A3FCB" w:rsidP="006A3FCB"/>
        </w:tc>
        <w:tc>
          <w:tcPr>
            <w:tcW w:w="2031" w:type="dxa"/>
          </w:tcPr>
          <w:p w:rsidR="006A3FCB" w:rsidRDefault="006A3FCB" w:rsidP="006A3FCB">
            <w:r>
              <w:t>VTASC</w:t>
            </w:r>
          </w:p>
        </w:tc>
        <w:tc>
          <w:tcPr>
            <w:tcW w:w="1170" w:type="dxa"/>
            <w:vMerge w:val="restart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2</w:t>
            </w:r>
          </w:p>
        </w:tc>
        <w:tc>
          <w:tcPr>
            <w:tcW w:w="1086" w:type="dxa"/>
            <w:vMerge w:val="restart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1</w:t>
            </w:r>
          </w:p>
        </w:tc>
        <w:tc>
          <w:tcPr>
            <w:tcW w:w="1614" w:type="dxa"/>
            <w:vMerge w:val="restart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0/2/8</w:t>
            </w:r>
          </w:p>
        </w:tc>
        <w:tc>
          <w:tcPr>
            <w:tcW w:w="810" w:type="dxa"/>
            <w:vMerge w:val="restart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840" w:type="dxa"/>
            <w:vMerge w:val="restart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410" w:type="dxa"/>
            <w:vMerge w:val="restart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</w:tr>
      <w:tr w:rsidR="006646D3" w:rsidTr="004D2CA5">
        <w:tc>
          <w:tcPr>
            <w:tcW w:w="574" w:type="dxa"/>
            <w:vMerge/>
          </w:tcPr>
          <w:p w:rsidR="006A3FCB" w:rsidRDefault="006A3FCB" w:rsidP="00122403"/>
        </w:tc>
        <w:tc>
          <w:tcPr>
            <w:tcW w:w="2031" w:type="dxa"/>
          </w:tcPr>
          <w:p w:rsidR="006A3FCB" w:rsidRDefault="006A3FCB" w:rsidP="00122403">
            <w:r>
              <w:t>Invisible data embedded display</w:t>
            </w:r>
          </w:p>
        </w:tc>
        <w:tc>
          <w:tcPr>
            <w:tcW w:w="1170" w:type="dxa"/>
            <w:vMerge/>
            <w:shd w:val="clear" w:color="auto" w:fill="C2D69B" w:themeFill="accent3" w:themeFillTint="99"/>
          </w:tcPr>
          <w:p w:rsidR="006A3FCB" w:rsidRDefault="006A3FCB" w:rsidP="00122403"/>
        </w:tc>
        <w:tc>
          <w:tcPr>
            <w:tcW w:w="1086" w:type="dxa"/>
            <w:vMerge/>
            <w:shd w:val="clear" w:color="auto" w:fill="C2D69B" w:themeFill="accent3" w:themeFillTint="99"/>
          </w:tcPr>
          <w:p w:rsidR="006A3FCB" w:rsidRDefault="006A3FCB" w:rsidP="00122403"/>
        </w:tc>
        <w:tc>
          <w:tcPr>
            <w:tcW w:w="1614" w:type="dxa"/>
            <w:vMerge/>
            <w:shd w:val="clear" w:color="auto" w:fill="C2D69B" w:themeFill="accent3" w:themeFillTint="99"/>
          </w:tcPr>
          <w:p w:rsidR="006A3FCB" w:rsidRDefault="006A3FCB" w:rsidP="00122403"/>
        </w:tc>
        <w:tc>
          <w:tcPr>
            <w:tcW w:w="810" w:type="dxa"/>
            <w:vMerge/>
            <w:shd w:val="clear" w:color="auto" w:fill="808080" w:themeFill="background1" w:themeFillShade="80"/>
          </w:tcPr>
          <w:p w:rsidR="006A3FCB" w:rsidRDefault="006A3FCB" w:rsidP="00122403"/>
        </w:tc>
        <w:tc>
          <w:tcPr>
            <w:tcW w:w="840" w:type="dxa"/>
            <w:vMerge/>
            <w:shd w:val="clear" w:color="auto" w:fill="808080" w:themeFill="background1" w:themeFillShade="80"/>
          </w:tcPr>
          <w:p w:rsidR="006A3FCB" w:rsidRDefault="006A3FCB" w:rsidP="00122403"/>
        </w:tc>
        <w:tc>
          <w:tcPr>
            <w:tcW w:w="1410" w:type="dxa"/>
            <w:vMerge/>
            <w:shd w:val="clear" w:color="auto" w:fill="808080" w:themeFill="background1" w:themeFillShade="80"/>
          </w:tcPr>
          <w:p w:rsidR="006A3FCB" w:rsidRDefault="006A3FCB" w:rsidP="00122403"/>
        </w:tc>
      </w:tr>
    </w:tbl>
    <w:p w:rsidR="00A007C4" w:rsidRPr="004E5A79" w:rsidRDefault="00A007C4">
      <w:pPr>
        <w:rPr>
          <w:sz w:val="12"/>
        </w:rPr>
      </w:pPr>
    </w:p>
    <w:p w:rsidR="004D07C6" w:rsidRDefault="004D07C6" w:rsidP="00EB6053">
      <w:pPr>
        <w:spacing w:after="0"/>
      </w:pPr>
      <w:r>
        <w:t>Comments</w:t>
      </w:r>
    </w:p>
    <w:p w:rsidR="004D07C6" w:rsidRDefault="004D07C6" w:rsidP="00EB6053">
      <w:pPr>
        <w:pStyle w:val="ListParagraph"/>
        <w:numPr>
          <w:ilvl w:val="0"/>
          <w:numId w:val="5"/>
        </w:numPr>
        <w:spacing w:after="80" w:line="240" w:lineRule="auto"/>
        <w:jc w:val="both"/>
      </w:pPr>
      <w:r>
        <w:t xml:space="preserve">If frame control field is disable, there is </w:t>
      </w:r>
      <w:r w:rsidR="00B06CF0">
        <w:t>no</w:t>
      </w:r>
      <w:r w:rsidR="00EB6053">
        <w:t xml:space="preserve"> need of</w:t>
      </w:r>
      <w:r w:rsidR="00B06CF0">
        <w:t xml:space="preserve"> </w:t>
      </w:r>
      <w:r>
        <w:t>MAC supper frame.</w:t>
      </w:r>
      <w:r w:rsidR="00B06CF0">
        <w:t xml:space="preserve"> Thus, low-rate OCC modes without MHR field on MAC shall be implemented on information broadcasting (IB mode).</w:t>
      </w:r>
    </w:p>
    <w:p w:rsidR="00B06CF0" w:rsidRDefault="00B06CF0" w:rsidP="00EB6053">
      <w:pPr>
        <w:pStyle w:val="ListParagraph"/>
        <w:numPr>
          <w:ilvl w:val="0"/>
          <w:numId w:val="5"/>
        </w:numPr>
        <w:spacing w:after="80" w:line="240" w:lineRule="auto"/>
        <w:jc w:val="both"/>
      </w:pPr>
      <w:r>
        <w:t xml:space="preserve">When MHR is disable, multiple MACs may be supported in the same network </w:t>
      </w:r>
      <w:r w:rsidR="004E5A79">
        <w:t>by re-configuring the MAC attributes.</w:t>
      </w:r>
    </w:p>
    <w:p w:rsidR="004D07C6" w:rsidRDefault="00B06CF0" w:rsidP="00EB6053">
      <w:pPr>
        <w:pStyle w:val="ListParagraph"/>
        <w:numPr>
          <w:ilvl w:val="0"/>
          <w:numId w:val="5"/>
        </w:numPr>
        <w:spacing w:after="80" w:line="240" w:lineRule="auto"/>
        <w:jc w:val="both"/>
      </w:pPr>
      <w:r>
        <w:t xml:space="preserve">Frame control field is necessary at a situation that D2D </w:t>
      </w:r>
      <w:r w:rsidR="00EB6053">
        <w:t>is</w:t>
      </w:r>
      <w:r>
        <w:t xml:space="preserve"> supported. A TRX generates a source address when it broadcasts data to multiple TRXs; and it generates a destination source address when it solely </w:t>
      </w:r>
      <w:r w:rsidR="00EB6053">
        <w:t xml:space="preserve">targets the </w:t>
      </w:r>
      <w:r>
        <w:t>communicat</w:t>
      </w:r>
      <w:r w:rsidR="00EB6053">
        <w:t>ion</w:t>
      </w:r>
      <w:r>
        <w:t xml:space="preserve"> to a specific one.</w:t>
      </w:r>
    </w:p>
    <w:p w:rsidR="00177860" w:rsidRDefault="00177860">
      <w:r>
        <w:br w:type="page"/>
      </w:r>
    </w:p>
    <w:p w:rsidR="00B06CF0" w:rsidRDefault="00177860" w:rsidP="00875F0E">
      <w:pPr>
        <w:pStyle w:val="Heading1"/>
      </w:pPr>
      <w:r>
        <w:lastRenderedPageBreak/>
        <w:t>MACs Configuration</w:t>
      </w:r>
    </w:p>
    <w:p w:rsidR="009521DB" w:rsidRPr="00875F0E" w:rsidRDefault="00E2008A" w:rsidP="00A00791">
      <w:pPr>
        <w:numPr>
          <w:ilvl w:val="1"/>
          <w:numId w:val="6"/>
        </w:numPr>
        <w:tabs>
          <w:tab w:val="clear" w:pos="1440"/>
        </w:tabs>
        <w:spacing w:after="80" w:line="240" w:lineRule="auto"/>
        <w:ind w:left="720"/>
      </w:pPr>
      <w:r w:rsidRPr="00875F0E">
        <w:t xml:space="preserve">For low-rate modes, different OCC MACs are configurable via MAC attributes. The subfields of MHR field shall be configured via MAC attributes </w:t>
      </w:r>
    </w:p>
    <w:p w:rsidR="009521DB" w:rsidRPr="00875F0E" w:rsidRDefault="00E2008A" w:rsidP="00875F0E">
      <w:pPr>
        <w:numPr>
          <w:ilvl w:val="1"/>
          <w:numId w:val="6"/>
        </w:numPr>
        <w:tabs>
          <w:tab w:val="clear" w:pos="1440"/>
        </w:tabs>
        <w:ind w:left="720"/>
      </w:pPr>
      <w:r w:rsidRPr="00875F0E">
        <w:t xml:space="preserve"> For high-rate modes, MAC frame formats are presented. </w:t>
      </w:r>
    </w:p>
    <w:p w:rsidR="00B73CF0" w:rsidRDefault="007279F9" w:rsidP="007279F9">
      <w:pPr>
        <w:spacing w:after="80" w:line="240" w:lineRule="auto"/>
        <w:rPr>
          <w:color w:val="FF0000"/>
        </w:rPr>
      </w:pPr>
      <w:r w:rsidRPr="007279F9">
        <w:rPr>
          <w:b/>
          <w:color w:val="FF0000"/>
        </w:rPr>
        <w:t>Our comment</w:t>
      </w:r>
      <w:r w:rsidRPr="007279F9">
        <w:rPr>
          <w:color w:val="FF0000"/>
        </w:rPr>
        <w:t xml:space="preserve">: </w:t>
      </w:r>
    </w:p>
    <w:p w:rsidR="00177860" w:rsidRDefault="007279F9" w:rsidP="007279F9">
      <w:pPr>
        <w:spacing w:after="80" w:line="240" w:lineRule="auto"/>
        <w:rPr>
          <w:color w:val="FF0000"/>
        </w:rPr>
      </w:pPr>
      <w:r w:rsidRPr="007279F9">
        <w:rPr>
          <w:color w:val="FF0000"/>
        </w:rPr>
        <w:t xml:space="preserve">Those MAC PIB attributes are designed for OCC modes only. I guess </w:t>
      </w:r>
      <w:proofErr w:type="spellStart"/>
      <w:r w:rsidRPr="007279F9">
        <w:rPr>
          <w:color w:val="FF0000"/>
        </w:rPr>
        <w:t>LiFi</w:t>
      </w:r>
      <w:proofErr w:type="spellEnd"/>
      <w:r w:rsidRPr="007279F9">
        <w:rPr>
          <w:color w:val="FF0000"/>
        </w:rPr>
        <w:t xml:space="preserve"> modes do not require those attributes.</w:t>
      </w:r>
      <w:r w:rsidR="00886D38">
        <w:rPr>
          <w:color w:val="FF0000"/>
        </w:rPr>
        <w:t xml:space="preserve"> That’s why mandatory MAC attributes start with “</w:t>
      </w:r>
      <w:proofErr w:type="spellStart"/>
      <w:r w:rsidR="00886D38">
        <w:rPr>
          <w:color w:val="FF0000"/>
        </w:rPr>
        <w:t>macOcc</w:t>
      </w:r>
      <w:proofErr w:type="spellEnd"/>
      <w:r w:rsidR="00886D38">
        <w:rPr>
          <w:color w:val="FF0000"/>
        </w:rPr>
        <w:t>…”.</w:t>
      </w:r>
    </w:p>
    <w:p w:rsidR="00642F6E" w:rsidRPr="007279F9" w:rsidRDefault="00642F6E" w:rsidP="007279F9">
      <w:pPr>
        <w:spacing w:after="80" w:line="240" w:lineRule="auto"/>
        <w:rPr>
          <w:color w:val="FF0000"/>
        </w:rPr>
      </w:pPr>
    </w:p>
    <w:p w:rsidR="007279F9" w:rsidRPr="00642F6E" w:rsidRDefault="008676FC" w:rsidP="00642F6E">
      <w:pPr>
        <w:pStyle w:val="Heading2"/>
        <w:rPr>
          <w:b/>
        </w:rPr>
      </w:pPr>
      <w:r w:rsidRPr="00642F6E">
        <w:rPr>
          <w:b/>
        </w:rPr>
        <w:t>I- MAC PIB Attributes</w:t>
      </w:r>
    </w:p>
    <w:p w:rsidR="008676FC" w:rsidRDefault="008676FC" w:rsidP="00177860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831"/>
        <w:gridCol w:w="900"/>
        <w:gridCol w:w="804"/>
        <w:gridCol w:w="937"/>
        <w:gridCol w:w="4783"/>
      </w:tblGrid>
      <w:tr w:rsidR="00875F0E" w:rsidRPr="00C5251B" w:rsidTr="00875F0E">
        <w:trPr>
          <w:trHeight w:val="368"/>
        </w:trPr>
        <w:tc>
          <w:tcPr>
            <w:tcW w:w="2831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0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37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783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D527D5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mac</w:t>
            </w:r>
            <w:r w:rsidR="00875F0E"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FrameVersion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3 bit</w:t>
            </w:r>
          </w:p>
        </w:tc>
        <w:tc>
          <w:tcPr>
            <w:tcW w:w="937" w:type="dxa"/>
          </w:tcPr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000- 111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specifies the OCC MAC frame version.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00</w:t>
            </w:r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0: IEEE </w:t>
            </w:r>
            <w:proofErr w:type="spellStart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Std</w:t>
            </w:r>
            <w:proofErr w:type="spellEnd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 802.15.7-2011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00</w:t>
            </w:r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1: IEEE </w:t>
            </w:r>
            <w:proofErr w:type="spellStart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Std</w:t>
            </w:r>
            <w:proofErr w:type="spellEnd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 802.15.7-201x OCC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</w:rPr>
              <w:t>010-111</w:t>
            </w:r>
            <w:r w:rsidR="00875F0E" w:rsidRPr="00875F0E">
              <w:rPr>
                <w:rFonts w:ascii="Arial" w:hAnsi="Arial" w:cs="Arial"/>
                <w:color w:val="FF0000"/>
                <w:kern w:val="24"/>
                <w:sz w:val="16"/>
              </w:rPr>
              <w:t>: Reserved</w:t>
            </w:r>
          </w:p>
        </w:tc>
      </w:tr>
      <w:tr w:rsidR="002E6B6B" w:rsidRPr="00D73130" w:rsidTr="00875F0E">
        <w:tc>
          <w:tcPr>
            <w:tcW w:w="2831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macOccFrameType</w:t>
            </w:r>
            <w:proofErr w:type="spellEnd"/>
          </w:p>
        </w:tc>
        <w:tc>
          <w:tcPr>
            <w:tcW w:w="900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3 bit</w:t>
            </w:r>
          </w:p>
        </w:tc>
        <w:tc>
          <w:tcPr>
            <w:tcW w:w="937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000- 111</w:t>
            </w:r>
          </w:p>
        </w:tc>
        <w:tc>
          <w:tcPr>
            <w:tcW w:w="4783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specifies the OCC MAC frame.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0: Unidirectional Information Broadcasting (IB) frame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1: Light-ID frame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010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: Bidirectional data transfer (D2D mode)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</w:rPr>
              <w:t>011-111</w:t>
            </w:r>
            <w:r w:rsidRPr="00875F0E">
              <w:rPr>
                <w:rFonts w:ascii="Arial" w:hAnsi="Arial" w:cs="Arial"/>
                <w:color w:val="FF0000"/>
                <w:kern w:val="24"/>
                <w:sz w:val="16"/>
              </w:rPr>
              <w:t>: Reserved</w:t>
            </w:r>
          </w:p>
        </w:tc>
      </w:tr>
      <w:tr w:rsidR="00875F0E" w:rsidRPr="00D73130" w:rsidTr="00875F0E">
        <w:trPr>
          <w:trHeight w:val="440"/>
        </w:trPr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macOccSecurityEnable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configure security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Security disable (all the OCC broadcasting modes)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Security enable</w:t>
            </w:r>
          </w:p>
        </w:tc>
      </w:tr>
      <w:tr w:rsidR="00875F0E" w:rsidRPr="00D73130" w:rsidTr="00875F0E">
        <w:trPr>
          <w:trHeight w:val="521"/>
        </w:trPr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D73130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t>1- Light-ID MAC frame format (Indoor scenario)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macLightIdPrefix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0x00- 0xff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The Light-ID prefix field to indicate further information of the frame, such as company ID.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macLightIdFrameSubtype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3 bit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b000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-b111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specifies the subtype of Light-ID MAC frame. Thus the subtype also gives the information of the frame length.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000: 3 subfields Light-ID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001: 4 subfields Light-ID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010: Mixed Light-ID subtypes (including </w:t>
            </w:r>
            <w:r w:rsidR="00BE02A3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the full and the 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shorten IDs)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011-111: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macLightIdFullIdCycle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This attribute is present solely </w:t>
            </w:r>
            <w:proofErr w:type="spellStart"/>
            <w:r w:rsidRPr="00875F0E">
              <w:rPr>
                <w:rFonts w:ascii="Arial" w:hAnsi="Arial" w:cs="Arial"/>
                <w:i/>
                <w:iCs/>
                <w:color w:val="000000" w:themeColor="text1"/>
                <w:kern w:val="24"/>
                <w:sz w:val="14"/>
                <w:szCs w:val="22"/>
              </w:rPr>
              <w:t>macLightIdFrameSubtype</w:t>
            </w:r>
            <w:proofErr w:type="spellEnd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 = 010.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No shorten 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1: (1 full ID || 22 shorten IDs) 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3-7: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macLightIdSubfield1Length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1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0 byte (for the shorten frame type)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1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2: 2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3-7: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macLightIdSubfield2Length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Same as macLightIdSubfield1Length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macLightIdSubfield3Length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3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1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2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2-7: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macLightIdSubfield4Length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4 (optional subfield)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0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2 byte advertisement indicator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2-7: Reserved</w:t>
            </w:r>
          </w:p>
        </w:tc>
      </w:tr>
      <w:tr w:rsidR="00875F0E" w:rsidRPr="00D73130" w:rsidTr="00F72270"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875F0E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t>2- Unidirectional IB mode MAC frame format</w:t>
            </w:r>
          </w:p>
          <w:p w:rsidR="00875F0E" w:rsidRPr="00D73130" w:rsidRDefault="00875F0E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macIBSourceAddressEnable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enable the source addressing for OCC IB.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Source Addressing is enable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Source Addressing is disable</w:t>
            </w:r>
          </w:p>
        </w:tc>
      </w:tr>
      <w:tr w:rsidR="00875F0E" w:rsidRPr="00D73130" w:rsidTr="00875F0E">
        <w:trPr>
          <w:trHeight w:val="476"/>
        </w:trPr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lastRenderedPageBreak/>
              <w:t>macIBSourceAddress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1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This specifies the address of the transmitting source if the IB Source Addressing is enable.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Otherwise, it sets to 0xff.</w:t>
            </w:r>
          </w:p>
        </w:tc>
      </w:tr>
      <w:tr w:rsidR="00875F0E" w:rsidRPr="00D73130" w:rsidTr="00F72270"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875F0E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t>3- Bidirectional Data transfer MAC frame format (D2D)</w:t>
            </w:r>
          </w:p>
          <w:p w:rsidR="00875F0E" w:rsidRPr="00D73130" w:rsidRDefault="00875F0E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macD2DSourceAddressModeEnable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enable the source addressing mode for OCC D2D.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Source Addressing Mode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Destination Addressing Mode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macD2DSourceDestAddress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2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0x0000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– 0xffff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The Address field corresponds to the D2D Address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If 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Destination Addressing Mode is enable, this attributes </w:t>
            </w: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specifies the address of the intended recipient of the frame.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Otherwise, this specifies the address of the transmitting source.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macD2DSecurityHeader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2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0x0000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– 0xffff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The security header corresponds to the secured D2D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is set to 0xffff if the security flag is disable.</w:t>
            </w:r>
          </w:p>
        </w:tc>
      </w:tr>
      <w:tr w:rsidR="00875F0E" w:rsidRPr="00D73130" w:rsidTr="00875F0E">
        <w:tc>
          <w:tcPr>
            <w:tcW w:w="2831" w:type="dxa"/>
            <w:vAlign w:val="center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3" w:type="dxa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7860" w:rsidRDefault="00177860" w:rsidP="00177860"/>
    <w:p w:rsidR="008676FC" w:rsidRDefault="008676FC">
      <w:r>
        <w:br w:type="page"/>
      </w:r>
    </w:p>
    <w:p w:rsidR="00EE7691" w:rsidRPr="00642F6E" w:rsidRDefault="008676FC" w:rsidP="00642F6E">
      <w:pPr>
        <w:pStyle w:val="Heading2"/>
        <w:rPr>
          <w:b/>
        </w:rPr>
      </w:pPr>
      <w:r w:rsidRPr="00642F6E">
        <w:rPr>
          <w:b/>
        </w:rPr>
        <w:lastRenderedPageBreak/>
        <w:t xml:space="preserve">II- MAC </w:t>
      </w:r>
      <w:r w:rsidR="00EE7691" w:rsidRPr="00642F6E">
        <w:rPr>
          <w:b/>
        </w:rPr>
        <w:t>Format of Individual frames</w:t>
      </w:r>
    </w:p>
    <w:p w:rsidR="00177860" w:rsidRDefault="00642F6E" w:rsidP="00642F6E">
      <w:pPr>
        <w:pStyle w:val="Heading3"/>
        <w:rPr>
          <w:b/>
          <w:bCs/>
        </w:rPr>
      </w:pPr>
      <w:r>
        <w:rPr>
          <w:b/>
          <w:bCs/>
        </w:rPr>
        <w:t>2.</w:t>
      </w:r>
      <w:r w:rsidR="00EE7691" w:rsidRPr="00EE7691">
        <w:rPr>
          <w:b/>
          <w:bCs/>
        </w:rPr>
        <w:t>1- Light-ID MAC frame format</w:t>
      </w:r>
    </w:p>
    <w:p w:rsidR="002E6B6B" w:rsidRDefault="002E6B6B" w:rsidP="002E6B6B">
      <w:r>
        <w:t>The configuration of Light-ID</w:t>
      </w:r>
      <w:r w:rsidR="00BE02A3">
        <w:t xml:space="preserve"> MAC</w:t>
      </w:r>
      <w:r>
        <w:t xml:space="preserve"> </w:t>
      </w:r>
      <w:r w:rsidRPr="00524516">
        <w:t xml:space="preserve">frame format </w:t>
      </w:r>
      <w:r>
        <w:t>is performed over MAC</w:t>
      </w:r>
      <w:r w:rsidRPr="00524516">
        <w:t xml:space="preserve"> attributes</w:t>
      </w:r>
      <w:r>
        <w:t>:</w:t>
      </w:r>
    </w:p>
    <w:p w:rsidR="002E6B6B" w:rsidRPr="00524516" w:rsidRDefault="002E6B6B" w:rsidP="002E6B6B">
      <w:pPr>
        <w:spacing w:after="80" w:line="240" w:lineRule="auto"/>
        <w:ind w:firstLine="720"/>
      </w:pPr>
      <w:proofErr w:type="spellStart"/>
      <w:r w:rsidRPr="00524516">
        <w:rPr>
          <w:i/>
          <w:iCs/>
        </w:rPr>
        <w:t>macOccFrameVersion</w:t>
      </w:r>
      <w:proofErr w:type="spellEnd"/>
      <w:r w:rsidRPr="00524516">
        <w:t>:</w:t>
      </w:r>
      <w:r w:rsidRPr="00524516">
        <w:tab/>
      </w:r>
      <w:r>
        <w:tab/>
      </w:r>
      <w:r w:rsidRPr="00524516">
        <w:t>001</w:t>
      </w:r>
    </w:p>
    <w:p w:rsidR="002E6B6B" w:rsidRPr="00524516" w:rsidRDefault="002E6B6B" w:rsidP="002E6B6B">
      <w:pPr>
        <w:spacing w:after="80" w:line="240" w:lineRule="auto"/>
        <w:ind w:firstLine="720"/>
      </w:pPr>
      <w:proofErr w:type="spellStart"/>
      <w:r w:rsidRPr="00524516">
        <w:rPr>
          <w:i/>
          <w:iCs/>
        </w:rPr>
        <w:t>macOccFrameType</w:t>
      </w:r>
      <w:proofErr w:type="spellEnd"/>
      <w:r w:rsidRPr="00524516">
        <w:t>:</w:t>
      </w:r>
      <w:r w:rsidRPr="00524516">
        <w:tab/>
      </w:r>
      <w:r w:rsidRPr="00524516">
        <w:tab/>
        <w:t>00</w:t>
      </w:r>
      <w:r>
        <w:t>1</w:t>
      </w:r>
      <w:r w:rsidRPr="00524516">
        <w:t xml:space="preserve"> </w:t>
      </w:r>
      <w:r w:rsidRPr="00524516">
        <w:tab/>
      </w:r>
      <w:r w:rsidRPr="00524516">
        <w:tab/>
      </w:r>
    </w:p>
    <w:p w:rsidR="002E6B6B" w:rsidRPr="00524516" w:rsidRDefault="002E6B6B" w:rsidP="002E6B6B">
      <w:pPr>
        <w:ind w:firstLine="720"/>
      </w:pPr>
      <w:proofErr w:type="spellStart"/>
      <w:r w:rsidRPr="00524516">
        <w:rPr>
          <w:i/>
          <w:iCs/>
        </w:rPr>
        <w:t>macOccSecurityEnable</w:t>
      </w:r>
      <w:proofErr w:type="spellEnd"/>
      <w:r w:rsidRPr="00524516">
        <w:t>:</w:t>
      </w:r>
      <w:r w:rsidRPr="00524516">
        <w:tab/>
      </w:r>
      <w:r>
        <w:tab/>
      </w:r>
      <w:r w:rsidR="005C0333">
        <w:t>FALSE</w:t>
      </w:r>
    </w:p>
    <w:p w:rsidR="00EE7691" w:rsidRDefault="00EE7691" w:rsidP="00230D94">
      <w:pPr>
        <w:spacing w:after="120"/>
      </w:pPr>
      <w:r w:rsidRPr="00EE7691">
        <w:rPr>
          <w:bCs/>
        </w:rPr>
        <w:t xml:space="preserve">MAC frame is light-ID frame when </w:t>
      </w:r>
      <w:proofErr w:type="spellStart"/>
      <w:r w:rsidRPr="00B11797">
        <w:rPr>
          <w:bCs/>
          <w:i/>
        </w:rPr>
        <w:t>macOccFrameType</w:t>
      </w:r>
      <w:proofErr w:type="spellEnd"/>
      <w:r w:rsidRPr="00EE7691">
        <w:rPr>
          <w:bCs/>
        </w:rPr>
        <w:t xml:space="preserve"> = </w:t>
      </w:r>
      <w:r w:rsidR="00BE02A3">
        <w:rPr>
          <w:bCs/>
        </w:rPr>
        <w:t>00</w:t>
      </w:r>
      <w:r w:rsidRPr="00EE7691">
        <w:rPr>
          <w:bCs/>
        </w:rPr>
        <w:t>1.</w:t>
      </w:r>
      <w:r w:rsidR="00B11797">
        <w:rPr>
          <w:bCs/>
        </w:rPr>
        <w:t xml:space="preserve"> </w:t>
      </w:r>
      <w:r>
        <w:t>The other MAC attributes for Light-ID frame</w:t>
      </w:r>
      <w:r w:rsidR="00BE02A3">
        <w:t xml:space="preserve"> (</w:t>
      </w:r>
      <w:proofErr w:type="spellStart"/>
      <w:r w:rsidR="00BE02A3" w:rsidRPr="00BE02A3">
        <w:rPr>
          <w:i/>
        </w:rPr>
        <w:t>macLightIdPrefix</w:t>
      </w:r>
      <w:proofErr w:type="spellEnd"/>
      <w:r w:rsidR="00BE02A3">
        <w:t xml:space="preserve">, </w:t>
      </w:r>
      <w:proofErr w:type="spellStart"/>
      <w:r w:rsidR="00BE02A3" w:rsidRPr="00BE02A3">
        <w:rPr>
          <w:i/>
        </w:rPr>
        <w:t>macLightIdFrameSubtype</w:t>
      </w:r>
      <w:proofErr w:type="spellEnd"/>
      <w:r w:rsidR="00BE02A3">
        <w:t xml:space="preserve">, </w:t>
      </w:r>
      <w:proofErr w:type="spellStart"/>
      <w:r w:rsidR="00BE02A3" w:rsidRPr="00BE02A3">
        <w:rPr>
          <w:i/>
        </w:rPr>
        <w:t>macLightIdFullIdCycle</w:t>
      </w:r>
      <w:proofErr w:type="spellEnd"/>
      <w:r w:rsidR="00BE02A3">
        <w:t xml:space="preserve">, </w:t>
      </w:r>
      <w:r w:rsidR="00BE02A3" w:rsidRPr="00BE02A3">
        <w:rPr>
          <w:i/>
        </w:rPr>
        <w:t>macLightIdSubfield1Length</w:t>
      </w:r>
      <w:r w:rsidR="00BE02A3">
        <w:t xml:space="preserve">, </w:t>
      </w:r>
      <w:r w:rsidR="00BE02A3" w:rsidRPr="00BE02A3">
        <w:rPr>
          <w:i/>
        </w:rPr>
        <w:t>macLightIdSubfield2Length</w:t>
      </w:r>
      <w:r w:rsidR="00BE02A3">
        <w:t xml:space="preserve">, </w:t>
      </w:r>
      <w:r w:rsidR="00BE02A3" w:rsidRPr="00BE02A3">
        <w:rPr>
          <w:i/>
        </w:rPr>
        <w:t>macLightIdSubfield3Length</w:t>
      </w:r>
      <w:r w:rsidR="00BE02A3">
        <w:t xml:space="preserve">, and </w:t>
      </w:r>
      <w:r w:rsidR="00BE02A3" w:rsidRPr="00BE02A3">
        <w:rPr>
          <w:i/>
        </w:rPr>
        <w:t>macLightIdSubfield4Length</w:t>
      </w:r>
      <w:r w:rsidR="00BE02A3">
        <w:t>)</w:t>
      </w:r>
      <w:r>
        <w:t xml:space="preserve"> shall </w:t>
      </w:r>
      <w:r w:rsidR="00BE02A3">
        <w:t xml:space="preserve">configure </w:t>
      </w:r>
      <w:r>
        <w:t xml:space="preserve">the specification of the MAC frame used. </w:t>
      </w:r>
    </w:p>
    <w:p w:rsidR="00EE7691" w:rsidRDefault="00EE7691" w:rsidP="00635BA6">
      <w:pPr>
        <w:spacing w:after="80" w:line="240" w:lineRule="auto"/>
        <w:jc w:val="both"/>
      </w:pPr>
      <w:r>
        <w:t xml:space="preserve">For </w:t>
      </w:r>
      <w:r w:rsidR="00BE02A3">
        <w:t xml:space="preserve">the </w:t>
      </w:r>
      <w:r>
        <w:t xml:space="preserve">subtype of </w:t>
      </w:r>
      <w:r w:rsidR="00E2008A" w:rsidRPr="00EE7691">
        <w:t xml:space="preserve">MAC frame formats </w:t>
      </w:r>
      <w:r>
        <w:t>of</w:t>
      </w:r>
      <w:r w:rsidR="00923F61">
        <w:t xml:space="preserve"> Light-ID that ha</w:t>
      </w:r>
      <w:r w:rsidR="00BE02A3">
        <w:t>s</w:t>
      </w:r>
      <w:r w:rsidR="00923F61">
        <w:t xml:space="preserve"> </w:t>
      </w:r>
      <w:proofErr w:type="spellStart"/>
      <w:r w:rsidR="00E2008A" w:rsidRPr="00EE7691">
        <w:rPr>
          <w:i/>
          <w:iCs/>
        </w:rPr>
        <w:t>macLightIdFrameSubtype</w:t>
      </w:r>
      <w:proofErr w:type="spellEnd"/>
      <w:r w:rsidR="00E2008A" w:rsidRPr="00EE7691">
        <w:t xml:space="preserve"> =000</w:t>
      </w:r>
      <w:r w:rsidR="00923F61">
        <w:t xml:space="preserve"> or </w:t>
      </w:r>
      <w:proofErr w:type="spellStart"/>
      <w:r w:rsidR="00E2008A" w:rsidRPr="00EE7691">
        <w:rPr>
          <w:i/>
          <w:iCs/>
        </w:rPr>
        <w:t>macLightIdFrameSubtype</w:t>
      </w:r>
      <w:proofErr w:type="spellEnd"/>
      <w:r w:rsidR="00E2008A" w:rsidRPr="00EE7691">
        <w:t xml:space="preserve"> =001</w:t>
      </w:r>
      <w:r w:rsidR="00923F61">
        <w:t>, the format of MAC is</w:t>
      </w:r>
      <w:r w:rsidR="00BE02A3">
        <w:t xml:space="preserve"> only payload field</w:t>
      </w:r>
      <w:r w:rsidR="00923F61">
        <w:t xml:space="preserve"> </w:t>
      </w:r>
      <w:r w:rsidR="0062435B">
        <w:t>as</w:t>
      </w:r>
      <w:r w:rsidR="00BE02A3">
        <w:t xml:space="preserve"> shown in</w:t>
      </w:r>
      <w:r w:rsidR="0062435B">
        <w:t xml:space="preserve"> </w:t>
      </w:r>
      <w:r w:rsidR="0062435B" w:rsidRPr="0012090F">
        <w:rPr>
          <w:highlight w:val="yellow"/>
        </w:rPr>
        <w:t>Fig. 01</w:t>
      </w:r>
      <w:r w:rsidR="0062435B">
        <w:t xml:space="preserve">. The </w:t>
      </w:r>
      <w:r w:rsidR="00BE02A3">
        <w:t xml:space="preserve">subfields of the payload </w:t>
      </w:r>
      <w:r w:rsidR="0062435B">
        <w:t xml:space="preserve">shall be </w:t>
      </w:r>
      <w:r w:rsidR="00ED291D">
        <w:t>formatted according</w:t>
      </w:r>
      <w:r w:rsidR="00635BA6">
        <w:t xml:space="preserve"> to the </w:t>
      </w:r>
      <w:r w:rsidR="00DE5451">
        <w:t xml:space="preserve">selected </w:t>
      </w:r>
      <w:r w:rsidR="00635BA6">
        <w:t xml:space="preserve">frame subtype </w:t>
      </w:r>
      <w:r w:rsidR="00DE5451">
        <w:t>over the</w:t>
      </w:r>
      <w:r w:rsidR="00230D94">
        <w:t xml:space="preserve"> remaining attributes (</w:t>
      </w:r>
      <w:r w:rsidR="00230D94" w:rsidRPr="00230D94">
        <w:rPr>
          <w:i/>
        </w:rPr>
        <w:t>macLightIdSubfield1Length</w:t>
      </w:r>
      <w:r w:rsidR="00230D94">
        <w:t xml:space="preserve">, </w:t>
      </w:r>
      <w:r w:rsidR="00230D94" w:rsidRPr="00230D94">
        <w:rPr>
          <w:i/>
        </w:rPr>
        <w:t>macLightIdSubfield2Length</w:t>
      </w:r>
      <w:r w:rsidR="00230D94">
        <w:t xml:space="preserve">, </w:t>
      </w:r>
      <w:r w:rsidR="00230D94" w:rsidRPr="00230D94">
        <w:rPr>
          <w:i/>
        </w:rPr>
        <w:t>macLightIdSubfield3Length</w:t>
      </w:r>
      <w:r w:rsidR="00230D94">
        <w:t xml:space="preserve">, and </w:t>
      </w:r>
      <w:r w:rsidR="00230D94" w:rsidRPr="00230D94">
        <w:rPr>
          <w:i/>
        </w:rPr>
        <w:t>macLightIdSubfield4Length</w:t>
      </w:r>
      <w:r w:rsidR="00230D94">
        <w:t>)</w:t>
      </w:r>
      <w:r w:rsidR="00635BA6">
        <w:t>.</w:t>
      </w:r>
      <w:r w:rsidR="00230D94">
        <w:t xml:space="preserve"> </w:t>
      </w:r>
    </w:p>
    <w:p w:rsidR="0062435B" w:rsidRDefault="0062435B" w:rsidP="00923F61">
      <w:pPr>
        <w:spacing w:after="80" w:line="240" w:lineRule="auto"/>
      </w:pPr>
    </w:p>
    <w:tbl>
      <w:tblPr>
        <w:tblW w:w="6300" w:type="dxa"/>
        <w:tblInd w:w="1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00"/>
      </w:tblGrid>
      <w:tr w:rsidR="00EE7691" w:rsidRPr="00EE7691" w:rsidTr="00923F61">
        <w:trPr>
          <w:trHeight w:val="214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Variable</w:t>
            </w:r>
          </w:p>
        </w:tc>
      </w:tr>
      <w:tr w:rsidR="00EE7691" w:rsidRPr="00EE7691" w:rsidTr="00EE7691">
        <w:trPr>
          <w:trHeight w:val="19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Frame payload (3/4 subfields)</w:t>
            </w:r>
          </w:p>
        </w:tc>
      </w:tr>
      <w:tr w:rsidR="00EE7691" w:rsidRPr="00EE7691" w:rsidTr="00923F61">
        <w:trPr>
          <w:trHeight w:val="11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MSDU</w:t>
            </w:r>
          </w:p>
        </w:tc>
      </w:tr>
    </w:tbl>
    <w:p w:rsidR="00923F61" w:rsidRPr="0012090F" w:rsidRDefault="0062435B" w:rsidP="0062435B">
      <w:pPr>
        <w:jc w:val="center"/>
        <w:rPr>
          <w:b/>
        </w:rPr>
      </w:pPr>
      <w:r w:rsidRPr="0012090F">
        <w:rPr>
          <w:b/>
        </w:rPr>
        <w:t xml:space="preserve">Figure 01 – </w:t>
      </w:r>
      <w:proofErr w:type="spellStart"/>
      <w:r w:rsidRPr="0012090F">
        <w:rPr>
          <w:b/>
        </w:rPr>
        <w:t>Light_ID</w:t>
      </w:r>
      <w:proofErr w:type="spellEnd"/>
      <w:r w:rsidRPr="0012090F">
        <w:rPr>
          <w:b/>
        </w:rPr>
        <w:t xml:space="preserve"> frame format for </w:t>
      </w:r>
      <w:r w:rsidR="0070254A">
        <w:rPr>
          <w:b/>
        </w:rPr>
        <w:t xml:space="preserve">selected </w:t>
      </w:r>
      <w:r w:rsidRPr="0012090F">
        <w:rPr>
          <w:b/>
        </w:rPr>
        <w:t>subtype 000 and 001.</w:t>
      </w:r>
    </w:p>
    <w:p w:rsidR="009521DB" w:rsidRDefault="00923F61" w:rsidP="00923F61">
      <w:r>
        <w:t xml:space="preserve">For </w:t>
      </w:r>
      <w:r w:rsidR="00BE02A3">
        <w:t xml:space="preserve">the </w:t>
      </w:r>
      <w:r>
        <w:t xml:space="preserve">subtype of </w:t>
      </w:r>
      <w:r w:rsidRPr="00EE7691">
        <w:t xml:space="preserve">MAC frame formats </w:t>
      </w:r>
      <w:r>
        <w:t xml:space="preserve">of Light-ID that has </w:t>
      </w:r>
      <w:proofErr w:type="spellStart"/>
      <w:r w:rsidR="00E2008A" w:rsidRPr="00923F61">
        <w:rPr>
          <w:i/>
          <w:iCs/>
        </w:rPr>
        <w:t>macLightIdFrameSubtype</w:t>
      </w:r>
      <w:proofErr w:type="spellEnd"/>
      <w:r w:rsidR="00E2008A" w:rsidRPr="00923F61">
        <w:t xml:space="preserve"> =010</w:t>
      </w:r>
      <w:r>
        <w:t xml:space="preserve">, different MAC </w:t>
      </w:r>
      <w:proofErr w:type="spellStart"/>
      <w:r>
        <w:t>subframes</w:t>
      </w:r>
      <w:proofErr w:type="spellEnd"/>
      <w:r w:rsidR="00BE02A3">
        <w:t>,</w:t>
      </w:r>
      <w:r>
        <w:t xml:space="preserve"> </w:t>
      </w:r>
      <w:r w:rsidR="002E6B6B">
        <w:t xml:space="preserve">including </w:t>
      </w:r>
      <w:r w:rsidR="00BE02A3">
        <w:t xml:space="preserve">a </w:t>
      </w:r>
      <w:r>
        <w:t>full ID frame</w:t>
      </w:r>
      <w:r w:rsidR="00BE02A3">
        <w:t xml:space="preserve"> (subtype 000 or 001)</w:t>
      </w:r>
      <w:r>
        <w:t xml:space="preserve"> and </w:t>
      </w:r>
      <w:r w:rsidR="00BE02A3">
        <w:t xml:space="preserve">multiple </w:t>
      </w:r>
      <w:r>
        <w:t>shorten ID frame</w:t>
      </w:r>
      <w:r w:rsidR="00BE02A3">
        <w:t>s,</w:t>
      </w:r>
      <w:r w:rsidR="0070254A">
        <w:t xml:space="preserve"> shall be transmitted as shown </w:t>
      </w:r>
      <w:r w:rsidR="0070254A" w:rsidRPr="0070254A">
        <w:rPr>
          <w:highlight w:val="yellow"/>
        </w:rPr>
        <w:t>in Fig. 02.</w:t>
      </w:r>
      <w:r w:rsidR="005F4CF0">
        <w:t xml:space="preserve"> The shorten ID frame shall contain only the last subfield of the full ID frame payload.</w:t>
      </w:r>
    </w:p>
    <w:p w:rsidR="00923F61" w:rsidRPr="00923F61" w:rsidRDefault="00923F61" w:rsidP="00923F61">
      <w:r>
        <w:rPr>
          <w:noProof/>
          <w:lang w:eastAsia="en-US"/>
        </w:rPr>
        <w:drawing>
          <wp:inline distT="0" distB="0" distL="0" distR="0" wp14:anchorId="16DFBFF4" wp14:editId="469D841D">
            <wp:extent cx="5943600" cy="131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54A" w:rsidRPr="0012090F" w:rsidRDefault="0070254A" w:rsidP="0070254A">
      <w:pPr>
        <w:jc w:val="center"/>
        <w:rPr>
          <w:b/>
        </w:rPr>
      </w:pPr>
      <w:r w:rsidRPr="0012090F">
        <w:rPr>
          <w:b/>
        </w:rPr>
        <w:t>Figure 0</w:t>
      </w:r>
      <w:r>
        <w:rPr>
          <w:b/>
        </w:rPr>
        <w:t>2</w:t>
      </w:r>
      <w:r w:rsidRPr="0012090F">
        <w:rPr>
          <w:b/>
        </w:rPr>
        <w:t xml:space="preserve"> – </w:t>
      </w:r>
      <w:proofErr w:type="spellStart"/>
      <w:r w:rsidRPr="0012090F">
        <w:rPr>
          <w:b/>
        </w:rPr>
        <w:t>Light_ID</w:t>
      </w:r>
      <w:proofErr w:type="spellEnd"/>
      <w:r w:rsidRPr="0012090F">
        <w:rPr>
          <w:b/>
        </w:rPr>
        <w:t xml:space="preserve"> frame format for </w:t>
      </w:r>
      <w:r>
        <w:rPr>
          <w:b/>
        </w:rPr>
        <w:t xml:space="preserve">selected </w:t>
      </w:r>
      <w:r w:rsidRPr="0012090F">
        <w:rPr>
          <w:b/>
        </w:rPr>
        <w:t>subtype 0</w:t>
      </w:r>
      <w:r>
        <w:rPr>
          <w:b/>
        </w:rPr>
        <w:t>10</w:t>
      </w:r>
      <w:r w:rsidR="0073374C">
        <w:rPr>
          <w:b/>
        </w:rPr>
        <w:t xml:space="preserve"> (with different MAC </w:t>
      </w:r>
      <w:proofErr w:type="spellStart"/>
      <w:r w:rsidR="0073374C">
        <w:rPr>
          <w:b/>
        </w:rPr>
        <w:t>subframes</w:t>
      </w:r>
      <w:proofErr w:type="spellEnd"/>
      <w:r w:rsidR="0073374C">
        <w:rPr>
          <w:b/>
        </w:rPr>
        <w:t>)</w:t>
      </w:r>
      <w:r>
        <w:rPr>
          <w:b/>
        </w:rPr>
        <w:t>.</w:t>
      </w:r>
    </w:p>
    <w:p w:rsidR="0070254A" w:rsidRDefault="0070254A" w:rsidP="00923F61"/>
    <w:p w:rsidR="00923F61" w:rsidRPr="00923F61" w:rsidRDefault="00923F61" w:rsidP="00923F61">
      <w:pPr>
        <w:rPr>
          <w:iCs/>
        </w:rPr>
      </w:pPr>
      <w:r>
        <w:lastRenderedPageBreak/>
        <w:t xml:space="preserve">Each </w:t>
      </w:r>
      <w:proofErr w:type="spellStart"/>
      <w:r>
        <w:t>subframe</w:t>
      </w:r>
      <w:proofErr w:type="spellEnd"/>
      <w:r>
        <w:t xml:space="preserve"> shall contain a prefix of 3 bits subtype that indicate the value of </w:t>
      </w:r>
      <w:proofErr w:type="spellStart"/>
      <w:r>
        <w:t>m</w:t>
      </w:r>
      <w:r w:rsidRPr="00923F61">
        <w:rPr>
          <w:i/>
          <w:iCs/>
        </w:rPr>
        <w:t>acLightIdFrameSubtype</w:t>
      </w:r>
      <w:proofErr w:type="spellEnd"/>
      <w:r>
        <w:rPr>
          <w:i/>
          <w:iCs/>
        </w:rPr>
        <w:t xml:space="preserve">. </w:t>
      </w:r>
      <w:r w:rsidRPr="00923F61">
        <w:rPr>
          <w:iCs/>
        </w:rPr>
        <w:t>The</w:t>
      </w:r>
      <w:r>
        <w:rPr>
          <w:iCs/>
        </w:rPr>
        <w:t xml:space="preserve"> </w:t>
      </w:r>
      <w:r w:rsidR="005F4CF0">
        <w:rPr>
          <w:iCs/>
        </w:rPr>
        <w:t>interframe interval between two full</w:t>
      </w:r>
      <w:r>
        <w:rPr>
          <w:iCs/>
        </w:rPr>
        <w:t xml:space="preserve"> ID frame</w:t>
      </w:r>
      <w:r w:rsidR="005F4CF0">
        <w:rPr>
          <w:iCs/>
        </w:rPr>
        <w:t>s</w:t>
      </w:r>
      <w:r>
        <w:rPr>
          <w:iCs/>
        </w:rPr>
        <w:t xml:space="preserve"> is </w:t>
      </w:r>
      <w:r w:rsidR="00CE2CCD">
        <w:rPr>
          <w:iCs/>
        </w:rPr>
        <w:t>configured</w:t>
      </w:r>
      <w:r>
        <w:rPr>
          <w:iCs/>
        </w:rPr>
        <w:t xml:space="preserve"> </w:t>
      </w:r>
      <w:r w:rsidR="00CE2CCD">
        <w:rPr>
          <w:iCs/>
        </w:rPr>
        <w:t>over</w:t>
      </w:r>
      <w:r>
        <w:rPr>
          <w:iCs/>
        </w:rPr>
        <w:t xml:space="preserve"> </w:t>
      </w:r>
      <w:proofErr w:type="spellStart"/>
      <w:r w:rsidRPr="00923F61">
        <w:rPr>
          <w:i/>
          <w:iCs/>
        </w:rPr>
        <w:t>macLightIdFullIdCycle</w:t>
      </w:r>
      <w:proofErr w:type="spellEnd"/>
      <w:r>
        <w:rPr>
          <w:iCs/>
        </w:rPr>
        <w:t>.</w:t>
      </w:r>
    </w:p>
    <w:p w:rsidR="00EE7691" w:rsidRDefault="00EE7691" w:rsidP="00177860"/>
    <w:p w:rsidR="00ED291D" w:rsidRDefault="00642F6E" w:rsidP="00642F6E">
      <w:pPr>
        <w:pStyle w:val="Heading3"/>
        <w:rPr>
          <w:b/>
          <w:bCs/>
        </w:rPr>
      </w:pPr>
      <w:r>
        <w:rPr>
          <w:b/>
          <w:bCs/>
        </w:rPr>
        <w:t>2.</w:t>
      </w:r>
      <w:r w:rsidR="00ED291D">
        <w:rPr>
          <w:b/>
          <w:bCs/>
        </w:rPr>
        <w:t>2-</w:t>
      </w:r>
      <w:r w:rsidR="00ED291D" w:rsidRPr="00EE7691">
        <w:rPr>
          <w:b/>
          <w:bCs/>
        </w:rPr>
        <w:t xml:space="preserve"> </w:t>
      </w:r>
      <w:r w:rsidR="00ED291D" w:rsidRPr="00ED291D">
        <w:rPr>
          <w:b/>
          <w:bCs/>
        </w:rPr>
        <w:t>Unidirectional IB mode MAC frame format</w:t>
      </w:r>
    </w:p>
    <w:p w:rsidR="009521DB" w:rsidRDefault="00E85D3C" w:rsidP="00524516">
      <w:r>
        <w:t>All unidirectional IB modes</w:t>
      </w:r>
      <w:r w:rsidR="00E2008A" w:rsidRPr="00524516">
        <w:t xml:space="preserve"> shall configure </w:t>
      </w:r>
      <w:r>
        <w:t>MAC frame</w:t>
      </w:r>
      <w:r w:rsidR="00E2008A" w:rsidRPr="00524516">
        <w:t xml:space="preserve"> format </w:t>
      </w:r>
      <w:r w:rsidR="00292475">
        <w:t>over</w:t>
      </w:r>
      <w:r w:rsidR="00E2008A" w:rsidRPr="00524516">
        <w:t xml:space="preserve"> </w:t>
      </w:r>
      <w:r w:rsidR="00524516">
        <w:t xml:space="preserve">OCC </w:t>
      </w:r>
      <w:r w:rsidR="00E2008A" w:rsidRPr="00524516">
        <w:t>MAC PIB attributes</w:t>
      </w:r>
      <w:r w:rsidR="00524516">
        <w:t>:</w:t>
      </w:r>
    </w:p>
    <w:p w:rsidR="00524516" w:rsidRPr="00524516" w:rsidRDefault="00524516" w:rsidP="00524516">
      <w:pPr>
        <w:spacing w:after="80" w:line="240" w:lineRule="auto"/>
        <w:ind w:firstLine="720"/>
      </w:pPr>
      <w:proofErr w:type="spellStart"/>
      <w:r w:rsidRPr="00524516">
        <w:rPr>
          <w:i/>
          <w:iCs/>
        </w:rPr>
        <w:t>macOccFrameVersion</w:t>
      </w:r>
      <w:proofErr w:type="spellEnd"/>
      <w:r w:rsidRPr="00524516">
        <w:t>:</w:t>
      </w:r>
      <w:r w:rsidRPr="00524516">
        <w:tab/>
      </w:r>
      <w:r w:rsidR="00E14CCA">
        <w:tab/>
      </w:r>
      <w:r w:rsidRPr="00524516">
        <w:t>001</w:t>
      </w:r>
    </w:p>
    <w:p w:rsidR="00524516" w:rsidRPr="00524516" w:rsidRDefault="00524516" w:rsidP="00524516">
      <w:pPr>
        <w:spacing w:after="80" w:line="240" w:lineRule="auto"/>
        <w:ind w:firstLine="720"/>
      </w:pPr>
      <w:proofErr w:type="spellStart"/>
      <w:r w:rsidRPr="00524516">
        <w:rPr>
          <w:i/>
          <w:iCs/>
        </w:rPr>
        <w:t>macOccFrameType</w:t>
      </w:r>
      <w:proofErr w:type="spellEnd"/>
      <w:r w:rsidRPr="00524516">
        <w:t>:</w:t>
      </w:r>
      <w:r w:rsidRPr="00524516">
        <w:tab/>
      </w:r>
      <w:r w:rsidRPr="00524516">
        <w:tab/>
        <w:t xml:space="preserve">000 </w:t>
      </w:r>
      <w:r w:rsidRPr="00524516">
        <w:tab/>
      </w:r>
      <w:r w:rsidRPr="00524516">
        <w:tab/>
      </w:r>
    </w:p>
    <w:p w:rsidR="00524516" w:rsidRPr="00524516" w:rsidRDefault="00524516" w:rsidP="00524516">
      <w:pPr>
        <w:ind w:firstLine="720"/>
      </w:pPr>
      <w:proofErr w:type="spellStart"/>
      <w:r w:rsidRPr="00524516">
        <w:rPr>
          <w:i/>
          <w:iCs/>
        </w:rPr>
        <w:t>macOccSecurityEnable</w:t>
      </w:r>
      <w:proofErr w:type="spellEnd"/>
      <w:r w:rsidRPr="00524516">
        <w:t>:</w:t>
      </w:r>
      <w:r w:rsidRPr="00524516">
        <w:tab/>
      </w:r>
      <w:r>
        <w:tab/>
      </w:r>
      <w:r w:rsidR="005C0333">
        <w:t>FALSE</w:t>
      </w:r>
    </w:p>
    <w:p w:rsidR="003E4C30" w:rsidRDefault="003E4C30" w:rsidP="00E85D3C"/>
    <w:p w:rsidR="009521DB" w:rsidRDefault="00E85D3C" w:rsidP="00E23585">
      <w:pPr>
        <w:spacing w:after="120" w:line="240" w:lineRule="auto"/>
      </w:pPr>
      <w:r>
        <w:t>For l</w:t>
      </w:r>
      <w:r w:rsidRPr="00524516">
        <w:t>ow rate OCC modes (S2-PSK, S8-PSK, CM-FSK, C-OOK, HA-QL)</w:t>
      </w:r>
      <w:r>
        <w:t xml:space="preserve">, </w:t>
      </w:r>
      <w:r w:rsidR="00524516">
        <w:t xml:space="preserve">two additional MAC attributes, </w:t>
      </w:r>
      <w:proofErr w:type="spellStart"/>
      <w:r w:rsidR="00524516" w:rsidRPr="00CE2CCD">
        <w:rPr>
          <w:i/>
        </w:rPr>
        <w:t>macIBSourceAddressEnable</w:t>
      </w:r>
      <w:proofErr w:type="spellEnd"/>
      <w:r w:rsidR="00524516">
        <w:t xml:space="preserve"> and </w:t>
      </w:r>
      <w:proofErr w:type="spellStart"/>
      <w:r w:rsidR="00524516" w:rsidRPr="00CE2CCD">
        <w:rPr>
          <w:i/>
        </w:rPr>
        <w:t>macIBSourceAddress</w:t>
      </w:r>
      <w:proofErr w:type="spellEnd"/>
      <w:r w:rsidR="00524516">
        <w:t>, shall configure the addressing of the selected IB mode. S</w:t>
      </w:r>
      <w:r w:rsidR="00E2008A" w:rsidRPr="00524516">
        <w:t>ecurity is disable for all IB modes</w:t>
      </w:r>
      <w:r w:rsidR="00524516">
        <w:t>, therefore no MAC attribute for security is needed</w:t>
      </w:r>
      <w:r w:rsidR="00E2008A" w:rsidRPr="00524516">
        <w:t>.</w:t>
      </w:r>
      <w:r w:rsidR="00524516">
        <w:t xml:space="preserve"> </w:t>
      </w:r>
      <w:r w:rsidR="00E2008A" w:rsidRPr="00524516">
        <w:t xml:space="preserve">Source address is </w:t>
      </w:r>
      <w:r w:rsidR="00B44C1B">
        <w:t xml:space="preserve">optionally </w:t>
      </w:r>
      <w:r w:rsidR="00E2008A" w:rsidRPr="00524516">
        <w:t>enable in case</w:t>
      </w:r>
      <w:r w:rsidR="0070254A">
        <w:t xml:space="preserve"> </w:t>
      </w:r>
      <w:r w:rsidR="00E2008A" w:rsidRPr="00524516">
        <w:t xml:space="preserve">multiple sources are considered. </w:t>
      </w:r>
      <w:r w:rsidR="00B44C1B">
        <w:t xml:space="preserve">If source address is enable, </w:t>
      </w:r>
      <w:proofErr w:type="spellStart"/>
      <w:r w:rsidR="00B44C1B" w:rsidRPr="00CE2CCD">
        <w:rPr>
          <w:i/>
        </w:rPr>
        <w:t>macIBSourceAddress</w:t>
      </w:r>
      <w:proofErr w:type="spellEnd"/>
      <w:r w:rsidR="00B44C1B">
        <w:t xml:space="preserve"> shall configure the source addressing.</w:t>
      </w:r>
    </w:p>
    <w:p w:rsidR="00E85D3C" w:rsidRDefault="00E85D3C" w:rsidP="0070254A">
      <w:pPr>
        <w:jc w:val="both"/>
      </w:pPr>
    </w:p>
    <w:p w:rsidR="009521DB" w:rsidRPr="0070254A" w:rsidRDefault="00B44C1B" w:rsidP="0070254A">
      <w:pPr>
        <w:jc w:val="both"/>
      </w:pPr>
      <w:r>
        <w:t>On the other hand, h</w:t>
      </w:r>
      <w:r w:rsidR="00E2008A" w:rsidRPr="0070254A">
        <w:t>igh</w:t>
      </w:r>
      <w:r w:rsidR="00E10EE7">
        <w:t>er</w:t>
      </w:r>
      <w:r w:rsidR="00E2008A" w:rsidRPr="0070254A">
        <w:t xml:space="preserve"> rate OCC modes (</w:t>
      </w:r>
      <w:r w:rsidR="00B739BF">
        <w:t xml:space="preserve">HS-PSK, and </w:t>
      </w:r>
      <w:r w:rsidR="00E2008A" w:rsidRPr="0070254A">
        <w:t>A-QL</w:t>
      </w:r>
      <w:r w:rsidR="00E85D3C">
        <w:t xml:space="preserve"> modulation</w:t>
      </w:r>
      <w:r w:rsidR="00E2008A" w:rsidRPr="0070254A">
        <w:t xml:space="preserve">) shall configure IB frame format </w:t>
      </w:r>
      <w:r w:rsidR="00E85D3C">
        <w:t>over</w:t>
      </w:r>
      <w:r w:rsidR="00E2008A" w:rsidRPr="0070254A">
        <w:t xml:space="preserve"> MHR subfields, not MAC PIB attributes. </w:t>
      </w:r>
      <w:r w:rsidR="0070254A">
        <w:t xml:space="preserve">In this case, the MAC frame format shall be formatted as </w:t>
      </w:r>
      <w:r w:rsidR="0070254A" w:rsidRPr="00E14CCA">
        <w:rPr>
          <w:highlight w:val="yellow"/>
        </w:rPr>
        <w:t>Fig. 03.</w:t>
      </w:r>
    </w:p>
    <w:p w:rsidR="0070254A" w:rsidRPr="00524516" w:rsidRDefault="0070254A" w:rsidP="0070254A">
      <w:pPr>
        <w:jc w:val="center"/>
      </w:pPr>
      <w:r>
        <w:rPr>
          <w:noProof/>
          <w:lang w:eastAsia="en-US"/>
        </w:rPr>
        <w:drawing>
          <wp:inline distT="0" distB="0" distL="0" distR="0" wp14:anchorId="1840CAA6" wp14:editId="36E034A7">
            <wp:extent cx="5544922" cy="1818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0877" cy="18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CA" w:rsidRPr="0012090F" w:rsidRDefault="00E14CCA" w:rsidP="00E14CCA">
      <w:pPr>
        <w:jc w:val="center"/>
        <w:rPr>
          <w:b/>
        </w:rPr>
      </w:pPr>
      <w:r w:rsidRPr="0012090F">
        <w:rPr>
          <w:b/>
        </w:rPr>
        <w:t>Figure 0</w:t>
      </w:r>
      <w:r>
        <w:rPr>
          <w:b/>
        </w:rPr>
        <w:t>3</w:t>
      </w:r>
      <w:r w:rsidRPr="0012090F">
        <w:rPr>
          <w:b/>
        </w:rPr>
        <w:t xml:space="preserve"> – </w:t>
      </w:r>
      <w:r>
        <w:rPr>
          <w:b/>
        </w:rPr>
        <w:t xml:space="preserve">Information broadcasting MAC </w:t>
      </w:r>
      <w:r w:rsidR="00370343">
        <w:rPr>
          <w:b/>
        </w:rPr>
        <w:t xml:space="preserve">frame format </w:t>
      </w:r>
      <w:r>
        <w:rPr>
          <w:b/>
        </w:rPr>
        <w:t xml:space="preserve">for high rate </w:t>
      </w:r>
      <w:r w:rsidRPr="00812877">
        <w:rPr>
          <w:b/>
        </w:rPr>
        <w:t>OCC mode (</w:t>
      </w:r>
      <w:r w:rsidR="00B739BF">
        <w:rPr>
          <w:b/>
        </w:rPr>
        <w:t xml:space="preserve">HS-PSK and </w:t>
      </w:r>
      <w:r w:rsidRPr="00812877">
        <w:rPr>
          <w:b/>
        </w:rPr>
        <w:t>A-QL)</w:t>
      </w:r>
    </w:p>
    <w:p w:rsidR="00524516" w:rsidRDefault="00524516" w:rsidP="00524516"/>
    <w:p w:rsidR="00370343" w:rsidRPr="00370343" w:rsidRDefault="00642F6E" w:rsidP="00642F6E">
      <w:pPr>
        <w:pStyle w:val="Heading3"/>
        <w:rPr>
          <w:b/>
          <w:bCs/>
        </w:rPr>
      </w:pPr>
      <w:r>
        <w:rPr>
          <w:b/>
          <w:bCs/>
        </w:rPr>
        <w:t>2.</w:t>
      </w:r>
      <w:r w:rsidR="00370343" w:rsidRPr="00370343">
        <w:rPr>
          <w:b/>
          <w:bCs/>
        </w:rPr>
        <w:t>3- Bidirectional Data transfer MAC frame format (D2D)</w:t>
      </w:r>
    </w:p>
    <w:p w:rsidR="00292475" w:rsidRDefault="00292475" w:rsidP="00292475">
      <w:r>
        <w:t>All bidirectional data transfer modes</w:t>
      </w:r>
      <w:r w:rsidRPr="00524516">
        <w:t xml:space="preserve"> s</w:t>
      </w:r>
      <w:bookmarkStart w:id="0" w:name="_GoBack"/>
      <w:bookmarkEnd w:id="0"/>
      <w:r w:rsidRPr="00524516">
        <w:t xml:space="preserve">hall configure </w:t>
      </w:r>
      <w:r>
        <w:t>MAC frame</w:t>
      </w:r>
      <w:r w:rsidRPr="00524516">
        <w:t xml:space="preserve"> format </w:t>
      </w:r>
      <w:r>
        <w:t>over</w:t>
      </w:r>
      <w:r w:rsidRPr="00524516">
        <w:t xml:space="preserve"> </w:t>
      </w:r>
      <w:r>
        <w:t xml:space="preserve">OCC </w:t>
      </w:r>
      <w:r w:rsidRPr="00524516">
        <w:t>MAC PIB attributes</w:t>
      </w:r>
      <w:r>
        <w:t>:</w:t>
      </w:r>
    </w:p>
    <w:p w:rsidR="00042022" w:rsidRPr="00042022" w:rsidRDefault="00042022" w:rsidP="00042022">
      <w:pPr>
        <w:spacing w:after="80" w:line="240" w:lineRule="auto"/>
        <w:ind w:left="720"/>
      </w:pPr>
      <w:proofErr w:type="spellStart"/>
      <w:r w:rsidRPr="00042022">
        <w:rPr>
          <w:i/>
        </w:rPr>
        <w:t>macOccFrameVersion</w:t>
      </w:r>
      <w:proofErr w:type="spellEnd"/>
      <w:r w:rsidRPr="00042022">
        <w:t>:</w:t>
      </w:r>
      <w:r w:rsidRPr="00042022">
        <w:tab/>
      </w:r>
      <w:r>
        <w:tab/>
      </w:r>
      <w:r w:rsidRPr="00042022">
        <w:t>001</w:t>
      </w:r>
    </w:p>
    <w:p w:rsidR="00042022" w:rsidRPr="00042022" w:rsidRDefault="00042022" w:rsidP="00042022">
      <w:pPr>
        <w:spacing w:after="80" w:line="240" w:lineRule="auto"/>
        <w:ind w:left="720"/>
      </w:pPr>
      <w:proofErr w:type="spellStart"/>
      <w:r w:rsidRPr="00042022">
        <w:rPr>
          <w:i/>
        </w:rPr>
        <w:t>macOccFrameType</w:t>
      </w:r>
      <w:proofErr w:type="spellEnd"/>
      <w:r w:rsidRPr="00042022">
        <w:t>:</w:t>
      </w:r>
      <w:r w:rsidRPr="00042022">
        <w:tab/>
      </w:r>
      <w:r w:rsidRPr="00042022">
        <w:tab/>
        <w:t xml:space="preserve">010 </w:t>
      </w:r>
      <w:r w:rsidRPr="00042022">
        <w:tab/>
      </w:r>
      <w:r w:rsidRPr="00042022">
        <w:tab/>
      </w:r>
    </w:p>
    <w:p w:rsidR="00042022" w:rsidRPr="00042022" w:rsidRDefault="00042022" w:rsidP="00042022">
      <w:pPr>
        <w:ind w:left="720"/>
      </w:pPr>
      <w:proofErr w:type="spellStart"/>
      <w:r w:rsidRPr="00042022">
        <w:rPr>
          <w:i/>
        </w:rPr>
        <w:lastRenderedPageBreak/>
        <w:t>macOccSecurityEnable</w:t>
      </w:r>
      <w:proofErr w:type="spellEnd"/>
      <w:r w:rsidRPr="00042022">
        <w:t>:</w:t>
      </w:r>
      <w:r>
        <w:tab/>
      </w:r>
      <w:r w:rsidRPr="00042022">
        <w:tab/>
      </w:r>
      <w:r w:rsidR="005C0333">
        <w:t>FALSE/TRUE</w:t>
      </w:r>
    </w:p>
    <w:p w:rsidR="00292475" w:rsidRDefault="00292475" w:rsidP="00292475">
      <w:pPr>
        <w:spacing w:after="80" w:line="240" w:lineRule="auto"/>
      </w:pPr>
      <w:r>
        <w:t>Once the D2D mode is selected, l</w:t>
      </w:r>
      <w:r w:rsidRPr="00042022">
        <w:t xml:space="preserve">ow rate OCC D2D modes (S2-PSK, S8-PSK, CM-FSK, C-OOK, HA-QL) shall configure </w:t>
      </w:r>
      <w:r>
        <w:t>the other characteristics of</w:t>
      </w:r>
      <w:r w:rsidRPr="00042022">
        <w:t xml:space="preserve"> MAC frame format </w:t>
      </w:r>
      <w:r>
        <w:t xml:space="preserve">over </w:t>
      </w:r>
      <w:r w:rsidR="00042022">
        <w:t>three additional MAC attributes,</w:t>
      </w:r>
      <w:r>
        <w:t xml:space="preserve"> </w:t>
      </w:r>
      <w:r w:rsidR="00042022" w:rsidRPr="00042022">
        <w:rPr>
          <w:i/>
        </w:rPr>
        <w:t>macD2DSourceAddressModeEnable</w:t>
      </w:r>
      <w:r w:rsidR="00042022">
        <w:t xml:space="preserve">, </w:t>
      </w:r>
      <w:r w:rsidR="00042022" w:rsidRPr="00042022">
        <w:rPr>
          <w:i/>
        </w:rPr>
        <w:t>macD2DSourceDestAddress</w:t>
      </w:r>
      <w:r w:rsidR="00042022">
        <w:t xml:space="preserve">, and </w:t>
      </w:r>
      <w:r w:rsidR="00042022" w:rsidRPr="00042022">
        <w:rPr>
          <w:i/>
        </w:rPr>
        <w:t>macD2DSecurityHeader</w:t>
      </w:r>
      <w:r>
        <w:t>.</w:t>
      </w:r>
    </w:p>
    <w:p w:rsidR="00370343" w:rsidRPr="00524516" w:rsidRDefault="00042022" w:rsidP="00A2649A">
      <w:pPr>
        <w:spacing w:line="240" w:lineRule="auto"/>
      </w:pPr>
      <w:r>
        <w:t xml:space="preserve"> Compared to IB mode, S</w:t>
      </w:r>
      <w:r w:rsidRPr="00524516">
        <w:t xml:space="preserve">ecurity is </w:t>
      </w:r>
      <w:r>
        <w:t xml:space="preserve">optionally enable over the MAC attribute </w:t>
      </w:r>
      <w:proofErr w:type="spellStart"/>
      <w:r w:rsidRPr="00042022">
        <w:rPr>
          <w:i/>
        </w:rPr>
        <w:t>macOccSecurityEnable</w:t>
      </w:r>
      <w:proofErr w:type="spellEnd"/>
      <w:r>
        <w:rPr>
          <w:i/>
        </w:rPr>
        <w:t xml:space="preserve">, </w:t>
      </w:r>
      <w:r w:rsidRPr="00042022">
        <w:t>thus</w:t>
      </w:r>
      <w:r w:rsidRPr="00042022">
        <w:rPr>
          <w:i/>
        </w:rPr>
        <w:t xml:space="preserve"> macD2DSecurityHeader</w:t>
      </w:r>
      <w:r>
        <w:rPr>
          <w:i/>
        </w:rPr>
        <w:t xml:space="preserve"> </w:t>
      </w:r>
      <w:r w:rsidRPr="00042022">
        <w:t>is optionally presented.</w:t>
      </w:r>
      <w:r>
        <w:rPr>
          <w:i/>
        </w:rPr>
        <w:t xml:space="preserve"> </w:t>
      </w:r>
    </w:p>
    <w:p w:rsidR="00EF6F4F" w:rsidRPr="0070254A" w:rsidRDefault="00292475" w:rsidP="00F222BA">
      <w:pPr>
        <w:spacing w:after="0" w:line="240" w:lineRule="auto"/>
        <w:jc w:val="both"/>
      </w:pPr>
      <w:r>
        <w:t>On the other hand, h</w:t>
      </w:r>
      <w:r w:rsidR="00E2008A" w:rsidRPr="00EF6F4F">
        <w:t>igh</w:t>
      </w:r>
      <w:r w:rsidR="000B3B26">
        <w:t>er</w:t>
      </w:r>
      <w:r w:rsidR="00E2008A" w:rsidRPr="00EF6F4F">
        <w:t xml:space="preserve"> rate OCC D2D modes (</w:t>
      </w:r>
      <w:r w:rsidR="00E2008A" w:rsidRPr="00B44C1B">
        <w:rPr>
          <w:bCs/>
        </w:rPr>
        <w:t>HS-PSK</w:t>
      </w:r>
      <w:r w:rsidR="00E2008A" w:rsidRPr="00B44C1B">
        <w:t>, and A-QL</w:t>
      </w:r>
      <w:r w:rsidR="00E2008A" w:rsidRPr="00EF6F4F">
        <w:t xml:space="preserve">) shall configure D2D MAC frame format </w:t>
      </w:r>
      <w:r>
        <w:t>over</w:t>
      </w:r>
      <w:r w:rsidR="00E2008A" w:rsidRPr="00EF6F4F">
        <w:t xml:space="preserve"> MHR subfields, not MAC PIB attributes.</w:t>
      </w:r>
      <w:r w:rsidR="00EF6F4F">
        <w:t xml:space="preserve"> In this case, the MAC frame format shall be formatted as </w:t>
      </w:r>
      <w:r w:rsidR="00EF6F4F" w:rsidRPr="00E14CCA">
        <w:rPr>
          <w:highlight w:val="yellow"/>
        </w:rPr>
        <w:t>Fig. 0</w:t>
      </w:r>
      <w:r w:rsidR="00EF6F4F">
        <w:rPr>
          <w:highlight w:val="yellow"/>
        </w:rPr>
        <w:t>4</w:t>
      </w:r>
      <w:r w:rsidR="00EF6F4F" w:rsidRPr="00E14CCA">
        <w:rPr>
          <w:highlight w:val="yellow"/>
        </w:rPr>
        <w:t>.</w:t>
      </w:r>
    </w:p>
    <w:p w:rsidR="00524516" w:rsidRPr="00524516" w:rsidRDefault="00EF6F4F" w:rsidP="00EF6F4F">
      <w:pPr>
        <w:tabs>
          <w:tab w:val="left" w:pos="3668"/>
        </w:tabs>
      </w:pPr>
      <w:r>
        <w:rPr>
          <w:noProof/>
          <w:lang w:eastAsia="en-US"/>
        </w:rPr>
        <w:drawing>
          <wp:inline distT="0" distB="0" distL="0" distR="0" wp14:anchorId="6D094096" wp14:editId="3B9A3C1C">
            <wp:extent cx="5943600" cy="1938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4F" w:rsidRDefault="00EF6F4F" w:rsidP="00EF6F4F">
      <w:pPr>
        <w:jc w:val="center"/>
        <w:rPr>
          <w:b/>
        </w:rPr>
      </w:pPr>
      <w:r w:rsidRPr="0012090F">
        <w:rPr>
          <w:b/>
        </w:rPr>
        <w:t>Figure 0</w:t>
      </w:r>
      <w:r>
        <w:rPr>
          <w:b/>
        </w:rPr>
        <w:t>4</w:t>
      </w:r>
      <w:r w:rsidRPr="0012090F">
        <w:rPr>
          <w:b/>
        </w:rPr>
        <w:t xml:space="preserve"> – </w:t>
      </w:r>
      <w:r>
        <w:rPr>
          <w:b/>
        </w:rPr>
        <w:t xml:space="preserve">Bidirectional data transfer MAC frame format for high rate OCC </w:t>
      </w:r>
      <w:r w:rsidRPr="00812877">
        <w:rPr>
          <w:b/>
        </w:rPr>
        <w:t>mode (</w:t>
      </w:r>
      <w:r w:rsidRPr="00812877">
        <w:rPr>
          <w:b/>
          <w:bCs/>
        </w:rPr>
        <w:t>HS-PSK</w:t>
      </w:r>
      <w:r w:rsidRPr="00812877">
        <w:rPr>
          <w:b/>
        </w:rPr>
        <w:t>, and A-QL)</w:t>
      </w:r>
    </w:p>
    <w:sectPr w:rsidR="00EF6F4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B7" w:rsidRDefault="001779B7" w:rsidP="00AC5D80">
      <w:pPr>
        <w:spacing w:after="0" w:line="240" w:lineRule="auto"/>
      </w:pPr>
      <w:r>
        <w:separator/>
      </w:r>
    </w:p>
  </w:endnote>
  <w:endnote w:type="continuationSeparator" w:id="0">
    <w:p w:rsidR="001779B7" w:rsidRDefault="001779B7" w:rsidP="00A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80" w:rsidRDefault="009938A3" w:rsidP="00AC5D80">
    <w:pPr>
      <w:pStyle w:val="Footer"/>
      <w:widowControl w:val="0"/>
      <w:pBdr>
        <w:top w:val="single" w:sz="6" w:space="0" w:color="auto"/>
      </w:pBdr>
      <w:spacing w:before="240"/>
    </w:pPr>
    <w:r>
      <w:t>D1</w:t>
    </w:r>
    <w:r w:rsidR="00AC5D80">
      <w:t xml:space="preserve"> Comments Resolutions </w:t>
    </w:r>
    <w:r w:rsidR="00AC5D80">
      <w:tab/>
      <w:t xml:space="preserve">Page </w:t>
    </w:r>
    <w:r w:rsidR="00AC5D80">
      <w:pgNum/>
    </w:r>
    <w:r w:rsidR="00AC5D80">
      <w:tab/>
    </w:r>
    <w:r w:rsidR="00AC5D80">
      <w:rPr>
        <w:rFonts w:ascii="Arial Narrow" w:hAnsi="Arial Narrow"/>
      </w:rPr>
      <w:t xml:space="preserve">Kookmin University </w:t>
    </w:r>
  </w:p>
  <w:p w:rsidR="00AC5D80" w:rsidRDefault="00AC5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B7" w:rsidRDefault="001779B7" w:rsidP="00AC5D80">
      <w:pPr>
        <w:spacing w:after="0" w:line="240" w:lineRule="auto"/>
      </w:pPr>
      <w:r>
        <w:separator/>
      </w:r>
    </w:p>
  </w:footnote>
  <w:footnote w:type="continuationSeparator" w:id="0">
    <w:p w:rsidR="001779B7" w:rsidRDefault="001779B7" w:rsidP="00A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80" w:rsidRDefault="006E3256" w:rsidP="00AC5D8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January 2017</w:t>
    </w:r>
    <w:r w:rsidR="00AC5D80" w:rsidRPr="009C47F1">
      <w:rPr>
        <w:b/>
        <w:sz w:val="28"/>
      </w:rPr>
      <w:tab/>
    </w:r>
    <w:r w:rsidR="00AC5D80" w:rsidRPr="009C47F1">
      <w:rPr>
        <w:b/>
        <w:sz w:val="28"/>
      </w:rPr>
      <w:tab/>
      <w:t xml:space="preserve"> IEEE P802.15-</w:t>
    </w:r>
    <w:r w:rsidR="00AC5D80" w:rsidRPr="00AD086B">
      <w:rPr>
        <w:b/>
        <w:sz w:val="28"/>
      </w:rPr>
      <w:t>1</w:t>
    </w:r>
    <w:r w:rsidR="006A0861" w:rsidRPr="00AD086B">
      <w:rPr>
        <w:b/>
        <w:sz w:val="28"/>
      </w:rPr>
      <w:t>7</w:t>
    </w:r>
    <w:r w:rsidR="00AC5D80" w:rsidRPr="00AD086B">
      <w:rPr>
        <w:b/>
        <w:sz w:val="28"/>
      </w:rPr>
      <w:t>-</w:t>
    </w:r>
    <w:r w:rsidR="007128DA" w:rsidRPr="00AD086B">
      <w:rPr>
        <w:b/>
        <w:sz w:val="28"/>
      </w:rPr>
      <w:t xml:space="preserve"> 0</w:t>
    </w:r>
    <w:r w:rsidR="006A0861" w:rsidRPr="00AD086B">
      <w:rPr>
        <w:b/>
        <w:sz w:val="28"/>
      </w:rPr>
      <w:t>018</w:t>
    </w:r>
    <w:r w:rsidR="007128DA" w:rsidRPr="00AD086B">
      <w:rPr>
        <w:b/>
        <w:sz w:val="28"/>
      </w:rPr>
      <w:t xml:space="preserve"> </w:t>
    </w:r>
    <w:r w:rsidR="00AC5D80" w:rsidRPr="009C47F1">
      <w:rPr>
        <w:b/>
        <w:sz w:val="28"/>
      </w:rPr>
      <w:t>-00-007a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FEB"/>
    <w:multiLevelType w:val="hybridMultilevel"/>
    <w:tmpl w:val="6090EC70"/>
    <w:lvl w:ilvl="0" w:tplc="4B2AE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CD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2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8E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9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4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88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B92"/>
    <w:multiLevelType w:val="hybridMultilevel"/>
    <w:tmpl w:val="BC2C9DA2"/>
    <w:lvl w:ilvl="0" w:tplc="E6DE7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24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2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C0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63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C9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A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4D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00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0056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C9E"/>
    <w:multiLevelType w:val="hybridMultilevel"/>
    <w:tmpl w:val="5CA8303E"/>
    <w:lvl w:ilvl="0" w:tplc="0A468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E3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49B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3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A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4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04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82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77DD"/>
    <w:multiLevelType w:val="hybridMultilevel"/>
    <w:tmpl w:val="585E7462"/>
    <w:lvl w:ilvl="0" w:tplc="2E2A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A3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B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2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45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A8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7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A99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2759"/>
    <w:multiLevelType w:val="hybridMultilevel"/>
    <w:tmpl w:val="67F0DE40"/>
    <w:lvl w:ilvl="0" w:tplc="D1A67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64B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2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1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D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0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A9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6AF8"/>
    <w:multiLevelType w:val="hybridMultilevel"/>
    <w:tmpl w:val="DB1C833A"/>
    <w:lvl w:ilvl="0" w:tplc="D4A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CD7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2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69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F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0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8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F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8C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E236F"/>
    <w:multiLevelType w:val="hybridMultilevel"/>
    <w:tmpl w:val="4A3C6208"/>
    <w:lvl w:ilvl="0" w:tplc="53FC7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D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C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40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4AC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8BE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6200DE"/>
    <w:multiLevelType w:val="hybridMultilevel"/>
    <w:tmpl w:val="4E8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D4D08"/>
    <w:multiLevelType w:val="hybridMultilevel"/>
    <w:tmpl w:val="E026A366"/>
    <w:lvl w:ilvl="0" w:tplc="F796C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F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A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8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8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6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AB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451BD"/>
    <w:multiLevelType w:val="hybridMultilevel"/>
    <w:tmpl w:val="86C80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50F8"/>
    <w:multiLevelType w:val="hybridMultilevel"/>
    <w:tmpl w:val="4AFAADA8"/>
    <w:lvl w:ilvl="0" w:tplc="2E221FE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59E5"/>
    <w:multiLevelType w:val="hybridMultilevel"/>
    <w:tmpl w:val="FACC2840"/>
    <w:lvl w:ilvl="0" w:tplc="A8F2D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653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236F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C7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EA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4A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LcwMTQ0MDSzMDRQ0lEKTi0uzszPAykwsqgFAD8l5NotAAAA"/>
  </w:docVars>
  <w:rsids>
    <w:rsidRoot w:val="004434D1"/>
    <w:rsid w:val="000150E8"/>
    <w:rsid w:val="00017D41"/>
    <w:rsid w:val="000333A4"/>
    <w:rsid w:val="00042022"/>
    <w:rsid w:val="00084F32"/>
    <w:rsid w:val="00087E32"/>
    <w:rsid w:val="000B3B26"/>
    <w:rsid w:val="000B3CAA"/>
    <w:rsid w:val="000E7858"/>
    <w:rsid w:val="000F7A81"/>
    <w:rsid w:val="00120042"/>
    <w:rsid w:val="0012090F"/>
    <w:rsid w:val="00124914"/>
    <w:rsid w:val="00132F20"/>
    <w:rsid w:val="00135D46"/>
    <w:rsid w:val="001461C3"/>
    <w:rsid w:val="00147AC8"/>
    <w:rsid w:val="00150633"/>
    <w:rsid w:val="00175967"/>
    <w:rsid w:val="0017756E"/>
    <w:rsid w:val="00177860"/>
    <w:rsid w:val="001779B7"/>
    <w:rsid w:val="00186048"/>
    <w:rsid w:val="001A212A"/>
    <w:rsid w:val="001C61A0"/>
    <w:rsid w:val="001D2878"/>
    <w:rsid w:val="001D2B7A"/>
    <w:rsid w:val="00203D7B"/>
    <w:rsid w:val="002052BA"/>
    <w:rsid w:val="00216BF9"/>
    <w:rsid w:val="00226FF5"/>
    <w:rsid w:val="00230D94"/>
    <w:rsid w:val="00233262"/>
    <w:rsid w:val="0028115A"/>
    <w:rsid w:val="0028590D"/>
    <w:rsid w:val="00292475"/>
    <w:rsid w:val="002D3177"/>
    <w:rsid w:val="002E413B"/>
    <w:rsid w:val="002E6B6B"/>
    <w:rsid w:val="002F22A8"/>
    <w:rsid w:val="002F5644"/>
    <w:rsid w:val="00302D44"/>
    <w:rsid w:val="00325BD5"/>
    <w:rsid w:val="00326603"/>
    <w:rsid w:val="00326986"/>
    <w:rsid w:val="003308C5"/>
    <w:rsid w:val="00332A93"/>
    <w:rsid w:val="00351E1B"/>
    <w:rsid w:val="003669A1"/>
    <w:rsid w:val="00370343"/>
    <w:rsid w:val="00376368"/>
    <w:rsid w:val="003804BD"/>
    <w:rsid w:val="00395837"/>
    <w:rsid w:val="003B3671"/>
    <w:rsid w:val="003C221F"/>
    <w:rsid w:val="003D0D3C"/>
    <w:rsid w:val="003E4C30"/>
    <w:rsid w:val="003E52EA"/>
    <w:rsid w:val="003E7501"/>
    <w:rsid w:val="00407B41"/>
    <w:rsid w:val="004259CF"/>
    <w:rsid w:val="00430912"/>
    <w:rsid w:val="00440763"/>
    <w:rsid w:val="004434D1"/>
    <w:rsid w:val="00456C65"/>
    <w:rsid w:val="0046051F"/>
    <w:rsid w:val="00461238"/>
    <w:rsid w:val="004765AB"/>
    <w:rsid w:val="00483013"/>
    <w:rsid w:val="00496539"/>
    <w:rsid w:val="0049767A"/>
    <w:rsid w:val="004D07C6"/>
    <w:rsid w:val="004D2CA5"/>
    <w:rsid w:val="004D40AE"/>
    <w:rsid w:val="004D4B42"/>
    <w:rsid w:val="004E5A79"/>
    <w:rsid w:val="00515B2B"/>
    <w:rsid w:val="00521E7C"/>
    <w:rsid w:val="00524516"/>
    <w:rsid w:val="0053708B"/>
    <w:rsid w:val="00537820"/>
    <w:rsid w:val="0054372D"/>
    <w:rsid w:val="005607CF"/>
    <w:rsid w:val="005742A9"/>
    <w:rsid w:val="00582229"/>
    <w:rsid w:val="00583FD6"/>
    <w:rsid w:val="00592076"/>
    <w:rsid w:val="00597605"/>
    <w:rsid w:val="005A6601"/>
    <w:rsid w:val="005B3F1F"/>
    <w:rsid w:val="005B50C9"/>
    <w:rsid w:val="005C0333"/>
    <w:rsid w:val="005E43E9"/>
    <w:rsid w:val="005F4CF0"/>
    <w:rsid w:val="0062435B"/>
    <w:rsid w:val="00624FEF"/>
    <w:rsid w:val="006253C7"/>
    <w:rsid w:val="00635BA6"/>
    <w:rsid w:val="00642F6E"/>
    <w:rsid w:val="00650FE2"/>
    <w:rsid w:val="006646D3"/>
    <w:rsid w:val="0066664D"/>
    <w:rsid w:val="0067467F"/>
    <w:rsid w:val="00680508"/>
    <w:rsid w:val="00680BF2"/>
    <w:rsid w:val="00684423"/>
    <w:rsid w:val="006856E6"/>
    <w:rsid w:val="006870DA"/>
    <w:rsid w:val="006A0861"/>
    <w:rsid w:val="006A3FCB"/>
    <w:rsid w:val="006A7306"/>
    <w:rsid w:val="006B3BCF"/>
    <w:rsid w:val="006C228F"/>
    <w:rsid w:val="006C6CEE"/>
    <w:rsid w:val="006D048A"/>
    <w:rsid w:val="006E3256"/>
    <w:rsid w:val="00701F6A"/>
    <w:rsid w:val="0070254A"/>
    <w:rsid w:val="007128DA"/>
    <w:rsid w:val="00715883"/>
    <w:rsid w:val="007279F9"/>
    <w:rsid w:val="0073374C"/>
    <w:rsid w:val="0073462A"/>
    <w:rsid w:val="0075203F"/>
    <w:rsid w:val="007776F8"/>
    <w:rsid w:val="007966F0"/>
    <w:rsid w:val="007A1DE7"/>
    <w:rsid w:val="007C0A74"/>
    <w:rsid w:val="007C0F64"/>
    <w:rsid w:val="007C3CFB"/>
    <w:rsid w:val="007F6FEC"/>
    <w:rsid w:val="007F7AFA"/>
    <w:rsid w:val="00800D8B"/>
    <w:rsid w:val="00812877"/>
    <w:rsid w:val="00815555"/>
    <w:rsid w:val="00815788"/>
    <w:rsid w:val="00823898"/>
    <w:rsid w:val="0084507C"/>
    <w:rsid w:val="00851778"/>
    <w:rsid w:val="008526EE"/>
    <w:rsid w:val="008676FC"/>
    <w:rsid w:val="00874844"/>
    <w:rsid w:val="00875F0E"/>
    <w:rsid w:val="008763B2"/>
    <w:rsid w:val="008777AC"/>
    <w:rsid w:val="00881383"/>
    <w:rsid w:val="00886D38"/>
    <w:rsid w:val="008878D4"/>
    <w:rsid w:val="00891B5D"/>
    <w:rsid w:val="0089385F"/>
    <w:rsid w:val="008A0940"/>
    <w:rsid w:val="008A2FB7"/>
    <w:rsid w:val="008A4D70"/>
    <w:rsid w:val="008D6004"/>
    <w:rsid w:val="008F10BF"/>
    <w:rsid w:val="008F2B56"/>
    <w:rsid w:val="008F7992"/>
    <w:rsid w:val="00904DBD"/>
    <w:rsid w:val="0091342F"/>
    <w:rsid w:val="0091377A"/>
    <w:rsid w:val="009143BA"/>
    <w:rsid w:val="00917DBB"/>
    <w:rsid w:val="00923F61"/>
    <w:rsid w:val="009276B9"/>
    <w:rsid w:val="00947B4B"/>
    <w:rsid w:val="00947DA4"/>
    <w:rsid w:val="00950BED"/>
    <w:rsid w:val="009521DB"/>
    <w:rsid w:val="009556FE"/>
    <w:rsid w:val="00970F6A"/>
    <w:rsid w:val="00971BF4"/>
    <w:rsid w:val="00975003"/>
    <w:rsid w:val="00984CE7"/>
    <w:rsid w:val="009850CD"/>
    <w:rsid w:val="009938A3"/>
    <w:rsid w:val="009946A6"/>
    <w:rsid w:val="0099771B"/>
    <w:rsid w:val="00997D1C"/>
    <w:rsid w:val="009A2995"/>
    <w:rsid w:val="009C3638"/>
    <w:rsid w:val="009C5B79"/>
    <w:rsid w:val="009E0823"/>
    <w:rsid w:val="009E10EB"/>
    <w:rsid w:val="009E44BF"/>
    <w:rsid w:val="009E4B16"/>
    <w:rsid w:val="009F0732"/>
    <w:rsid w:val="00A00791"/>
    <w:rsid w:val="00A007C4"/>
    <w:rsid w:val="00A2649A"/>
    <w:rsid w:val="00A322D1"/>
    <w:rsid w:val="00A35A44"/>
    <w:rsid w:val="00A37D49"/>
    <w:rsid w:val="00A4144A"/>
    <w:rsid w:val="00A41E6B"/>
    <w:rsid w:val="00A515D4"/>
    <w:rsid w:val="00A533AF"/>
    <w:rsid w:val="00A65DD9"/>
    <w:rsid w:val="00A7045E"/>
    <w:rsid w:val="00A813DB"/>
    <w:rsid w:val="00A9275D"/>
    <w:rsid w:val="00AA0960"/>
    <w:rsid w:val="00AB0238"/>
    <w:rsid w:val="00AB12FE"/>
    <w:rsid w:val="00AB4998"/>
    <w:rsid w:val="00AB63AE"/>
    <w:rsid w:val="00AC5D80"/>
    <w:rsid w:val="00AD086B"/>
    <w:rsid w:val="00AD5E91"/>
    <w:rsid w:val="00AE0E8E"/>
    <w:rsid w:val="00AE24A2"/>
    <w:rsid w:val="00AE7A4B"/>
    <w:rsid w:val="00B06CF0"/>
    <w:rsid w:val="00B11797"/>
    <w:rsid w:val="00B16091"/>
    <w:rsid w:val="00B2480B"/>
    <w:rsid w:val="00B262C0"/>
    <w:rsid w:val="00B27F71"/>
    <w:rsid w:val="00B313D9"/>
    <w:rsid w:val="00B44C1B"/>
    <w:rsid w:val="00B51AE4"/>
    <w:rsid w:val="00B550BE"/>
    <w:rsid w:val="00B657DF"/>
    <w:rsid w:val="00B739BF"/>
    <w:rsid w:val="00B73CF0"/>
    <w:rsid w:val="00B76198"/>
    <w:rsid w:val="00B81EB7"/>
    <w:rsid w:val="00B82C36"/>
    <w:rsid w:val="00B92F44"/>
    <w:rsid w:val="00B94CE1"/>
    <w:rsid w:val="00BA7E0A"/>
    <w:rsid w:val="00BC43EB"/>
    <w:rsid w:val="00BC47AF"/>
    <w:rsid w:val="00BC5475"/>
    <w:rsid w:val="00BD22BB"/>
    <w:rsid w:val="00BE02A3"/>
    <w:rsid w:val="00C0518F"/>
    <w:rsid w:val="00C220DA"/>
    <w:rsid w:val="00C24B7B"/>
    <w:rsid w:val="00C30697"/>
    <w:rsid w:val="00C31751"/>
    <w:rsid w:val="00C66168"/>
    <w:rsid w:val="00C74D46"/>
    <w:rsid w:val="00CA2DE0"/>
    <w:rsid w:val="00CB5962"/>
    <w:rsid w:val="00CB6A1A"/>
    <w:rsid w:val="00CC4D28"/>
    <w:rsid w:val="00CD6AFA"/>
    <w:rsid w:val="00CE2CCD"/>
    <w:rsid w:val="00D0344C"/>
    <w:rsid w:val="00D03638"/>
    <w:rsid w:val="00D527D5"/>
    <w:rsid w:val="00D61732"/>
    <w:rsid w:val="00D66111"/>
    <w:rsid w:val="00D6623E"/>
    <w:rsid w:val="00D73DC2"/>
    <w:rsid w:val="00DC080B"/>
    <w:rsid w:val="00DD6E86"/>
    <w:rsid w:val="00DE5451"/>
    <w:rsid w:val="00E02191"/>
    <w:rsid w:val="00E02C3F"/>
    <w:rsid w:val="00E05723"/>
    <w:rsid w:val="00E10EE7"/>
    <w:rsid w:val="00E14CCA"/>
    <w:rsid w:val="00E16963"/>
    <w:rsid w:val="00E2008A"/>
    <w:rsid w:val="00E23585"/>
    <w:rsid w:val="00E37FB5"/>
    <w:rsid w:val="00E41487"/>
    <w:rsid w:val="00E41C5E"/>
    <w:rsid w:val="00E42B96"/>
    <w:rsid w:val="00E46006"/>
    <w:rsid w:val="00E54EB6"/>
    <w:rsid w:val="00E66AFE"/>
    <w:rsid w:val="00E85D3C"/>
    <w:rsid w:val="00E94516"/>
    <w:rsid w:val="00E955A7"/>
    <w:rsid w:val="00E95DBF"/>
    <w:rsid w:val="00EB0298"/>
    <w:rsid w:val="00EB6053"/>
    <w:rsid w:val="00ED01D2"/>
    <w:rsid w:val="00ED291D"/>
    <w:rsid w:val="00ED663C"/>
    <w:rsid w:val="00EE7691"/>
    <w:rsid w:val="00EF2B14"/>
    <w:rsid w:val="00EF6F4F"/>
    <w:rsid w:val="00F222BA"/>
    <w:rsid w:val="00F45CFB"/>
    <w:rsid w:val="00F45D1C"/>
    <w:rsid w:val="00F72270"/>
    <w:rsid w:val="00F77B57"/>
    <w:rsid w:val="00F86454"/>
    <w:rsid w:val="00FA397E"/>
    <w:rsid w:val="00FE217A"/>
    <w:rsid w:val="00FE6606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9E95"/>
  <w15:chartTrackingRefBased/>
  <w15:docId w15:val="{197B2842-4992-4CAD-B75B-5FA3261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8"/>
    <w:pPr>
      <w:ind w:left="720"/>
      <w:contextualSpacing/>
    </w:pPr>
  </w:style>
  <w:style w:type="table" w:styleId="TableGrid">
    <w:name w:val="Table Grid"/>
    <w:basedOn w:val="TableNormal"/>
    <w:uiPriority w:val="39"/>
    <w:rsid w:val="007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7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3"/>
    <w:rPr>
      <w:rFonts w:ascii="Segoe UI" w:hAnsi="Segoe UI" w:cs="Segoe UI"/>
      <w:sz w:val="18"/>
      <w:szCs w:val="18"/>
    </w:rPr>
  </w:style>
  <w:style w:type="paragraph" w:customStyle="1" w:styleId="RefCaption">
    <w:name w:val="Ref Caption"/>
    <w:basedOn w:val="Caption"/>
    <w:autoRedefine/>
    <w:qFormat/>
    <w:rsid w:val="000150E8"/>
    <w:pPr>
      <w:spacing w:before="120" w:after="240"/>
      <w:jc w:val="center"/>
    </w:pPr>
    <w:rPr>
      <w:rFonts w:ascii="Times New Roman" w:hAnsi="Times New Roman" w:cs="Times New Roman"/>
      <w:b/>
      <w:i w:val="0"/>
      <w:color w:val="000000" w:themeColor="text1"/>
      <w:sz w:val="24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vertext">
    <w:name w:val="cover text"/>
    <w:basedOn w:val="Normal"/>
    <w:rsid w:val="00AC5D80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80"/>
  </w:style>
  <w:style w:type="paragraph" w:styleId="Footer">
    <w:name w:val="footer"/>
    <w:basedOn w:val="Normal"/>
    <w:link w:val="Foot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80"/>
  </w:style>
  <w:style w:type="paragraph" w:styleId="NormalWeb">
    <w:name w:val="Normal (Web)"/>
    <w:basedOn w:val="Normal"/>
    <w:uiPriority w:val="99"/>
    <w:unhideWhenUsed/>
    <w:rsid w:val="0017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4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F69A-3760-4876-A9FB-B45880F0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4</cp:revision>
  <cp:lastPrinted>2016-12-29T12:18:00Z</cp:lastPrinted>
  <dcterms:created xsi:type="dcterms:W3CDTF">2017-01-16T18:21:00Z</dcterms:created>
  <dcterms:modified xsi:type="dcterms:W3CDTF">2017-01-16T18:23:00Z</dcterms:modified>
</cp:coreProperties>
</file>