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9F" w:rsidRDefault="000A7E9F" w:rsidP="000A7E9F">
      <w:pPr>
        <w:jc w:val="center"/>
        <w:rPr>
          <w:b/>
          <w:sz w:val="28"/>
        </w:rPr>
      </w:pPr>
      <w:r>
        <w:rPr>
          <w:b/>
          <w:sz w:val="28"/>
        </w:rPr>
        <w:t>IEEE P802.15</w:t>
      </w:r>
    </w:p>
    <w:p w:rsidR="000A7E9F" w:rsidRDefault="000A7E9F" w:rsidP="000A7E9F">
      <w:pPr>
        <w:tabs>
          <w:tab w:val="left" w:pos="2415"/>
          <w:tab w:val="center" w:pos="4680"/>
        </w:tabs>
        <w:rPr>
          <w:b/>
          <w:sz w:val="28"/>
        </w:rPr>
      </w:pPr>
      <w:r>
        <w:rPr>
          <w:b/>
          <w:sz w:val="28"/>
        </w:rPr>
        <w:tab/>
      </w:r>
      <w:r>
        <w:rPr>
          <w:b/>
          <w:sz w:val="28"/>
        </w:rPr>
        <w:tab/>
        <w:t>Wireless Personal Area Networks</w:t>
      </w:r>
    </w:p>
    <w:p w:rsidR="000A7E9F" w:rsidRDefault="000A7E9F" w:rsidP="000A7E9F">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A7E9F" w:rsidTr="005B1C40">
        <w:tc>
          <w:tcPr>
            <w:tcW w:w="1260" w:type="dxa"/>
            <w:tcBorders>
              <w:top w:val="single" w:sz="6" w:space="0" w:color="auto"/>
            </w:tcBorders>
          </w:tcPr>
          <w:p w:rsidR="000A7E9F" w:rsidRDefault="000A7E9F" w:rsidP="005B1C40">
            <w:pPr>
              <w:pStyle w:val="covertext"/>
            </w:pPr>
            <w:r>
              <w:t>Project</w:t>
            </w:r>
          </w:p>
        </w:tc>
        <w:tc>
          <w:tcPr>
            <w:tcW w:w="8190" w:type="dxa"/>
            <w:gridSpan w:val="2"/>
            <w:tcBorders>
              <w:top w:val="single" w:sz="6" w:space="0" w:color="auto"/>
            </w:tcBorders>
          </w:tcPr>
          <w:p w:rsidR="000A7E9F" w:rsidRDefault="000A7E9F" w:rsidP="005B1C40">
            <w:pPr>
              <w:pStyle w:val="covertext"/>
            </w:pPr>
            <w:r>
              <w:t>IEEE P802.15 Working Group for Wireless Personal Area Networks (WPANs)</w:t>
            </w:r>
          </w:p>
        </w:tc>
      </w:tr>
      <w:tr w:rsidR="000A7E9F" w:rsidTr="005B1C40">
        <w:tc>
          <w:tcPr>
            <w:tcW w:w="1260" w:type="dxa"/>
            <w:tcBorders>
              <w:top w:val="single" w:sz="6" w:space="0" w:color="auto"/>
            </w:tcBorders>
          </w:tcPr>
          <w:p w:rsidR="000A7E9F" w:rsidRDefault="000A7E9F" w:rsidP="005B1C40">
            <w:pPr>
              <w:pStyle w:val="covertext"/>
            </w:pPr>
            <w:r>
              <w:t>Title</w:t>
            </w:r>
          </w:p>
        </w:tc>
        <w:tc>
          <w:tcPr>
            <w:tcW w:w="8190" w:type="dxa"/>
            <w:gridSpan w:val="2"/>
            <w:tcBorders>
              <w:top w:val="single" w:sz="6" w:space="0" w:color="auto"/>
            </w:tcBorders>
          </w:tcPr>
          <w:p w:rsidR="000A7E9F" w:rsidRDefault="000A7E9F" w:rsidP="005B1C40">
            <w:pPr>
              <w:pStyle w:val="covertext"/>
            </w:pPr>
            <w:r w:rsidRPr="0051513B">
              <w:t xml:space="preserve">802.15 TG10 (L2R) </w:t>
            </w:r>
            <w:r>
              <w:t>Comment Resolution</w:t>
            </w:r>
            <w:r w:rsidRPr="0051513B">
              <w:t xml:space="preserve"> </w:t>
            </w:r>
            <w:r>
              <w:t>for</w:t>
            </w:r>
            <w:r>
              <w:rPr>
                <w:szCs w:val="24"/>
              </w:rPr>
              <w:t xml:space="preserve"> CIDs </w:t>
            </w:r>
            <w:r w:rsidRPr="003B29F5">
              <w:rPr>
                <w:szCs w:val="24"/>
              </w:rPr>
              <w:t>#</w:t>
            </w:r>
            <w:r w:rsidRPr="000666BA">
              <w:rPr>
                <w:szCs w:val="24"/>
              </w:rPr>
              <w:t>3063, #3064, #3096, #3101, #3102</w:t>
            </w:r>
          </w:p>
        </w:tc>
      </w:tr>
      <w:tr w:rsidR="000A7E9F" w:rsidTr="005B1C40">
        <w:tc>
          <w:tcPr>
            <w:tcW w:w="1260" w:type="dxa"/>
            <w:tcBorders>
              <w:top w:val="single" w:sz="6" w:space="0" w:color="auto"/>
            </w:tcBorders>
          </w:tcPr>
          <w:p w:rsidR="000A7E9F" w:rsidRDefault="000A7E9F" w:rsidP="005B1C40">
            <w:pPr>
              <w:pStyle w:val="covertext"/>
            </w:pPr>
            <w:r>
              <w:t>Date Submitted</w:t>
            </w:r>
          </w:p>
        </w:tc>
        <w:tc>
          <w:tcPr>
            <w:tcW w:w="8190" w:type="dxa"/>
            <w:gridSpan w:val="2"/>
            <w:tcBorders>
              <w:top w:val="single" w:sz="6" w:space="0" w:color="auto"/>
            </w:tcBorders>
          </w:tcPr>
          <w:p w:rsidR="000A7E9F" w:rsidRDefault="000A7E9F" w:rsidP="00AA2868">
            <w:pPr>
              <w:pStyle w:val="covertext"/>
            </w:pPr>
            <w:r>
              <w:t>[</w:t>
            </w:r>
            <w:r w:rsidR="00AA2868">
              <w:t>1</w:t>
            </w:r>
            <w:r w:rsidR="00AA2868">
              <w:t>5</w:t>
            </w:r>
            <w:r w:rsidR="00AA2868">
              <w:t xml:space="preserve"> </w:t>
            </w:r>
            <w:r w:rsidR="00AA2868">
              <w:t>April</w:t>
            </w:r>
            <w:bookmarkStart w:id="0" w:name="_GoBack"/>
            <w:bookmarkEnd w:id="0"/>
            <w:r w:rsidR="00AA2868">
              <w:t xml:space="preserve"> </w:t>
            </w:r>
            <w:r>
              <w:t>2016]</w:t>
            </w:r>
          </w:p>
        </w:tc>
      </w:tr>
      <w:tr w:rsidR="000A7E9F" w:rsidTr="005B1C40">
        <w:tc>
          <w:tcPr>
            <w:tcW w:w="1260" w:type="dxa"/>
            <w:tcBorders>
              <w:top w:val="single" w:sz="4" w:space="0" w:color="auto"/>
              <w:bottom w:val="single" w:sz="4" w:space="0" w:color="auto"/>
            </w:tcBorders>
          </w:tcPr>
          <w:p w:rsidR="000A7E9F" w:rsidRDefault="000A7E9F" w:rsidP="005B1C40">
            <w:pPr>
              <w:pStyle w:val="covertext"/>
            </w:pPr>
            <w:r>
              <w:t>Source</w:t>
            </w:r>
          </w:p>
        </w:tc>
        <w:tc>
          <w:tcPr>
            <w:tcW w:w="4050" w:type="dxa"/>
            <w:tcBorders>
              <w:top w:val="single" w:sz="4" w:space="0" w:color="auto"/>
              <w:bottom w:val="single" w:sz="4" w:space="0" w:color="auto"/>
            </w:tcBorders>
          </w:tcPr>
          <w:p w:rsidR="000A7E9F" w:rsidRDefault="000A7E9F" w:rsidP="005B1C40">
            <w:pPr>
              <w:pStyle w:val="covertext"/>
              <w:spacing w:before="0" w:after="0"/>
            </w:pPr>
            <w:r>
              <w:t>[Charlie Perkins]</w:t>
            </w:r>
            <w:r>
              <w:br/>
              <w:t>[Futurewei]</w:t>
            </w:r>
          </w:p>
          <w:p w:rsidR="000A7E9F" w:rsidRDefault="000A7E9F" w:rsidP="005B1C40">
            <w:pPr>
              <w:pStyle w:val="covertext"/>
              <w:spacing w:before="0" w:after="0"/>
            </w:pPr>
          </w:p>
        </w:tc>
        <w:tc>
          <w:tcPr>
            <w:tcW w:w="4140" w:type="dxa"/>
            <w:tcBorders>
              <w:top w:val="single" w:sz="4" w:space="0" w:color="auto"/>
              <w:bottom w:val="single" w:sz="4" w:space="0" w:color="auto"/>
            </w:tcBorders>
          </w:tcPr>
          <w:p w:rsidR="000A7E9F" w:rsidRDefault="000A7E9F" w:rsidP="005B1C40">
            <w:pPr>
              <w:pStyle w:val="covertext"/>
              <w:tabs>
                <w:tab w:val="left" w:pos="1152"/>
              </w:tabs>
              <w:spacing w:before="0" w:after="0"/>
              <w:rPr>
                <w:sz w:val="18"/>
              </w:rPr>
            </w:pPr>
            <w:r>
              <w:t>Voice:</w:t>
            </w:r>
            <w:r>
              <w:tab/>
              <w:t>[+1-408-330-4586]</w:t>
            </w:r>
            <w:r>
              <w:br/>
              <w:t>Fax:</w:t>
            </w:r>
            <w:r>
              <w:tab/>
              <w:t>[+1-408-330-5088]</w:t>
            </w:r>
            <w:r>
              <w:br/>
              <w:t>E-mail:</w:t>
            </w:r>
            <w:r>
              <w:tab/>
              <w:t>[charliep@computer.org]</w:t>
            </w:r>
            <w:r>
              <w:br/>
            </w:r>
          </w:p>
        </w:tc>
      </w:tr>
      <w:tr w:rsidR="000A7E9F" w:rsidTr="005B1C40">
        <w:tc>
          <w:tcPr>
            <w:tcW w:w="1260" w:type="dxa"/>
            <w:tcBorders>
              <w:top w:val="single" w:sz="6" w:space="0" w:color="auto"/>
            </w:tcBorders>
          </w:tcPr>
          <w:p w:rsidR="000A7E9F" w:rsidRDefault="000A7E9F" w:rsidP="005B1C40">
            <w:pPr>
              <w:pStyle w:val="covertext"/>
            </w:pPr>
            <w:r>
              <w:t>Re:</w:t>
            </w:r>
          </w:p>
        </w:tc>
        <w:tc>
          <w:tcPr>
            <w:tcW w:w="8190" w:type="dxa"/>
            <w:gridSpan w:val="2"/>
            <w:tcBorders>
              <w:top w:val="single" w:sz="6" w:space="0" w:color="auto"/>
            </w:tcBorders>
          </w:tcPr>
          <w:p w:rsidR="000A7E9F" w:rsidRDefault="000A7E9F" w:rsidP="005B1C40">
            <w:pPr>
              <w:pStyle w:val="covertext"/>
            </w:pPr>
            <w:r>
              <w:t>[TG10 (L2R) comment r</w:t>
            </w:r>
            <w:r w:rsidRPr="003B29F5">
              <w:t>esolution</w:t>
            </w:r>
            <w:r>
              <w:t>.]</w:t>
            </w:r>
          </w:p>
        </w:tc>
      </w:tr>
      <w:tr w:rsidR="000A7E9F" w:rsidTr="005B1C40">
        <w:tc>
          <w:tcPr>
            <w:tcW w:w="1260" w:type="dxa"/>
            <w:tcBorders>
              <w:top w:val="single" w:sz="6" w:space="0" w:color="auto"/>
            </w:tcBorders>
          </w:tcPr>
          <w:p w:rsidR="000A7E9F" w:rsidRDefault="000A7E9F" w:rsidP="005B1C40">
            <w:pPr>
              <w:pStyle w:val="covertext"/>
            </w:pPr>
            <w:r>
              <w:t>Abstract</w:t>
            </w:r>
          </w:p>
        </w:tc>
        <w:tc>
          <w:tcPr>
            <w:tcW w:w="8190" w:type="dxa"/>
            <w:gridSpan w:val="2"/>
            <w:tcBorders>
              <w:top w:val="single" w:sz="6" w:space="0" w:color="auto"/>
            </w:tcBorders>
          </w:tcPr>
          <w:p w:rsidR="000A7E9F" w:rsidRDefault="000A7E9F" w:rsidP="005B1C40">
            <w:pPr>
              <w:pStyle w:val="covertext"/>
            </w:pPr>
            <w:r>
              <w:t>This document provides comment resolutions</w:t>
            </w:r>
            <w:r w:rsidRPr="0051513B">
              <w:t xml:space="preserve"> </w:t>
            </w:r>
            <w:r>
              <w:t>for comments</w:t>
            </w:r>
            <w:r>
              <w:rPr>
                <w:szCs w:val="24"/>
              </w:rPr>
              <w:t xml:space="preserve"> CIDs </w:t>
            </w:r>
            <w:r w:rsidRPr="000666BA">
              <w:rPr>
                <w:szCs w:val="24"/>
              </w:rPr>
              <w:t xml:space="preserve">#3063, #3064, #3096, #3101, </w:t>
            </w:r>
            <w:r>
              <w:rPr>
                <w:szCs w:val="24"/>
              </w:rPr>
              <w:t xml:space="preserve">and </w:t>
            </w:r>
            <w:r w:rsidRPr="000666BA">
              <w:rPr>
                <w:szCs w:val="24"/>
              </w:rPr>
              <w:t>#3102</w:t>
            </w:r>
            <w:r>
              <w:rPr>
                <w:szCs w:val="24"/>
              </w:rPr>
              <w:t xml:space="preserve"> related to metric definitions and mesh configuration parameters</w:t>
            </w:r>
          </w:p>
        </w:tc>
      </w:tr>
      <w:tr w:rsidR="000A7E9F" w:rsidTr="005B1C40">
        <w:tc>
          <w:tcPr>
            <w:tcW w:w="1260" w:type="dxa"/>
            <w:tcBorders>
              <w:top w:val="single" w:sz="6" w:space="0" w:color="auto"/>
            </w:tcBorders>
          </w:tcPr>
          <w:p w:rsidR="000A7E9F" w:rsidRDefault="000A7E9F" w:rsidP="005B1C40">
            <w:pPr>
              <w:pStyle w:val="covertext"/>
            </w:pPr>
            <w:r>
              <w:t>Purpose</w:t>
            </w:r>
          </w:p>
        </w:tc>
        <w:tc>
          <w:tcPr>
            <w:tcW w:w="8190" w:type="dxa"/>
            <w:gridSpan w:val="2"/>
            <w:tcBorders>
              <w:top w:val="single" w:sz="6" w:space="0" w:color="auto"/>
            </w:tcBorders>
          </w:tcPr>
          <w:p w:rsidR="000A7E9F" w:rsidRDefault="000A7E9F" w:rsidP="005B1C40">
            <w:pPr>
              <w:pStyle w:val="covertext"/>
            </w:pPr>
            <w:r>
              <w:t>[TG10 (L2R) comment resolution to produce next draft.]</w:t>
            </w:r>
          </w:p>
        </w:tc>
      </w:tr>
      <w:tr w:rsidR="000A7E9F" w:rsidTr="005B1C40">
        <w:tc>
          <w:tcPr>
            <w:tcW w:w="1260" w:type="dxa"/>
            <w:tcBorders>
              <w:top w:val="single" w:sz="6" w:space="0" w:color="auto"/>
              <w:bottom w:val="single" w:sz="6" w:space="0" w:color="auto"/>
            </w:tcBorders>
          </w:tcPr>
          <w:p w:rsidR="000A7E9F" w:rsidRDefault="000A7E9F" w:rsidP="005B1C40">
            <w:pPr>
              <w:pStyle w:val="covertext"/>
            </w:pPr>
            <w:r>
              <w:t>Notice</w:t>
            </w:r>
          </w:p>
        </w:tc>
        <w:tc>
          <w:tcPr>
            <w:tcW w:w="8190" w:type="dxa"/>
            <w:gridSpan w:val="2"/>
            <w:tcBorders>
              <w:top w:val="single" w:sz="6" w:space="0" w:color="auto"/>
              <w:bottom w:val="single" w:sz="6" w:space="0" w:color="auto"/>
            </w:tcBorders>
          </w:tcPr>
          <w:p w:rsidR="000A7E9F" w:rsidRDefault="000A7E9F" w:rsidP="005B1C4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A7E9F" w:rsidTr="005B1C40">
        <w:tc>
          <w:tcPr>
            <w:tcW w:w="1260" w:type="dxa"/>
            <w:tcBorders>
              <w:top w:val="single" w:sz="6" w:space="0" w:color="auto"/>
              <w:bottom w:val="single" w:sz="6" w:space="0" w:color="auto"/>
            </w:tcBorders>
          </w:tcPr>
          <w:p w:rsidR="000A7E9F" w:rsidRDefault="000A7E9F" w:rsidP="005B1C40">
            <w:pPr>
              <w:pStyle w:val="covertext"/>
            </w:pPr>
            <w:r>
              <w:t>Release</w:t>
            </w:r>
          </w:p>
        </w:tc>
        <w:tc>
          <w:tcPr>
            <w:tcW w:w="8190" w:type="dxa"/>
            <w:gridSpan w:val="2"/>
            <w:tcBorders>
              <w:top w:val="single" w:sz="6" w:space="0" w:color="auto"/>
              <w:bottom w:val="single" w:sz="6" w:space="0" w:color="auto"/>
            </w:tcBorders>
          </w:tcPr>
          <w:p w:rsidR="000A7E9F" w:rsidRDefault="000A7E9F" w:rsidP="005B1C40">
            <w:pPr>
              <w:pStyle w:val="covertext"/>
            </w:pPr>
            <w:r>
              <w:t>The contributor acknowledges and accepts that this contribution becomes the property of IEEE and may be made publicly available by P802.15.</w:t>
            </w:r>
          </w:p>
        </w:tc>
      </w:tr>
    </w:tbl>
    <w:p w:rsidR="000A7E9F" w:rsidRDefault="000A7E9F" w:rsidP="000A7E9F">
      <w:pPr>
        <w:pStyle w:val="NoSpacing"/>
        <w:jc w:val="center"/>
      </w:pPr>
      <w:r>
        <w:rPr>
          <w:b/>
          <w:sz w:val="28"/>
        </w:rPr>
        <w:br w:type="page"/>
      </w:r>
    </w:p>
    <w:p w:rsidR="000A7E9F" w:rsidRDefault="000A7E9F" w:rsidP="000A7E9F">
      <w:pPr>
        <w:widowControl w:val="0"/>
        <w:spacing w:before="120"/>
        <w:rPr>
          <w:b/>
          <w:sz w:val="28"/>
          <w:u w:val="single"/>
        </w:rPr>
      </w:pPr>
      <w:r>
        <w:rPr>
          <w:rFonts w:hint="eastAsia"/>
          <w:b/>
          <w:sz w:val="28"/>
          <w:u w:val="single"/>
        </w:rPr>
        <w:lastRenderedPageBreak/>
        <w:t>Comment</w:t>
      </w:r>
      <w:r>
        <w:rPr>
          <w:b/>
          <w:sz w:val="28"/>
          <w:u w:val="single"/>
        </w:rPr>
        <w:t>s</w:t>
      </w:r>
      <w:r>
        <w:rPr>
          <w:rFonts w:hint="eastAsia"/>
          <w:b/>
          <w:sz w:val="28"/>
          <w:u w:val="single"/>
        </w:rPr>
        <w:t xml:space="preserve"> #</w:t>
      </w:r>
      <w:r>
        <w:rPr>
          <w:b/>
          <w:sz w:val="28"/>
          <w:u w:val="single"/>
        </w:rPr>
        <w:t>3063, #3064, #3096, #3101, #3102</w:t>
      </w:r>
    </w:p>
    <w:p w:rsidR="000A7E9F" w:rsidRDefault="000A7E9F" w:rsidP="000A7E9F">
      <w:pPr>
        <w:widowControl w:val="0"/>
        <w:spacing w:before="120"/>
        <w:rPr>
          <w:b/>
          <w:sz w:val="28"/>
          <w:u w:val="single"/>
        </w:rPr>
      </w:pPr>
    </w:p>
    <w:tbl>
      <w:tblPr>
        <w:tblStyle w:val="TableGrid"/>
        <w:tblW w:w="0" w:type="auto"/>
        <w:tblLayout w:type="fixed"/>
        <w:tblLook w:val="04A0" w:firstRow="1" w:lastRow="0" w:firstColumn="1" w:lastColumn="0" w:noHBand="0" w:noVBand="1"/>
      </w:tblPr>
      <w:tblGrid>
        <w:gridCol w:w="738"/>
        <w:gridCol w:w="1440"/>
        <w:gridCol w:w="1080"/>
        <w:gridCol w:w="540"/>
        <w:gridCol w:w="900"/>
        <w:gridCol w:w="540"/>
        <w:gridCol w:w="2520"/>
        <w:gridCol w:w="1818"/>
      </w:tblGrid>
      <w:tr w:rsidR="000A7E9F" w:rsidRPr="000666BA" w:rsidTr="005B1C40">
        <w:trPr>
          <w:trHeight w:val="1020"/>
        </w:trPr>
        <w:tc>
          <w:tcPr>
            <w:tcW w:w="738" w:type="dxa"/>
            <w:noWrap/>
            <w:hideMark/>
          </w:tcPr>
          <w:p w:rsidR="000A7E9F" w:rsidRPr="000666BA" w:rsidRDefault="000A7E9F" w:rsidP="005B1C40">
            <w:pPr>
              <w:rPr>
                <w:noProof/>
                <w:sz w:val="22"/>
                <w:lang w:eastAsia="en-US"/>
              </w:rPr>
            </w:pPr>
            <w:r w:rsidRPr="000666BA">
              <w:rPr>
                <w:noProof/>
                <w:sz w:val="22"/>
                <w:lang w:eastAsia="en-US"/>
              </w:rPr>
              <w:t>3063</w:t>
            </w:r>
          </w:p>
        </w:tc>
        <w:tc>
          <w:tcPr>
            <w:tcW w:w="1440" w:type="dxa"/>
            <w:noWrap/>
            <w:hideMark/>
          </w:tcPr>
          <w:p w:rsidR="000A7E9F" w:rsidRPr="000666BA" w:rsidRDefault="000A7E9F" w:rsidP="005B1C40">
            <w:pPr>
              <w:rPr>
                <w:noProof/>
                <w:sz w:val="22"/>
                <w:lang w:eastAsia="en-US"/>
              </w:rPr>
            </w:pPr>
            <w:r w:rsidRPr="000666BA">
              <w:rPr>
                <w:noProof/>
                <w:sz w:val="22"/>
                <w:lang w:eastAsia="en-US"/>
              </w:rPr>
              <w:t>Stephen Chasko</w:t>
            </w:r>
          </w:p>
        </w:tc>
        <w:tc>
          <w:tcPr>
            <w:tcW w:w="1080" w:type="dxa"/>
            <w:hideMark/>
          </w:tcPr>
          <w:p w:rsidR="000A7E9F" w:rsidRPr="000666BA" w:rsidRDefault="000A7E9F" w:rsidP="005B1C40">
            <w:pPr>
              <w:rPr>
                <w:noProof/>
                <w:sz w:val="22"/>
                <w:lang w:eastAsia="en-US"/>
              </w:rPr>
            </w:pPr>
            <w:r w:rsidRPr="000666BA">
              <w:rPr>
                <w:noProof/>
                <w:sz w:val="22"/>
                <w:lang w:eastAsia="en-US"/>
              </w:rPr>
              <w:t>Landis +Gyr</w:t>
            </w:r>
          </w:p>
        </w:tc>
        <w:tc>
          <w:tcPr>
            <w:tcW w:w="540" w:type="dxa"/>
            <w:noWrap/>
            <w:hideMark/>
          </w:tcPr>
          <w:p w:rsidR="000A7E9F" w:rsidRPr="000666BA" w:rsidRDefault="000A7E9F" w:rsidP="005B1C40">
            <w:pPr>
              <w:rPr>
                <w:noProof/>
                <w:sz w:val="22"/>
                <w:lang w:eastAsia="en-US"/>
              </w:rPr>
            </w:pPr>
            <w:r w:rsidRPr="000666BA">
              <w:rPr>
                <w:noProof/>
                <w:sz w:val="22"/>
                <w:lang w:eastAsia="en-US"/>
              </w:rPr>
              <w:t>32</w:t>
            </w:r>
          </w:p>
        </w:tc>
        <w:tc>
          <w:tcPr>
            <w:tcW w:w="900" w:type="dxa"/>
            <w:noWrap/>
            <w:hideMark/>
          </w:tcPr>
          <w:p w:rsidR="000A7E9F" w:rsidRPr="000666BA" w:rsidRDefault="000A7E9F" w:rsidP="005B1C40">
            <w:pPr>
              <w:rPr>
                <w:noProof/>
                <w:sz w:val="22"/>
                <w:lang w:eastAsia="en-US"/>
              </w:rPr>
            </w:pPr>
            <w:r w:rsidRPr="000666BA">
              <w:rPr>
                <w:noProof/>
                <w:sz w:val="22"/>
                <w:lang w:eastAsia="en-US"/>
              </w:rPr>
              <w:t>5.2.2.1</w:t>
            </w:r>
          </w:p>
        </w:tc>
        <w:tc>
          <w:tcPr>
            <w:tcW w:w="540" w:type="dxa"/>
            <w:noWrap/>
            <w:hideMark/>
          </w:tcPr>
          <w:p w:rsidR="000A7E9F" w:rsidRPr="000666BA" w:rsidRDefault="000A7E9F" w:rsidP="005B1C40">
            <w:pPr>
              <w:rPr>
                <w:noProof/>
                <w:sz w:val="22"/>
                <w:lang w:eastAsia="en-US"/>
              </w:rPr>
            </w:pPr>
            <w:r w:rsidRPr="000666BA">
              <w:rPr>
                <w:noProof/>
                <w:sz w:val="22"/>
                <w:lang w:eastAsia="en-US"/>
              </w:rPr>
              <w:t>7</w:t>
            </w:r>
          </w:p>
        </w:tc>
        <w:tc>
          <w:tcPr>
            <w:tcW w:w="2520" w:type="dxa"/>
            <w:hideMark/>
          </w:tcPr>
          <w:p w:rsidR="000A7E9F" w:rsidRPr="000666BA" w:rsidRDefault="000A7E9F" w:rsidP="005B1C40">
            <w:pPr>
              <w:rPr>
                <w:noProof/>
                <w:sz w:val="22"/>
                <w:lang w:eastAsia="en-US"/>
              </w:rPr>
            </w:pPr>
            <w:r w:rsidRPr="000666BA">
              <w:rPr>
                <w:noProof/>
                <w:sz w:val="22"/>
                <w:lang w:eastAsia="en-US"/>
              </w:rPr>
              <w:t>Pmin and Pmax are measured and can vary by implementation leading to variance in how link quality will be calculated which will cause some devices to calculate link quality differently</w:t>
            </w:r>
          </w:p>
        </w:tc>
        <w:tc>
          <w:tcPr>
            <w:tcW w:w="1818" w:type="dxa"/>
            <w:hideMark/>
          </w:tcPr>
          <w:p w:rsidR="000A7E9F" w:rsidRPr="000666BA" w:rsidRDefault="000A7E9F" w:rsidP="005B1C40">
            <w:pPr>
              <w:rPr>
                <w:noProof/>
                <w:sz w:val="22"/>
                <w:lang w:eastAsia="en-US"/>
              </w:rPr>
            </w:pPr>
            <w:r w:rsidRPr="000666BA">
              <w:rPr>
                <w:noProof/>
                <w:sz w:val="22"/>
                <w:lang w:eastAsia="en-US"/>
              </w:rPr>
              <w:t>describe how Pmin and Pmax are measured in sufficient detail</w:t>
            </w:r>
          </w:p>
        </w:tc>
      </w:tr>
      <w:tr w:rsidR="000A7E9F" w:rsidRPr="000666BA" w:rsidTr="005B1C40">
        <w:trPr>
          <w:trHeight w:val="765"/>
        </w:trPr>
        <w:tc>
          <w:tcPr>
            <w:tcW w:w="738" w:type="dxa"/>
            <w:noWrap/>
            <w:hideMark/>
          </w:tcPr>
          <w:p w:rsidR="000A7E9F" w:rsidRPr="000666BA" w:rsidRDefault="000A7E9F" w:rsidP="005B1C40">
            <w:pPr>
              <w:rPr>
                <w:noProof/>
                <w:sz w:val="22"/>
                <w:lang w:eastAsia="en-US"/>
              </w:rPr>
            </w:pPr>
            <w:r w:rsidRPr="000666BA">
              <w:rPr>
                <w:noProof/>
                <w:sz w:val="22"/>
                <w:lang w:eastAsia="en-US"/>
              </w:rPr>
              <w:t>3064</w:t>
            </w:r>
          </w:p>
        </w:tc>
        <w:tc>
          <w:tcPr>
            <w:tcW w:w="1440" w:type="dxa"/>
            <w:noWrap/>
            <w:hideMark/>
          </w:tcPr>
          <w:p w:rsidR="000A7E9F" w:rsidRPr="000666BA" w:rsidRDefault="000A7E9F" w:rsidP="005B1C40">
            <w:pPr>
              <w:rPr>
                <w:noProof/>
                <w:sz w:val="22"/>
                <w:lang w:eastAsia="en-US"/>
              </w:rPr>
            </w:pPr>
            <w:r w:rsidRPr="000666BA">
              <w:rPr>
                <w:noProof/>
                <w:sz w:val="22"/>
                <w:lang w:eastAsia="en-US"/>
              </w:rPr>
              <w:t>Verotiana Rabarijaona</w:t>
            </w:r>
          </w:p>
        </w:tc>
        <w:tc>
          <w:tcPr>
            <w:tcW w:w="1080" w:type="dxa"/>
            <w:hideMark/>
          </w:tcPr>
          <w:p w:rsidR="000A7E9F" w:rsidRPr="000666BA" w:rsidRDefault="000A7E9F" w:rsidP="005B1C40">
            <w:pPr>
              <w:rPr>
                <w:noProof/>
                <w:sz w:val="22"/>
                <w:lang w:eastAsia="en-US"/>
              </w:rPr>
            </w:pPr>
            <w:r w:rsidRPr="000666BA">
              <w:rPr>
                <w:noProof/>
                <w:sz w:val="22"/>
                <w:lang w:eastAsia="en-US"/>
              </w:rPr>
              <w:t>NICT</w:t>
            </w:r>
          </w:p>
        </w:tc>
        <w:tc>
          <w:tcPr>
            <w:tcW w:w="540" w:type="dxa"/>
            <w:noWrap/>
            <w:hideMark/>
          </w:tcPr>
          <w:p w:rsidR="000A7E9F" w:rsidRPr="000666BA" w:rsidRDefault="000A7E9F" w:rsidP="005B1C40">
            <w:pPr>
              <w:rPr>
                <w:noProof/>
                <w:sz w:val="22"/>
                <w:lang w:eastAsia="en-US"/>
              </w:rPr>
            </w:pPr>
            <w:r w:rsidRPr="000666BA">
              <w:rPr>
                <w:noProof/>
                <w:sz w:val="22"/>
                <w:lang w:eastAsia="en-US"/>
              </w:rPr>
              <w:t>34</w:t>
            </w:r>
          </w:p>
        </w:tc>
        <w:tc>
          <w:tcPr>
            <w:tcW w:w="900" w:type="dxa"/>
            <w:noWrap/>
            <w:hideMark/>
          </w:tcPr>
          <w:p w:rsidR="000A7E9F" w:rsidRPr="000666BA" w:rsidRDefault="000A7E9F" w:rsidP="005B1C40">
            <w:pPr>
              <w:rPr>
                <w:noProof/>
                <w:sz w:val="22"/>
                <w:lang w:eastAsia="en-US"/>
              </w:rPr>
            </w:pPr>
            <w:r w:rsidRPr="000666BA">
              <w:rPr>
                <w:noProof/>
                <w:sz w:val="22"/>
                <w:lang w:eastAsia="en-US"/>
              </w:rPr>
              <w:t>5.2.2.2</w:t>
            </w:r>
          </w:p>
        </w:tc>
        <w:tc>
          <w:tcPr>
            <w:tcW w:w="540" w:type="dxa"/>
            <w:noWrap/>
            <w:hideMark/>
          </w:tcPr>
          <w:p w:rsidR="000A7E9F" w:rsidRPr="000666BA" w:rsidRDefault="000A7E9F" w:rsidP="005B1C40">
            <w:pPr>
              <w:rPr>
                <w:noProof/>
                <w:sz w:val="22"/>
                <w:lang w:eastAsia="en-US"/>
              </w:rPr>
            </w:pPr>
            <w:r w:rsidRPr="000666BA">
              <w:rPr>
                <w:noProof/>
                <w:sz w:val="22"/>
                <w:lang w:eastAsia="en-US"/>
              </w:rPr>
              <w:t>51</w:t>
            </w:r>
          </w:p>
        </w:tc>
        <w:tc>
          <w:tcPr>
            <w:tcW w:w="2520" w:type="dxa"/>
            <w:hideMark/>
          </w:tcPr>
          <w:p w:rsidR="000A7E9F" w:rsidRPr="000666BA" w:rsidRDefault="000A7E9F" w:rsidP="005B1C40">
            <w:pPr>
              <w:rPr>
                <w:noProof/>
                <w:sz w:val="22"/>
                <w:lang w:eastAsia="en-US"/>
              </w:rPr>
            </w:pPr>
            <w:r w:rsidRPr="000666BA">
              <w:rPr>
                <w:noProof/>
                <w:sz w:val="22"/>
                <w:lang w:eastAsia="en-US"/>
              </w:rPr>
              <w:t>"until an acknowledgement is received" implies that the ETX can only be used when ACKs are required at the MAC sublayer</w:t>
            </w:r>
          </w:p>
        </w:tc>
        <w:tc>
          <w:tcPr>
            <w:tcW w:w="1818" w:type="dxa"/>
            <w:hideMark/>
          </w:tcPr>
          <w:p w:rsidR="000A7E9F" w:rsidRPr="000666BA" w:rsidRDefault="000A7E9F" w:rsidP="005B1C40">
            <w:pPr>
              <w:rPr>
                <w:noProof/>
                <w:sz w:val="22"/>
                <w:lang w:eastAsia="en-US"/>
              </w:rPr>
            </w:pPr>
            <w:r w:rsidRPr="000666BA">
              <w:rPr>
                <w:noProof/>
                <w:sz w:val="22"/>
                <w:lang w:eastAsia="en-US"/>
              </w:rPr>
              <w:t>Indicate that the ETX requires all data frame transmissions to be ACKed at the MAC sublayer</w:t>
            </w:r>
          </w:p>
        </w:tc>
      </w:tr>
      <w:tr w:rsidR="000A7E9F" w:rsidRPr="000666BA" w:rsidTr="005B1C40">
        <w:trPr>
          <w:trHeight w:val="1020"/>
        </w:trPr>
        <w:tc>
          <w:tcPr>
            <w:tcW w:w="738" w:type="dxa"/>
            <w:noWrap/>
            <w:hideMark/>
          </w:tcPr>
          <w:p w:rsidR="000A7E9F" w:rsidRPr="000666BA" w:rsidRDefault="000A7E9F" w:rsidP="005B1C40">
            <w:pPr>
              <w:rPr>
                <w:noProof/>
                <w:sz w:val="22"/>
                <w:lang w:eastAsia="en-US"/>
              </w:rPr>
            </w:pPr>
            <w:r w:rsidRPr="000666BA">
              <w:rPr>
                <w:noProof/>
                <w:sz w:val="22"/>
                <w:lang w:eastAsia="en-US"/>
              </w:rPr>
              <w:t>3096</w:t>
            </w:r>
          </w:p>
        </w:tc>
        <w:tc>
          <w:tcPr>
            <w:tcW w:w="1440" w:type="dxa"/>
            <w:noWrap/>
            <w:hideMark/>
          </w:tcPr>
          <w:p w:rsidR="000A7E9F" w:rsidRPr="000666BA" w:rsidRDefault="000A7E9F" w:rsidP="005B1C40">
            <w:pPr>
              <w:rPr>
                <w:noProof/>
                <w:sz w:val="22"/>
                <w:lang w:eastAsia="en-US"/>
              </w:rPr>
            </w:pPr>
            <w:r w:rsidRPr="000666BA">
              <w:rPr>
                <w:noProof/>
                <w:sz w:val="22"/>
                <w:lang w:eastAsia="en-US"/>
              </w:rPr>
              <w:t>Don Sturek</w:t>
            </w:r>
          </w:p>
        </w:tc>
        <w:tc>
          <w:tcPr>
            <w:tcW w:w="1080" w:type="dxa"/>
            <w:hideMark/>
          </w:tcPr>
          <w:p w:rsidR="000A7E9F" w:rsidRPr="000666BA" w:rsidRDefault="000A7E9F" w:rsidP="005B1C40">
            <w:pPr>
              <w:rPr>
                <w:noProof/>
                <w:sz w:val="22"/>
                <w:lang w:eastAsia="en-US"/>
              </w:rPr>
            </w:pPr>
            <w:r w:rsidRPr="000666BA">
              <w:rPr>
                <w:noProof/>
                <w:sz w:val="22"/>
                <w:lang w:eastAsia="en-US"/>
              </w:rPr>
              <w:t>SSNI</w:t>
            </w:r>
          </w:p>
        </w:tc>
        <w:tc>
          <w:tcPr>
            <w:tcW w:w="540" w:type="dxa"/>
            <w:noWrap/>
            <w:hideMark/>
          </w:tcPr>
          <w:p w:rsidR="000A7E9F" w:rsidRPr="000666BA" w:rsidRDefault="000A7E9F" w:rsidP="005B1C40">
            <w:pPr>
              <w:rPr>
                <w:noProof/>
                <w:sz w:val="22"/>
                <w:lang w:eastAsia="en-US"/>
              </w:rPr>
            </w:pPr>
            <w:r w:rsidRPr="000666BA">
              <w:rPr>
                <w:noProof/>
                <w:sz w:val="22"/>
                <w:lang w:eastAsia="en-US"/>
              </w:rPr>
              <w:t>47</w:t>
            </w:r>
          </w:p>
        </w:tc>
        <w:tc>
          <w:tcPr>
            <w:tcW w:w="900" w:type="dxa"/>
            <w:noWrap/>
            <w:hideMark/>
          </w:tcPr>
          <w:p w:rsidR="000A7E9F" w:rsidRPr="000666BA" w:rsidRDefault="000A7E9F" w:rsidP="005B1C40">
            <w:pPr>
              <w:rPr>
                <w:noProof/>
                <w:sz w:val="22"/>
                <w:lang w:eastAsia="en-US"/>
              </w:rPr>
            </w:pPr>
            <w:r w:rsidRPr="000666BA">
              <w:rPr>
                <w:noProof/>
                <w:sz w:val="22"/>
                <w:lang w:eastAsia="en-US"/>
              </w:rPr>
              <w:t>5.4.1.2</w:t>
            </w:r>
          </w:p>
        </w:tc>
        <w:tc>
          <w:tcPr>
            <w:tcW w:w="540" w:type="dxa"/>
            <w:noWrap/>
            <w:hideMark/>
          </w:tcPr>
          <w:p w:rsidR="000A7E9F" w:rsidRPr="000666BA" w:rsidRDefault="000A7E9F" w:rsidP="005B1C40">
            <w:pPr>
              <w:rPr>
                <w:noProof/>
                <w:sz w:val="22"/>
                <w:lang w:eastAsia="en-US"/>
              </w:rPr>
            </w:pPr>
            <w:r w:rsidRPr="000666BA">
              <w:rPr>
                <w:noProof/>
                <w:sz w:val="22"/>
                <w:lang w:eastAsia="en-US"/>
              </w:rPr>
              <w:t>15</w:t>
            </w:r>
          </w:p>
        </w:tc>
        <w:tc>
          <w:tcPr>
            <w:tcW w:w="2520" w:type="dxa"/>
            <w:hideMark/>
          </w:tcPr>
          <w:p w:rsidR="000A7E9F" w:rsidRPr="000666BA" w:rsidRDefault="000A7E9F" w:rsidP="005B1C40">
            <w:pPr>
              <w:rPr>
                <w:noProof/>
                <w:sz w:val="22"/>
                <w:lang w:eastAsia="en-US"/>
              </w:rPr>
            </w:pPr>
            <w:r w:rsidRPr="000666BA">
              <w:rPr>
                <w:noProof/>
                <w:sz w:val="22"/>
                <w:lang w:eastAsia="en-US"/>
              </w:rPr>
              <w:t>This section claims to support US, DS and P2P routing.  However, the diagram only offers two options:   US and DS.  Either the P2P option needs to be added or a similar diagram for P2P added</w:t>
            </w:r>
          </w:p>
        </w:tc>
        <w:tc>
          <w:tcPr>
            <w:tcW w:w="1818" w:type="dxa"/>
            <w:hideMark/>
          </w:tcPr>
          <w:p w:rsidR="000A7E9F" w:rsidRPr="000666BA" w:rsidRDefault="000A7E9F" w:rsidP="005B1C40">
            <w:pPr>
              <w:rPr>
                <w:noProof/>
                <w:sz w:val="22"/>
                <w:lang w:eastAsia="en-US"/>
              </w:rPr>
            </w:pPr>
            <w:r w:rsidRPr="000666BA">
              <w:rPr>
                <w:noProof/>
                <w:sz w:val="22"/>
                <w:lang w:eastAsia="en-US"/>
              </w:rPr>
              <w:t>Add P2P forwarding</w:t>
            </w:r>
          </w:p>
        </w:tc>
      </w:tr>
      <w:tr w:rsidR="000A7E9F" w:rsidRPr="000666BA" w:rsidTr="005B1C40">
        <w:trPr>
          <w:trHeight w:val="1530"/>
        </w:trPr>
        <w:tc>
          <w:tcPr>
            <w:tcW w:w="738" w:type="dxa"/>
            <w:noWrap/>
            <w:hideMark/>
          </w:tcPr>
          <w:p w:rsidR="000A7E9F" w:rsidRPr="000666BA" w:rsidRDefault="000A7E9F" w:rsidP="005B1C40">
            <w:pPr>
              <w:rPr>
                <w:noProof/>
                <w:sz w:val="22"/>
                <w:lang w:eastAsia="en-US"/>
              </w:rPr>
            </w:pPr>
            <w:r w:rsidRPr="000666BA">
              <w:rPr>
                <w:noProof/>
                <w:sz w:val="22"/>
                <w:lang w:eastAsia="en-US"/>
              </w:rPr>
              <w:t>3101</w:t>
            </w:r>
          </w:p>
        </w:tc>
        <w:tc>
          <w:tcPr>
            <w:tcW w:w="1440" w:type="dxa"/>
            <w:noWrap/>
            <w:hideMark/>
          </w:tcPr>
          <w:p w:rsidR="000A7E9F" w:rsidRPr="000666BA" w:rsidRDefault="000A7E9F" w:rsidP="005B1C40">
            <w:pPr>
              <w:rPr>
                <w:noProof/>
                <w:sz w:val="22"/>
                <w:lang w:eastAsia="en-US"/>
              </w:rPr>
            </w:pPr>
            <w:r w:rsidRPr="000666BA">
              <w:rPr>
                <w:noProof/>
                <w:sz w:val="22"/>
                <w:lang w:eastAsia="en-US"/>
              </w:rPr>
              <w:t>Tero Kivinen</w:t>
            </w:r>
          </w:p>
        </w:tc>
        <w:tc>
          <w:tcPr>
            <w:tcW w:w="1080" w:type="dxa"/>
            <w:hideMark/>
          </w:tcPr>
          <w:p w:rsidR="000A7E9F" w:rsidRPr="000666BA" w:rsidRDefault="000A7E9F" w:rsidP="005B1C40">
            <w:pPr>
              <w:rPr>
                <w:noProof/>
                <w:sz w:val="22"/>
                <w:lang w:eastAsia="en-US"/>
              </w:rPr>
            </w:pPr>
            <w:r w:rsidRPr="000666BA">
              <w:rPr>
                <w:noProof/>
                <w:sz w:val="22"/>
                <w:lang w:eastAsia="en-US"/>
              </w:rPr>
              <w:t>INSIDE Secure</w:t>
            </w:r>
          </w:p>
        </w:tc>
        <w:tc>
          <w:tcPr>
            <w:tcW w:w="540" w:type="dxa"/>
            <w:noWrap/>
            <w:hideMark/>
          </w:tcPr>
          <w:p w:rsidR="000A7E9F" w:rsidRPr="000666BA" w:rsidRDefault="000A7E9F" w:rsidP="005B1C40">
            <w:pPr>
              <w:rPr>
                <w:noProof/>
                <w:sz w:val="22"/>
                <w:lang w:eastAsia="en-US"/>
              </w:rPr>
            </w:pPr>
            <w:r w:rsidRPr="000666BA">
              <w:rPr>
                <w:noProof/>
                <w:sz w:val="22"/>
                <w:lang w:eastAsia="en-US"/>
              </w:rPr>
              <w:t>51</w:t>
            </w:r>
          </w:p>
        </w:tc>
        <w:tc>
          <w:tcPr>
            <w:tcW w:w="900" w:type="dxa"/>
            <w:noWrap/>
            <w:hideMark/>
          </w:tcPr>
          <w:p w:rsidR="000A7E9F" w:rsidRPr="000666BA" w:rsidRDefault="000A7E9F" w:rsidP="005B1C40">
            <w:pPr>
              <w:rPr>
                <w:noProof/>
                <w:sz w:val="22"/>
                <w:lang w:eastAsia="en-US"/>
              </w:rPr>
            </w:pPr>
            <w:r w:rsidRPr="000666BA">
              <w:rPr>
                <w:noProof/>
                <w:sz w:val="22"/>
                <w:lang w:eastAsia="en-US"/>
              </w:rPr>
              <w:t>5.4.1.5</w:t>
            </w:r>
          </w:p>
        </w:tc>
        <w:tc>
          <w:tcPr>
            <w:tcW w:w="540" w:type="dxa"/>
            <w:noWrap/>
            <w:hideMark/>
          </w:tcPr>
          <w:p w:rsidR="000A7E9F" w:rsidRPr="000666BA" w:rsidRDefault="000A7E9F" w:rsidP="005B1C40">
            <w:pPr>
              <w:rPr>
                <w:noProof/>
                <w:sz w:val="22"/>
                <w:lang w:eastAsia="en-US"/>
              </w:rPr>
            </w:pPr>
            <w:r w:rsidRPr="000666BA">
              <w:rPr>
                <w:noProof/>
                <w:sz w:val="22"/>
                <w:lang w:eastAsia="en-US"/>
              </w:rPr>
              <w:t>5</w:t>
            </w:r>
          </w:p>
        </w:tc>
        <w:tc>
          <w:tcPr>
            <w:tcW w:w="2520" w:type="dxa"/>
            <w:hideMark/>
          </w:tcPr>
          <w:p w:rsidR="000A7E9F" w:rsidRPr="000666BA" w:rsidRDefault="000A7E9F" w:rsidP="005B1C40">
            <w:pPr>
              <w:rPr>
                <w:noProof/>
                <w:sz w:val="22"/>
                <w:lang w:eastAsia="en-US"/>
              </w:rPr>
            </w:pPr>
            <w:r w:rsidRPr="000666BA">
              <w:rPr>
                <w:noProof/>
                <w:sz w:val="22"/>
                <w:lang w:eastAsia="en-US"/>
              </w:rPr>
              <w:t>This text says that acknowledgment wait time is out of scope, but should the higher layer still have a way to specify it? I mean now it seems to be the L2R layer picks it somehow, and upper layer cannot affect it. It should either be in the L2IB, or it should be in the L2R-DATA.request as parameter.</w:t>
            </w:r>
          </w:p>
        </w:tc>
        <w:tc>
          <w:tcPr>
            <w:tcW w:w="1818" w:type="dxa"/>
            <w:hideMark/>
          </w:tcPr>
          <w:p w:rsidR="000A7E9F" w:rsidRPr="000666BA" w:rsidRDefault="000A7E9F" w:rsidP="005B1C40">
            <w:pPr>
              <w:rPr>
                <w:noProof/>
                <w:sz w:val="22"/>
                <w:lang w:eastAsia="en-US"/>
              </w:rPr>
            </w:pPr>
            <w:r w:rsidRPr="000666BA">
              <w:rPr>
                <w:noProof/>
                <w:sz w:val="22"/>
                <w:lang w:eastAsia="en-US"/>
              </w:rPr>
              <w:t>Add way for the upper layer to set the acknowledgment wait time, even if the specific values are outside the scope of this document, telling L2R layer what time to use is needed.</w:t>
            </w:r>
          </w:p>
        </w:tc>
      </w:tr>
      <w:tr w:rsidR="000A7E9F" w:rsidRPr="000666BA" w:rsidTr="005B1C40">
        <w:trPr>
          <w:trHeight w:val="510"/>
        </w:trPr>
        <w:tc>
          <w:tcPr>
            <w:tcW w:w="738" w:type="dxa"/>
            <w:noWrap/>
            <w:hideMark/>
          </w:tcPr>
          <w:p w:rsidR="000A7E9F" w:rsidRPr="000666BA" w:rsidRDefault="000A7E9F" w:rsidP="005B1C40">
            <w:pPr>
              <w:rPr>
                <w:noProof/>
                <w:sz w:val="22"/>
                <w:lang w:eastAsia="en-US"/>
              </w:rPr>
            </w:pPr>
            <w:r w:rsidRPr="000666BA">
              <w:rPr>
                <w:noProof/>
                <w:sz w:val="22"/>
                <w:lang w:eastAsia="en-US"/>
              </w:rPr>
              <w:t>3102</w:t>
            </w:r>
          </w:p>
        </w:tc>
        <w:tc>
          <w:tcPr>
            <w:tcW w:w="1440" w:type="dxa"/>
            <w:noWrap/>
            <w:hideMark/>
          </w:tcPr>
          <w:p w:rsidR="000A7E9F" w:rsidRPr="000666BA" w:rsidRDefault="000A7E9F" w:rsidP="005B1C40">
            <w:pPr>
              <w:rPr>
                <w:noProof/>
                <w:sz w:val="22"/>
                <w:lang w:eastAsia="en-US"/>
              </w:rPr>
            </w:pPr>
            <w:r w:rsidRPr="000666BA">
              <w:rPr>
                <w:noProof/>
                <w:sz w:val="22"/>
                <w:lang w:eastAsia="en-US"/>
              </w:rPr>
              <w:t>Tero Kivinen</w:t>
            </w:r>
          </w:p>
        </w:tc>
        <w:tc>
          <w:tcPr>
            <w:tcW w:w="1080" w:type="dxa"/>
            <w:hideMark/>
          </w:tcPr>
          <w:p w:rsidR="000A7E9F" w:rsidRPr="000666BA" w:rsidRDefault="000A7E9F" w:rsidP="005B1C40">
            <w:pPr>
              <w:rPr>
                <w:noProof/>
                <w:sz w:val="22"/>
                <w:lang w:eastAsia="en-US"/>
              </w:rPr>
            </w:pPr>
            <w:r w:rsidRPr="000666BA">
              <w:rPr>
                <w:noProof/>
                <w:sz w:val="22"/>
                <w:lang w:eastAsia="en-US"/>
              </w:rPr>
              <w:t>INSIDE Secure</w:t>
            </w:r>
          </w:p>
        </w:tc>
        <w:tc>
          <w:tcPr>
            <w:tcW w:w="540" w:type="dxa"/>
            <w:noWrap/>
            <w:hideMark/>
          </w:tcPr>
          <w:p w:rsidR="000A7E9F" w:rsidRPr="000666BA" w:rsidRDefault="000A7E9F" w:rsidP="005B1C40">
            <w:pPr>
              <w:rPr>
                <w:noProof/>
                <w:sz w:val="22"/>
                <w:lang w:eastAsia="en-US"/>
              </w:rPr>
            </w:pPr>
            <w:r w:rsidRPr="000666BA">
              <w:rPr>
                <w:noProof/>
                <w:sz w:val="22"/>
                <w:lang w:eastAsia="en-US"/>
              </w:rPr>
              <w:t>51</w:t>
            </w:r>
          </w:p>
        </w:tc>
        <w:tc>
          <w:tcPr>
            <w:tcW w:w="900" w:type="dxa"/>
            <w:noWrap/>
            <w:hideMark/>
          </w:tcPr>
          <w:p w:rsidR="000A7E9F" w:rsidRPr="000666BA" w:rsidRDefault="000A7E9F" w:rsidP="005B1C40">
            <w:pPr>
              <w:rPr>
                <w:noProof/>
                <w:sz w:val="22"/>
                <w:lang w:eastAsia="en-US"/>
              </w:rPr>
            </w:pPr>
            <w:r w:rsidRPr="000666BA">
              <w:rPr>
                <w:noProof/>
                <w:sz w:val="22"/>
                <w:lang w:eastAsia="en-US"/>
              </w:rPr>
              <w:t>5.4.1.5</w:t>
            </w:r>
          </w:p>
        </w:tc>
        <w:tc>
          <w:tcPr>
            <w:tcW w:w="540" w:type="dxa"/>
            <w:noWrap/>
            <w:hideMark/>
          </w:tcPr>
          <w:p w:rsidR="000A7E9F" w:rsidRPr="000666BA" w:rsidRDefault="000A7E9F" w:rsidP="005B1C40">
            <w:pPr>
              <w:rPr>
                <w:noProof/>
                <w:sz w:val="22"/>
                <w:lang w:eastAsia="en-US"/>
              </w:rPr>
            </w:pPr>
            <w:r w:rsidRPr="000666BA">
              <w:rPr>
                <w:noProof/>
                <w:sz w:val="22"/>
                <w:lang w:eastAsia="en-US"/>
              </w:rPr>
              <w:t>9</w:t>
            </w:r>
          </w:p>
        </w:tc>
        <w:tc>
          <w:tcPr>
            <w:tcW w:w="2520" w:type="dxa"/>
            <w:hideMark/>
          </w:tcPr>
          <w:p w:rsidR="000A7E9F" w:rsidRPr="000666BA" w:rsidRDefault="000A7E9F" w:rsidP="005B1C40">
            <w:pPr>
              <w:rPr>
                <w:noProof/>
                <w:sz w:val="22"/>
                <w:lang w:eastAsia="en-US"/>
              </w:rPr>
            </w:pPr>
            <w:r w:rsidRPr="000666BA">
              <w:rPr>
                <w:noProof/>
                <w:sz w:val="22"/>
                <w:lang w:eastAsia="en-US"/>
              </w:rPr>
              <w:t>I think we should explicitly say that frame with E2E ACK IE must not have E2E AR field set to 1.</w:t>
            </w:r>
          </w:p>
        </w:tc>
        <w:tc>
          <w:tcPr>
            <w:tcW w:w="1818" w:type="dxa"/>
            <w:noWrap/>
            <w:hideMark/>
          </w:tcPr>
          <w:p w:rsidR="000A7E9F" w:rsidRPr="000666BA" w:rsidRDefault="000A7E9F" w:rsidP="005B1C40">
            <w:pPr>
              <w:rPr>
                <w:noProof/>
                <w:sz w:val="22"/>
                <w:lang w:eastAsia="en-US"/>
              </w:rPr>
            </w:pPr>
          </w:p>
        </w:tc>
      </w:tr>
    </w:tbl>
    <w:p w:rsidR="000A7E9F" w:rsidRDefault="000A7E9F" w:rsidP="000A7E9F">
      <w:pPr>
        <w:widowControl w:val="0"/>
        <w:spacing w:before="120"/>
        <w:rPr>
          <w:b/>
          <w:sz w:val="28"/>
          <w:u w:val="single"/>
        </w:rPr>
      </w:pPr>
    </w:p>
    <w:p w:rsidR="000A7E9F" w:rsidRDefault="000A7E9F" w:rsidP="000A7E9F">
      <w:pPr>
        <w:widowControl w:val="0"/>
        <w:spacing w:before="120"/>
        <w:rPr>
          <w:b/>
          <w:sz w:val="28"/>
          <w:u w:val="single"/>
        </w:rPr>
      </w:pPr>
    </w:p>
    <w:p w:rsidR="000A7E9F" w:rsidRDefault="000A7E9F" w:rsidP="000A7E9F">
      <w:pPr>
        <w:widowControl w:val="0"/>
        <w:spacing w:before="120"/>
        <w:rPr>
          <w:u w:val="single"/>
        </w:rPr>
      </w:pPr>
    </w:p>
    <w:p w:rsidR="000A7E9F" w:rsidRDefault="000A7E9F" w:rsidP="000A7E9F">
      <w:pPr>
        <w:widowControl w:val="0"/>
        <w:spacing w:before="120"/>
        <w:rPr>
          <w:b/>
          <w:sz w:val="28"/>
          <w:u w:val="single"/>
        </w:rPr>
      </w:pPr>
    </w:p>
    <w:p w:rsidR="000A7E9F" w:rsidRDefault="000A7E9F" w:rsidP="000A7E9F">
      <w:pPr>
        <w:widowControl w:val="0"/>
        <w:spacing w:before="120"/>
        <w:rPr>
          <w:b/>
          <w:u w:val="single"/>
        </w:rPr>
      </w:pPr>
    </w:p>
    <w:p w:rsidR="000A7E9F" w:rsidRDefault="000A7E9F" w:rsidP="000A7E9F">
      <w:pPr>
        <w:widowControl w:val="0"/>
        <w:spacing w:before="120"/>
        <w:rPr>
          <w:b/>
          <w:u w:val="single"/>
        </w:rPr>
      </w:pPr>
      <w:r>
        <w:rPr>
          <w:b/>
          <w:u w:val="single"/>
        </w:rPr>
        <w:t>CID</w:t>
      </w:r>
      <w:r w:rsidRPr="000C398A">
        <w:rPr>
          <w:b/>
          <w:u w:val="single"/>
        </w:rPr>
        <w:t xml:space="preserve"> </w:t>
      </w:r>
      <w:r>
        <w:rPr>
          <w:b/>
          <w:u w:val="single"/>
        </w:rPr>
        <w:t>3063:</w:t>
      </w:r>
    </w:p>
    <w:p w:rsidR="000A7E9F" w:rsidRDefault="000A7E9F" w:rsidP="000A7E9F">
      <w:pPr>
        <w:widowControl w:val="0"/>
        <w:spacing w:before="120"/>
      </w:pPr>
      <w:proofErr w:type="spellStart"/>
      <w:r w:rsidRPr="00C13051">
        <w:rPr>
          <w:i/>
        </w:rPr>
        <w:t>P</w:t>
      </w:r>
      <w:r w:rsidRPr="00C13051">
        <w:rPr>
          <w:sz w:val="32"/>
          <w:vertAlign w:val="subscript"/>
        </w:rPr>
        <w:t>min</w:t>
      </w:r>
      <w:proofErr w:type="spellEnd"/>
      <w:r w:rsidRPr="00C13051">
        <w:t xml:space="preserve"> and </w:t>
      </w:r>
      <w:proofErr w:type="spellStart"/>
      <w:r w:rsidRPr="00C13051">
        <w:rPr>
          <w:i/>
        </w:rPr>
        <w:t>P</w:t>
      </w:r>
      <w:r w:rsidRPr="00C13051">
        <w:rPr>
          <w:sz w:val="32"/>
          <w:vertAlign w:val="subscript"/>
        </w:rPr>
        <w:t>max</w:t>
      </w:r>
      <w:proofErr w:type="spellEnd"/>
      <w:r>
        <w:t xml:space="preserve"> are currently specified as L2IB configuration </w:t>
      </w:r>
      <w:proofErr w:type="gramStart"/>
      <w:r>
        <w:t xml:space="preserve">parameters  </w:t>
      </w:r>
      <w:r w:rsidRPr="00261687">
        <w:rPr>
          <w:i/>
          <w:iCs/>
        </w:rPr>
        <w:t>l2rPm</w:t>
      </w:r>
      <w:r>
        <w:rPr>
          <w:i/>
          <w:iCs/>
        </w:rPr>
        <w:t>in</w:t>
      </w:r>
      <w:proofErr w:type="gramEnd"/>
      <w:r w:rsidRPr="00261687">
        <w:rPr>
          <w:i/>
          <w:iCs/>
        </w:rPr>
        <w:t xml:space="preserve"> </w:t>
      </w:r>
      <w:r w:rsidRPr="00261687">
        <w:rPr>
          <w:iCs/>
        </w:rPr>
        <w:t xml:space="preserve">and </w:t>
      </w:r>
      <w:r w:rsidRPr="00261687">
        <w:rPr>
          <w:i/>
          <w:iCs/>
        </w:rPr>
        <w:t xml:space="preserve"> l2rPm</w:t>
      </w:r>
      <w:r>
        <w:rPr>
          <w:i/>
          <w:iCs/>
        </w:rPr>
        <w:t>ax</w:t>
      </w:r>
      <w:r>
        <w:t xml:space="preserve"> in Table 51, page 112.  In equipment where the values would be determined by measurement, the measurement techniques are outside the scope of this document.</w:t>
      </w:r>
    </w:p>
    <w:p w:rsidR="000A7E9F" w:rsidRPr="00950172" w:rsidRDefault="000A7E9F" w:rsidP="000A7E9F">
      <w:pPr>
        <w:widowControl w:val="0"/>
        <w:spacing w:before="120"/>
        <w:rPr>
          <w:b/>
          <w:u w:val="single"/>
        </w:rPr>
      </w:pPr>
      <w:r>
        <w:rPr>
          <w:b/>
          <w:u w:val="single"/>
        </w:rPr>
        <w:t>Resolution: Accept with revision</w:t>
      </w:r>
    </w:p>
    <w:p w:rsidR="000A7E9F" w:rsidRPr="00237AC7" w:rsidRDefault="000A7E9F" w:rsidP="000A7E9F">
      <w:pPr>
        <w:pStyle w:val="ListParagraph"/>
        <w:widowControl w:val="0"/>
        <w:numPr>
          <w:ilvl w:val="0"/>
          <w:numId w:val="5"/>
        </w:numPr>
        <w:spacing w:before="120" w:line="276" w:lineRule="auto"/>
        <w:rPr>
          <w:lang w:eastAsia="ja-JP"/>
        </w:rPr>
      </w:pPr>
      <w:r>
        <w:rPr>
          <w:b/>
          <w:lang w:eastAsia="ja-JP"/>
        </w:rPr>
        <w:t>Add the following sentence to 5.2.2.1 at line 27 on page 33:</w:t>
      </w:r>
    </w:p>
    <w:p w:rsidR="00BD3145" w:rsidRDefault="000A7E9F" w:rsidP="00BD3145">
      <w:pPr>
        <w:pStyle w:val="ListParagraph"/>
        <w:widowControl w:val="0"/>
        <w:spacing w:before="120"/>
        <w:rPr>
          <w:rFonts w:ascii="TimesNewRomanPS-ItalicMT" w:hAnsi="TimesNewRomanPS-ItalicMT" w:cs="TimesNewRomanPS-ItalicMT"/>
          <w:iCs/>
          <w:sz w:val="20"/>
        </w:rPr>
      </w:pPr>
      <w:r w:rsidRPr="00237AC7">
        <w:rPr>
          <w:lang w:eastAsia="ja-JP"/>
        </w:rPr>
        <w:t xml:space="preserve">The values for </w:t>
      </w:r>
      <w:proofErr w:type="spellStart"/>
      <w:r w:rsidRPr="00237AC7">
        <w:rPr>
          <w:i/>
          <w:lang w:eastAsia="ja-JP"/>
        </w:rPr>
        <w:t>P</w:t>
      </w:r>
      <w:r w:rsidRPr="00237AC7">
        <w:rPr>
          <w:vertAlign w:val="subscript"/>
          <w:lang w:eastAsia="ja-JP"/>
        </w:rPr>
        <w:t>min</w:t>
      </w:r>
      <w:proofErr w:type="spellEnd"/>
      <w:r w:rsidRPr="00237AC7">
        <w:rPr>
          <w:lang w:eastAsia="ja-JP"/>
        </w:rPr>
        <w:t xml:space="preserve"> and </w:t>
      </w:r>
      <w:proofErr w:type="spellStart"/>
      <w:r w:rsidRPr="00237AC7">
        <w:rPr>
          <w:i/>
          <w:lang w:eastAsia="ja-JP"/>
        </w:rPr>
        <w:t>P</w:t>
      </w:r>
      <w:r w:rsidRPr="00237AC7">
        <w:rPr>
          <w:vertAlign w:val="subscript"/>
          <w:lang w:eastAsia="ja-JP"/>
        </w:rPr>
        <w:t>max</w:t>
      </w:r>
      <w:proofErr w:type="spellEnd"/>
      <w:r w:rsidRPr="00237AC7">
        <w:rPr>
          <w:lang w:eastAsia="ja-JP"/>
        </w:rPr>
        <w:t xml:space="preserve"> are</w:t>
      </w:r>
      <w:r>
        <w:rPr>
          <w:lang w:eastAsia="ja-JP"/>
        </w:rPr>
        <w:t xml:space="preserve"> configured by the next higher layer using the configuration parameters</w:t>
      </w:r>
      <w:r w:rsidRPr="00237AC7">
        <w:rPr>
          <w:rFonts w:ascii="TimesNewRomanPS-ItalicMT" w:hAnsi="TimesNewRomanPS-ItalicMT" w:cs="TimesNewRomanPS-ItalicMT"/>
          <w:i/>
          <w:iCs/>
          <w:sz w:val="20"/>
        </w:rPr>
        <w:t xml:space="preserve"> </w:t>
      </w:r>
      <w:r>
        <w:rPr>
          <w:rFonts w:ascii="TimesNewRomanPS-ItalicMT" w:hAnsi="TimesNewRomanPS-ItalicMT" w:cs="TimesNewRomanPS-ItalicMT"/>
          <w:i/>
          <w:iCs/>
          <w:sz w:val="20"/>
        </w:rPr>
        <w:t xml:space="preserve">l2rPmin </w:t>
      </w:r>
      <w:proofErr w:type="gramStart"/>
      <w:r w:rsidRPr="00261687">
        <w:rPr>
          <w:rFonts w:ascii="TimesNewRomanPS-ItalicMT" w:hAnsi="TimesNewRomanPS-ItalicMT" w:cs="TimesNewRomanPS-ItalicMT"/>
          <w:iCs/>
          <w:sz w:val="20"/>
        </w:rPr>
        <w:t>an</w:t>
      </w:r>
      <w:r>
        <w:rPr>
          <w:rFonts w:ascii="TimesNewRomanPS-ItalicMT" w:hAnsi="TimesNewRomanPS-ItalicMT" w:cs="TimesNewRomanPS-ItalicMT"/>
          <w:iCs/>
          <w:sz w:val="20"/>
        </w:rPr>
        <w:t xml:space="preserve">d </w:t>
      </w:r>
      <w:r w:rsidRPr="00261687">
        <w:rPr>
          <w:rFonts w:ascii="TimesNewRomanPS-ItalicMT" w:hAnsi="TimesNewRomanPS-ItalicMT" w:cs="TimesNewRomanPS-ItalicMT"/>
          <w:i/>
          <w:iCs/>
          <w:sz w:val="20"/>
        </w:rPr>
        <w:t xml:space="preserve"> </w:t>
      </w:r>
      <w:r>
        <w:rPr>
          <w:rFonts w:ascii="TimesNewRomanPS-ItalicMT" w:hAnsi="TimesNewRomanPS-ItalicMT" w:cs="TimesNewRomanPS-ItalicMT"/>
          <w:i/>
          <w:iCs/>
          <w:sz w:val="20"/>
        </w:rPr>
        <w:t>l2rPmax</w:t>
      </w:r>
      <w:proofErr w:type="gramEnd"/>
      <w:r>
        <w:rPr>
          <w:rFonts w:ascii="TimesNewRomanPS-ItalicMT" w:hAnsi="TimesNewRomanPS-ItalicMT" w:cs="TimesNewRomanPS-ItalicMT"/>
          <w:i/>
          <w:iCs/>
          <w:sz w:val="20"/>
        </w:rPr>
        <w:t xml:space="preserve"> </w:t>
      </w:r>
      <w:r>
        <w:rPr>
          <w:rFonts w:ascii="TimesNewRomanPS-ItalicMT" w:hAnsi="TimesNewRomanPS-ItalicMT" w:cs="TimesNewRomanPS-ItalicMT"/>
          <w:iCs/>
          <w:sz w:val="20"/>
        </w:rPr>
        <w:t>as shown in Table 51 in section 7.3</w:t>
      </w:r>
    </w:p>
    <w:p w:rsidR="00BD3145" w:rsidRDefault="000A7E9F" w:rsidP="00BD3145">
      <w:pPr>
        <w:pStyle w:val="ListParagraph"/>
        <w:widowControl w:val="0"/>
        <w:spacing w:before="120"/>
        <w:rPr>
          <w:rFonts w:ascii="TimesNewRomanPS-ItalicMT" w:hAnsi="TimesNewRomanPS-ItalicMT" w:cs="TimesNewRomanPS-ItalicMT"/>
          <w:iCs/>
          <w:sz w:val="20"/>
          <w:lang w:eastAsia="ja-JP"/>
        </w:rPr>
      </w:pPr>
      <w:r>
        <w:rPr>
          <w:rFonts w:ascii="TimesNewRomanPS-ItalicMT" w:hAnsi="TimesNewRomanPS-ItalicMT" w:cs="TimesNewRomanPS-ItalicMT"/>
          <w:iCs/>
          <w:sz w:val="20"/>
        </w:rPr>
        <w:t>.</w:t>
      </w:r>
    </w:p>
    <w:p w:rsidR="00BD3145" w:rsidRPr="00BD3145" w:rsidRDefault="00BD3145" w:rsidP="00BD3145">
      <w:pPr>
        <w:pStyle w:val="ListParagraph"/>
        <w:widowControl w:val="0"/>
        <w:numPr>
          <w:ilvl w:val="0"/>
          <w:numId w:val="5"/>
        </w:numPr>
        <w:spacing w:before="120" w:line="276" w:lineRule="auto"/>
        <w:rPr>
          <w:lang w:eastAsia="ja-JP"/>
        </w:rPr>
      </w:pPr>
      <w:r w:rsidRPr="00BD3145">
        <w:rPr>
          <w:b/>
          <w:lang w:eastAsia="ja-JP"/>
        </w:rPr>
        <w:t>Insert “on μ” at the end of the caption of Figure 15 and at the end of the first sentence of the last paragraph on page 3</w:t>
      </w:r>
      <w:r>
        <w:rPr>
          <w:b/>
          <w:lang w:eastAsia="ja-JP"/>
        </w:rPr>
        <w:t>3.</w:t>
      </w:r>
    </w:p>
    <w:p w:rsidR="000A7E9F" w:rsidRDefault="00443900" w:rsidP="00BD3145">
      <w:pPr>
        <w:pStyle w:val="ListParagraph"/>
        <w:widowControl w:val="0"/>
        <w:spacing w:before="120" w:line="276" w:lineRule="auto"/>
      </w:pPr>
      <w:r w:rsidRPr="00443900" w:rsidDel="00443900">
        <w:rPr>
          <w:rFonts w:hint="eastAsia"/>
          <w:lang w:eastAsia="ja-JP"/>
        </w:rPr>
        <w:t xml:space="preserve"> </w:t>
      </w:r>
    </w:p>
    <w:p w:rsidR="000A7E9F" w:rsidRPr="004B4168" w:rsidRDefault="000A7E9F" w:rsidP="000A7E9F">
      <w:pPr>
        <w:widowControl w:val="0"/>
        <w:spacing w:before="120"/>
        <w:rPr>
          <w:b/>
          <w:u w:val="single"/>
        </w:rPr>
      </w:pPr>
      <w:r>
        <w:rPr>
          <w:b/>
          <w:u w:val="single"/>
        </w:rPr>
        <w:t>CID</w:t>
      </w:r>
      <w:r w:rsidRPr="000C398A">
        <w:rPr>
          <w:b/>
          <w:u w:val="single"/>
        </w:rPr>
        <w:t xml:space="preserve"> </w:t>
      </w:r>
      <w:r>
        <w:rPr>
          <w:b/>
          <w:u w:val="single"/>
        </w:rPr>
        <w:t>3064:</w:t>
      </w:r>
    </w:p>
    <w:p w:rsidR="000A7E9F" w:rsidRDefault="000A7E9F" w:rsidP="000A7E9F">
      <w:pPr>
        <w:widowControl w:val="0"/>
        <w:spacing w:before="120"/>
        <w:rPr>
          <w:b/>
          <w:u w:val="single"/>
        </w:rPr>
      </w:pPr>
      <w:r>
        <w:rPr>
          <w:b/>
          <w:u w:val="single"/>
        </w:rPr>
        <w:t>Resolution: Accept</w:t>
      </w:r>
    </w:p>
    <w:p w:rsidR="000A7E9F" w:rsidRPr="00521530" w:rsidRDefault="000A7E9F" w:rsidP="000A7E9F">
      <w:pPr>
        <w:pStyle w:val="ListParagraph"/>
        <w:widowControl w:val="0"/>
        <w:numPr>
          <w:ilvl w:val="0"/>
          <w:numId w:val="5"/>
        </w:numPr>
        <w:spacing w:before="120" w:line="276" w:lineRule="auto"/>
        <w:rPr>
          <w:lang w:eastAsia="ja-JP"/>
        </w:rPr>
      </w:pPr>
      <w:r>
        <w:rPr>
          <w:b/>
          <w:lang w:eastAsia="ja-JP"/>
        </w:rPr>
        <w:t>Add the following sentence to section 5.2.2.2</w:t>
      </w:r>
    </w:p>
    <w:p w:rsidR="000A7E9F" w:rsidRPr="00521530" w:rsidRDefault="000A7E9F" w:rsidP="000A7E9F">
      <w:pPr>
        <w:pStyle w:val="ListParagraph"/>
        <w:widowControl w:val="0"/>
        <w:spacing w:before="120"/>
        <w:rPr>
          <w:lang w:eastAsia="ja-JP"/>
        </w:rPr>
      </w:pPr>
      <w:r w:rsidRPr="00BE0BB2">
        <w:rPr>
          <w:lang w:eastAsia="ja-JP"/>
        </w:rPr>
        <w:t xml:space="preserve">In order to use the ETX metric, all data frame transmissions should be </w:t>
      </w:r>
      <w:proofErr w:type="spellStart"/>
      <w:r w:rsidRPr="00BE0BB2">
        <w:rPr>
          <w:lang w:eastAsia="ja-JP"/>
        </w:rPr>
        <w:t>ACKed</w:t>
      </w:r>
      <w:proofErr w:type="spellEnd"/>
      <w:r w:rsidRPr="00BE0BB2">
        <w:rPr>
          <w:lang w:eastAsia="ja-JP"/>
        </w:rPr>
        <w:t xml:space="preserve"> at the MAC sublayer</w:t>
      </w:r>
      <w:r>
        <w:rPr>
          <w:lang w:eastAsia="ja-JP"/>
        </w:rPr>
        <w:t>.</w:t>
      </w:r>
    </w:p>
    <w:p w:rsidR="000A7E9F" w:rsidRDefault="000A7E9F" w:rsidP="000A7E9F">
      <w:r>
        <w:br w:type="page"/>
      </w:r>
    </w:p>
    <w:p w:rsidR="000A7E9F" w:rsidRDefault="000A7E9F" w:rsidP="000A7E9F">
      <w:pPr>
        <w:widowControl w:val="0"/>
        <w:spacing w:before="120"/>
      </w:pPr>
    </w:p>
    <w:p w:rsidR="000A7E9F" w:rsidRPr="000C1BA8" w:rsidRDefault="000A7E9F" w:rsidP="000A7E9F">
      <w:r>
        <w:rPr>
          <w:b/>
          <w:u w:val="single"/>
        </w:rPr>
        <w:t>CID</w:t>
      </w:r>
      <w:r w:rsidRPr="000C398A">
        <w:rPr>
          <w:b/>
          <w:u w:val="single"/>
        </w:rPr>
        <w:t xml:space="preserve"> </w:t>
      </w:r>
      <w:r>
        <w:rPr>
          <w:b/>
          <w:u w:val="single"/>
        </w:rPr>
        <w:t>3096:</w:t>
      </w:r>
    </w:p>
    <w:p w:rsidR="000A7E9F" w:rsidRDefault="000A7E9F" w:rsidP="000A7E9F">
      <w:pPr>
        <w:widowControl w:val="0"/>
        <w:spacing w:before="120"/>
      </w:pPr>
    </w:p>
    <w:p w:rsidR="000A7E9F" w:rsidRDefault="000A7E9F" w:rsidP="000A7E9F">
      <w:pPr>
        <w:widowControl w:val="0"/>
        <w:spacing w:before="120"/>
        <w:rPr>
          <w:b/>
          <w:u w:val="single"/>
        </w:rPr>
      </w:pPr>
      <w:r>
        <w:rPr>
          <w:b/>
          <w:u w:val="single"/>
        </w:rPr>
        <w:t>Resolution: Accept with revision</w:t>
      </w:r>
    </w:p>
    <w:p w:rsidR="000A7E9F" w:rsidRPr="00917CCA" w:rsidRDefault="000A7E9F" w:rsidP="000A7E9F">
      <w:pPr>
        <w:pStyle w:val="ListParagraph"/>
        <w:widowControl w:val="0"/>
        <w:numPr>
          <w:ilvl w:val="0"/>
          <w:numId w:val="5"/>
        </w:numPr>
        <w:spacing w:before="120" w:line="276" w:lineRule="auto"/>
        <w:rPr>
          <w:lang w:eastAsia="ja-JP"/>
        </w:rPr>
      </w:pPr>
      <w:r>
        <w:rPr>
          <w:b/>
          <w:lang w:eastAsia="ja-JP"/>
        </w:rPr>
        <w:t>Add a new figure on</w:t>
      </w:r>
      <w:r w:rsidRPr="00BE0BB2">
        <w:t xml:space="preserve"> </w:t>
      </w:r>
      <w:r w:rsidRPr="00BE0BB2">
        <w:rPr>
          <w:b/>
          <w:lang w:eastAsia="ja-JP"/>
        </w:rPr>
        <w:t xml:space="preserve">page 47, line </w:t>
      </w:r>
      <w:r>
        <w:rPr>
          <w:b/>
          <w:lang w:eastAsia="ja-JP"/>
        </w:rPr>
        <w:t>18</w:t>
      </w:r>
      <w:r w:rsidRPr="00BE0BB2">
        <w:rPr>
          <w:b/>
          <w:lang w:eastAsia="ja-JP"/>
        </w:rPr>
        <w:t xml:space="preserve"> of 5.4.1.2</w:t>
      </w:r>
      <w:r>
        <w:rPr>
          <w:b/>
          <w:lang w:eastAsia="ja-JP"/>
        </w:rPr>
        <w:t xml:space="preserve"> before Figure 22</w:t>
      </w:r>
    </w:p>
    <w:p w:rsidR="000A7E9F" w:rsidRDefault="000A7E9F" w:rsidP="000A7E9F">
      <w:pPr>
        <w:widowControl w:val="0"/>
        <w:spacing w:before="120"/>
        <w:jc w:val="center"/>
        <w:rPr>
          <w:b/>
          <w:u w:val="single"/>
        </w:rPr>
      </w:pPr>
      <w:r>
        <w:object w:dxaOrig="7002" w:dyaOrig="5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8pt;height:253.35pt" o:ole="">
            <v:imagedata r:id="rId8" o:title=""/>
          </v:shape>
          <o:OLEObject Type="Embed" ProgID="Visio.Drawing.11" ShapeID="_x0000_i1025" DrawAspect="Content" ObjectID="_1522247896" r:id="rId9"/>
        </w:object>
      </w:r>
    </w:p>
    <w:p w:rsidR="000A7E9F" w:rsidRPr="00917CCA" w:rsidRDefault="000A7E9F" w:rsidP="000A7E9F">
      <w:pPr>
        <w:widowControl w:val="0"/>
        <w:spacing w:before="120"/>
        <w:jc w:val="center"/>
        <w:rPr>
          <w:rFonts w:asciiTheme="minorHAnsi" w:hAnsiTheme="minorHAnsi"/>
          <w:b/>
        </w:rPr>
      </w:pPr>
      <w:r w:rsidRPr="00917CCA">
        <w:rPr>
          <w:rFonts w:asciiTheme="minorHAnsi" w:hAnsiTheme="minorHAnsi"/>
          <w:b/>
        </w:rPr>
        <w:t>Figure &lt;TBD&gt;: P2P routing decision diagram</w:t>
      </w:r>
    </w:p>
    <w:p w:rsidR="000A7E9F" w:rsidRPr="00950172" w:rsidRDefault="000A7E9F" w:rsidP="000A7E9F">
      <w:pPr>
        <w:widowControl w:val="0"/>
        <w:spacing w:before="120"/>
        <w:rPr>
          <w:b/>
          <w:u w:val="single"/>
        </w:rPr>
      </w:pPr>
    </w:p>
    <w:p w:rsidR="000A7E9F" w:rsidRDefault="000A7E9F" w:rsidP="000A7E9F">
      <w:pPr>
        <w:pStyle w:val="ListParagraph"/>
        <w:widowControl w:val="0"/>
        <w:numPr>
          <w:ilvl w:val="0"/>
          <w:numId w:val="5"/>
        </w:numPr>
        <w:spacing w:before="120" w:line="276" w:lineRule="auto"/>
        <w:rPr>
          <w:lang w:eastAsia="ja-JP"/>
        </w:rPr>
      </w:pPr>
      <w:r w:rsidRPr="00FE0476">
        <w:rPr>
          <w:b/>
          <w:lang w:eastAsia="ja-JP"/>
        </w:rPr>
        <w:t>Replace</w:t>
      </w:r>
      <w:r w:rsidRPr="00FE0476">
        <w:rPr>
          <w:rFonts w:hint="eastAsia"/>
          <w:b/>
          <w:lang w:eastAsia="ja-JP"/>
        </w:rPr>
        <w:t xml:space="preserve"> the following text</w:t>
      </w:r>
      <w:r>
        <w:rPr>
          <w:b/>
          <w:lang w:eastAsia="ja-JP"/>
        </w:rPr>
        <w:t xml:space="preserve"> in the caption for Figure 22</w:t>
      </w:r>
      <w:r w:rsidRPr="00FE0476">
        <w:rPr>
          <w:rFonts w:hint="eastAsia"/>
          <w:b/>
          <w:lang w:eastAsia="ja-JP"/>
        </w:rPr>
        <w:t xml:space="preserve"> </w:t>
      </w:r>
      <w:r>
        <w:rPr>
          <w:b/>
          <w:lang w:eastAsia="ja-JP"/>
        </w:rPr>
        <w:t>on</w:t>
      </w:r>
      <w:r w:rsidRPr="00FE0476">
        <w:rPr>
          <w:b/>
          <w:lang w:eastAsia="ja-JP"/>
        </w:rPr>
        <w:t xml:space="preserve"> page </w:t>
      </w:r>
      <w:r>
        <w:rPr>
          <w:b/>
          <w:lang w:eastAsia="ja-JP"/>
        </w:rPr>
        <w:t>47</w:t>
      </w:r>
      <w:r w:rsidRPr="00FE0476">
        <w:rPr>
          <w:b/>
          <w:lang w:eastAsia="ja-JP"/>
        </w:rPr>
        <w:t xml:space="preserve">, line </w:t>
      </w:r>
      <w:r>
        <w:rPr>
          <w:b/>
          <w:lang w:eastAsia="ja-JP"/>
        </w:rPr>
        <w:t>18</w:t>
      </w:r>
      <w:r w:rsidRPr="00FE0476">
        <w:rPr>
          <w:rFonts w:hint="eastAsia"/>
          <w:b/>
          <w:lang w:eastAsia="ja-JP"/>
        </w:rPr>
        <w:t xml:space="preserve"> of 5.</w:t>
      </w:r>
      <w:r>
        <w:rPr>
          <w:b/>
          <w:lang w:eastAsia="ja-JP"/>
        </w:rPr>
        <w:t>4.1</w:t>
      </w:r>
      <w:r w:rsidRPr="00FE0476">
        <w:rPr>
          <w:rFonts w:hint="eastAsia"/>
          <w:b/>
          <w:lang w:eastAsia="ja-JP"/>
        </w:rPr>
        <w:t>.</w:t>
      </w:r>
      <w:r>
        <w:rPr>
          <w:b/>
          <w:lang w:eastAsia="ja-JP"/>
        </w:rPr>
        <w:t>2</w:t>
      </w:r>
    </w:p>
    <w:p w:rsidR="000A7E9F" w:rsidRPr="00BE0BB2" w:rsidRDefault="000A7E9F" w:rsidP="000A7E9F">
      <w:pPr>
        <w:pStyle w:val="ListParagraph"/>
        <w:widowControl w:val="0"/>
        <w:spacing w:before="240"/>
        <w:rPr>
          <w:lang w:eastAsia="ja-JP"/>
        </w:rPr>
      </w:pPr>
      <w:r w:rsidRPr="00BE0BB2">
        <w:rPr>
          <w:rFonts w:ascii="TimesNewRomanPSMT" w:hAnsi="TimesNewRomanPSMT" w:cs="TimesNewRomanPSMT"/>
          <w:strike/>
          <w:sz w:val="20"/>
        </w:rPr>
        <w:t>Routing direction</w:t>
      </w:r>
      <w:r>
        <w:rPr>
          <w:rFonts w:ascii="TimesNewRomanPSMT" w:hAnsi="TimesNewRomanPSMT" w:cs="TimesNewRomanPSMT"/>
          <w:sz w:val="20"/>
        </w:rPr>
        <w:t xml:space="preserve"> </w:t>
      </w:r>
      <w:r w:rsidRPr="00BE0BB2">
        <w:rPr>
          <w:rFonts w:ascii="TimesNewRomanPSMT" w:hAnsi="TimesNewRomanPSMT" w:cs="TimesNewRomanPSMT"/>
          <w:color w:val="FF0000"/>
          <w:sz w:val="20"/>
        </w:rPr>
        <w:t>US versus DS routing</w:t>
      </w:r>
      <w:r w:rsidRPr="003F4924">
        <w:t xml:space="preserve"> </w:t>
      </w:r>
      <w:r w:rsidRPr="003F4924">
        <w:rPr>
          <w:rFonts w:ascii="TimesNewRomanPSMT" w:hAnsi="TimesNewRomanPSMT" w:cs="TimesNewRomanPSMT"/>
          <w:sz w:val="20"/>
        </w:rPr>
        <w:t>decision algorithm based on the NT</w:t>
      </w:r>
    </w:p>
    <w:p w:rsidR="000A7E9F" w:rsidRDefault="000A7E9F" w:rsidP="000A7E9F">
      <w:r>
        <w:br w:type="page"/>
      </w:r>
    </w:p>
    <w:p w:rsidR="000A7E9F" w:rsidRDefault="000A7E9F" w:rsidP="000A7E9F">
      <w:pPr>
        <w:widowControl w:val="0"/>
        <w:spacing w:before="120"/>
      </w:pPr>
    </w:p>
    <w:p w:rsidR="000A7E9F" w:rsidRPr="004B4168" w:rsidRDefault="000A7E9F" w:rsidP="000A7E9F">
      <w:pPr>
        <w:widowControl w:val="0"/>
        <w:spacing w:before="120"/>
        <w:rPr>
          <w:b/>
          <w:u w:val="single"/>
        </w:rPr>
      </w:pPr>
      <w:r>
        <w:rPr>
          <w:b/>
          <w:u w:val="single"/>
        </w:rPr>
        <w:t>CID</w:t>
      </w:r>
      <w:r w:rsidRPr="000C398A">
        <w:rPr>
          <w:b/>
          <w:u w:val="single"/>
        </w:rPr>
        <w:t xml:space="preserve"> </w:t>
      </w:r>
      <w:r>
        <w:rPr>
          <w:b/>
          <w:u w:val="single"/>
        </w:rPr>
        <w:t>3101:</w:t>
      </w:r>
    </w:p>
    <w:p w:rsidR="000A7E9F" w:rsidRDefault="000A7E9F" w:rsidP="000A7E9F">
      <w:pPr>
        <w:widowControl w:val="0"/>
        <w:spacing w:before="120"/>
        <w:rPr>
          <w:b/>
          <w:u w:val="single"/>
        </w:rPr>
      </w:pPr>
      <w:r>
        <w:rPr>
          <w:b/>
          <w:u w:val="single"/>
        </w:rPr>
        <w:t>Resolution: Accept</w:t>
      </w:r>
    </w:p>
    <w:p w:rsidR="000A7E9F" w:rsidRPr="00417222" w:rsidRDefault="000A7E9F" w:rsidP="000A7E9F">
      <w:pPr>
        <w:pStyle w:val="ListParagraph"/>
        <w:widowControl w:val="0"/>
        <w:numPr>
          <w:ilvl w:val="0"/>
          <w:numId w:val="5"/>
        </w:numPr>
        <w:spacing w:before="120" w:line="276" w:lineRule="auto"/>
        <w:rPr>
          <w:lang w:eastAsia="ja-JP"/>
        </w:rPr>
      </w:pPr>
      <w:r>
        <w:rPr>
          <w:b/>
          <w:lang w:eastAsia="ja-JP"/>
        </w:rPr>
        <w:t xml:space="preserve">Add the following </w:t>
      </w:r>
      <w:r w:rsidRPr="00417222">
        <w:rPr>
          <w:b/>
          <w:lang w:eastAsia="ja-JP"/>
        </w:rPr>
        <w:t xml:space="preserve">L2R-DATA.request </w:t>
      </w:r>
      <w:r>
        <w:rPr>
          <w:b/>
          <w:lang w:eastAsia="ja-JP"/>
        </w:rPr>
        <w:t>parameter at line 33, page 105 in section 7.2.1</w:t>
      </w:r>
    </w:p>
    <w:p w:rsidR="000A7E9F" w:rsidRDefault="000A7E9F" w:rsidP="000A7E9F">
      <w:pPr>
        <w:pStyle w:val="ListParagraph"/>
        <w:widowControl w:val="0"/>
        <w:spacing w:before="120"/>
        <w:rPr>
          <w:lang w:eastAsia="ja-JP"/>
        </w:rPr>
      </w:pPr>
      <w:r>
        <w:rPr>
          <w:rFonts w:ascii="ArialMT" w:hAnsi="ArialMT" w:cs="ArialMT"/>
          <w:sz w:val="20"/>
        </w:rPr>
        <w:t>E2eArTime</w:t>
      </w:r>
    </w:p>
    <w:p w:rsidR="000A7E9F" w:rsidRPr="00152C94" w:rsidRDefault="000A7E9F" w:rsidP="000A7E9F">
      <w:pPr>
        <w:pStyle w:val="ListParagraph"/>
        <w:widowControl w:val="0"/>
        <w:spacing w:before="120"/>
        <w:rPr>
          <w:lang w:eastAsia="ja-JP"/>
        </w:rPr>
      </w:pPr>
    </w:p>
    <w:p w:rsidR="000A7E9F" w:rsidRPr="002A6553" w:rsidRDefault="000A7E9F" w:rsidP="000A7E9F">
      <w:pPr>
        <w:pStyle w:val="ListParagraph"/>
        <w:widowControl w:val="0"/>
        <w:numPr>
          <w:ilvl w:val="0"/>
          <w:numId w:val="5"/>
        </w:numPr>
        <w:spacing w:before="120" w:line="276" w:lineRule="auto"/>
        <w:rPr>
          <w:lang w:eastAsia="ja-JP"/>
        </w:rPr>
      </w:pPr>
      <w:r>
        <w:rPr>
          <w:b/>
          <w:lang w:eastAsia="ja-JP"/>
        </w:rPr>
        <w:t>Add</w:t>
      </w:r>
      <w:r w:rsidRPr="00FE0476">
        <w:rPr>
          <w:rFonts w:hint="eastAsia"/>
          <w:b/>
          <w:lang w:eastAsia="ja-JP"/>
        </w:rPr>
        <w:t xml:space="preserve"> </w:t>
      </w:r>
      <w:r>
        <w:rPr>
          <w:b/>
          <w:lang w:eastAsia="ja-JP"/>
        </w:rPr>
        <w:t>a</w:t>
      </w:r>
      <w:r w:rsidRPr="00FE0476">
        <w:rPr>
          <w:rFonts w:hint="eastAsia"/>
          <w:b/>
          <w:lang w:eastAsia="ja-JP"/>
        </w:rPr>
        <w:t xml:space="preserve"> </w:t>
      </w:r>
      <w:r w:rsidRPr="00FE0476">
        <w:rPr>
          <w:b/>
          <w:lang w:eastAsia="ja-JP"/>
        </w:rPr>
        <w:t>row containing</w:t>
      </w:r>
      <w:r w:rsidRPr="00FE0476">
        <w:rPr>
          <w:i/>
        </w:rPr>
        <w:t xml:space="preserve"> </w:t>
      </w:r>
      <w:r w:rsidRPr="00417222">
        <w:rPr>
          <w:rFonts w:ascii="TimesNewRomanPSMT" w:hAnsi="TimesNewRomanPSMT" w:cs="TimesNewRomanPSMT"/>
          <w:i/>
          <w:sz w:val="20"/>
        </w:rPr>
        <w:t>E2eArTime</w:t>
      </w:r>
      <w:r w:rsidRPr="00086F0B">
        <w:rPr>
          <w:i/>
        </w:rPr>
        <w:t xml:space="preserve"> </w:t>
      </w:r>
      <w:r>
        <w:rPr>
          <w:b/>
        </w:rPr>
        <w:t>in</w:t>
      </w:r>
      <w:r w:rsidRPr="00FE0476">
        <w:rPr>
          <w:b/>
          <w:lang w:eastAsia="ja-JP"/>
        </w:rPr>
        <w:t xml:space="preserve"> table 4</w:t>
      </w:r>
      <w:r>
        <w:rPr>
          <w:b/>
          <w:lang w:eastAsia="ja-JP"/>
        </w:rPr>
        <w:t>8</w:t>
      </w:r>
    </w:p>
    <w:p w:rsidR="000A7E9F" w:rsidRPr="002A6553" w:rsidRDefault="000A7E9F" w:rsidP="000A7E9F">
      <w:pPr>
        <w:pStyle w:val="ListParagraph"/>
        <w:widowControl w:val="0"/>
        <w:spacing w:before="120"/>
        <w:rPr>
          <w:lang w:eastAsia="ja-JP"/>
        </w:rPr>
      </w:pPr>
    </w:p>
    <w:tbl>
      <w:tblPr>
        <w:tblStyle w:val="TableGrid"/>
        <w:tblW w:w="0" w:type="auto"/>
        <w:tblInd w:w="828" w:type="dxa"/>
        <w:tblLook w:val="04A0" w:firstRow="1" w:lastRow="0" w:firstColumn="1" w:lastColumn="0" w:noHBand="0" w:noVBand="1"/>
      </w:tblPr>
      <w:tblGrid>
        <w:gridCol w:w="1879"/>
        <w:gridCol w:w="1416"/>
        <w:gridCol w:w="1856"/>
        <w:gridCol w:w="2229"/>
      </w:tblGrid>
      <w:tr w:rsidR="000A7E9F" w:rsidTr="005B1C40">
        <w:tc>
          <w:tcPr>
            <w:tcW w:w="1879" w:type="dxa"/>
            <w:vAlign w:val="center"/>
          </w:tcPr>
          <w:p w:rsidR="000A7E9F" w:rsidRDefault="000A7E9F" w:rsidP="005B1C40">
            <w:pPr>
              <w:widowControl w:val="0"/>
              <w:spacing w:before="120"/>
            </w:pPr>
            <w:r w:rsidRPr="00417222">
              <w:t>E2eArTime</w:t>
            </w:r>
          </w:p>
        </w:tc>
        <w:tc>
          <w:tcPr>
            <w:tcW w:w="1416" w:type="dxa"/>
            <w:vAlign w:val="center"/>
          </w:tcPr>
          <w:p w:rsidR="000A7E9F" w:rsidRDefault="000A7E9F" w:rsidP="005B1C40">
            <w:pPr>
              <w:widowControl w:val="0"/>
              <w:spacing w:before="120"/>
            </w:pPr>
            <w:r w:rsidRPr="00417222">
              <w:t>Integer</w:t>
            </w:r>
          </w:p>
        </w:tc>
        <w:tc>
          <w:tcPr>
            <w:tcW w:w="1856" w:type="dxa"/>
            <w:vAlign w:val="center"/>
          </w:tcPr>
          <w:p w:rsidR="000A7E9F" w:rsidRDefault="000A7E9F" w:rsidP="005B1C40">
            <w:pPr>
              <w:widowControl w:val="0"/>
            </w:pPr>
            <w:r w:rsidRPr="00917CCA">
              <w:rPr>
                <w:rFonts w:ascii="TimesNewRomanPSMT" w:hAnsi="TimesNewRomanPSMT" w:cs="TimesNewRomanPSMT"/>
                <w:color w:val="232021"/>
                <w:szCs w:val="18"/>
                <w:lang w:eastAsia="en-US"/>
              </w:rPr>
              <w:t>0 – 0xffffff</w:t>
            </w:r>
          </w:p>
        </w:tc>
        <w:tc>
          <w:tcPr>
            <w:tcW w:w="2229" w:type="dxa"/>
            <w:vAlign w:val="center"/>
          </w:tcPr>
          <w:p w:rsidR="000A7E9F" w:rsidRDefault="000A7E9F" w:rsidP="005B1C40">
            <w:pPr>
              <w:widowControl w:val="0"/>
              <w:spacing w:before="120"/>
              <w:rPr>
                <w:lang w:eastAsia="ja-JP"/>
              </w:rPr>
            </w:pPr>
            <w:r>
              <w:t>Indicates the time, in units of milliseconds to wait for the E2E acknowledgement to arrive</w:t>
            </w:r>
            <w:r w:rsidR="005A50B4">
              <w:rPr>
                <w:rFonts w:hint="eastAsia"/>
                <w:lang w:eastAsia="ja-JP"/>
              </w:rPr>
              <w:t>. Ignored if E2eAr is FALSE</w:t>
            </w:r>
          </w:p>
        </w:tc>
      </w:tr>
    </w:tbl>
    <w:p w:rsidR="000A7E9F" w:rsidRDefault="000A7E9F" w:rsidP="000A7E9F">
      <w:pPr>
        <w:widowControl w:val="0"/>
        <w:spacing w:before="120"/>
        <w:rPr>
          <w:b/>
          <w:u w:val="single"/>
        </w:rPr>
      </w:pPr>
    </w:p>
    <w:p w:rsidR="000A7E9F" w:rsidRPr="004B4168" w:rsidRDefault="000A7E9F" w:rsidP="000A7E9F">
      <w:pPr>
        <w:widowControl w:val="0"/>
        <w:spacing w:before="120"/>
        <w:rPr>
          <w:b/>
          <w:u w:val="single"/>
        </w:rPr>
      </w:pPr>
      <w:r>
        <w:rPr>
          <w:b/>
          <w:u w:val="single"/>
        </w:rPr>
        <w:t>CID</w:t>
      </w:r>
      <w:r w:rsidRPr="000C398A">
        <w:rPr>
          <w:b/>
          <w:u w:val="single"/>
        </w:rPr>
        <w:t xml:space="preserve"> </w:t>
      </w:r>
      <w:r>
        <w:rPr>
          <w:b/>
          <w:u w:val="single"/>
        </w:rPr>
        <w:t>3102:</w:t>
      </w:r>
    </w:p>
    <w:p w:rsidR="000A7E9F" w:rsidRDefault="000A7E9F" w:rsidP="000A7E9F">
      <w:pPr>
        <w:widowControl w:val="0"/>
        <w:spacing w:before="120"/>
        <w:rPr>
          <w:b/>
          <w:u w:val="single"/>
        </w:rPr>
      </w:pPr>
      <w:r>
        <w:rPr>
          <w:b/>
          <w:u w:val="single"/>
        </w:rPr>
        <w:t>Resolution: Accept</w:t>
      </w:r>
    </w:p>
    <w:p w:rsidR="000A7E9F" w:rsidRPr="00237AC7" w:rsidRDefault="000A7E9F" w:rsidP="000A7E9F">
      <w:pPr>
        <w:pStyle w:val="ListParagraph"/>
        <w:widowControl w:val="0"/>
        <w:numPr>
          <w:ilvl w:val="0"/>
          <w:numId w:val="5"/>
        </w:numPr>
        <w:spacing w:before="120" w:line="276" w:lineRule="auto"/>
        <w:rPr>
          <w:lang w:eastAsia="ja-JP"/>
        </w:rPr>
      </w:pPr>
      <w:r>
        <w:rPr>
          <w:b/>
          <w:lang w:eastAsia="ja-JP"/>
        </w:rPr>
        <w:t>Add the following sentence to section 5.4.1.5 at line 10, page 51</w:t>
      </w:r>
    </w:p>
    <w:p w:rsidR="000A7E9F" w:rsidRPr="003F4924" w:rsidRDefault="000A7E9F" w:rsidP="000A7E9F">
      <w:pPr>
        <w:pStyle w:val="ListParagraph"/>
        <w:widowControl w:val="0"/>
        <w:spacing w:before="120"/>
        <w:rPr>
          <w:lang w:eastAsia="ja-JP"/>
        </w:rPr>
      </w:pPr>
      <w:r w:rsidRPr="003F4924">
        <w:t xml:space="preserve">A frame that contains the E2E ACK IE should have the E2E AR field set to </w:t>
      </w:r>
      <w:r>
        <w:t>0</w:t>
      </w:r>
      <w:r w:rsidRPr="003F4924">
        <w:rPr>
          <w:lang w:eastAsia="ja-JP"/>
        </w:rPr>
        <w:t>.</w:t>
      </w:r>
    </w:p>
    <w:p w:rsidR="000A7E9F" w:rsidRDefault="000A7E9F" w:rsidP="000A7E9F">
      <w:pPr>
        <w:rPr>
          <w:noProof/>
          <w:lang w:eastAsia="en-US"/>
        </w:rPr>
      </w:pPr>
    </w:p>
    <w:p w:rsidR="000B3339" w:rsidRDefault="000B3339" w:rsidP="000A7E9F">
      <w:pPr>
        <w:widowControl w:val="0"/>
        <w:spacing w:before="120"/>
        <w:rPr>
          <w:lang w:eastAsia="ja-JP"/>
        </w:rPr>
      </w:pPr>
    </w:p>
    <w:sectPr w:rsidR="000B3339">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D6B" w:rsidRDefault="00B05D6B">
      <w:r>
        <w:separator/>
      </w:r>
    </w:p>
  </w:endnote>
  <w:endnote w:type="continuationSeparator" w:id="0">
    <w:p w:rsidR="00B05D6B" w:rsidRDefault="00B0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rsidP="000A7E9F">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0A7E9F">
        <w:rPr>
          <w:noProof/>
        </w:rPr>
        <w:t>Charlie Perkins (Futurewei)</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D6B" w:rsidRDefault="00B05D6B">
      <w:r>
        <w:separator/>
      </w:r>
    </w:p>
  </w:footnote>
  <w:footnote w:type="continuationSeparator" w:id="0">
    <w:p w:rsidR="00B05D6B" w:rsidRDefault="00B05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0D49D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ja-JP"/>
      </w:rPr>
      <w:t>April</w:t>
    </w:r>
    <w:r>
      <w:rPr>
        <w:rFonts w:hint="eastAsia"/>
        <w:b/>
        <w:sz w:val="28"/>
        <w:lang w:eastAsia="ja-JP"/>
      </w:rPr>
      <w:t xml:space="preserve"> </w:t>
    </w:r>
    <w:r w:rsidR="002B213F">
      <w:rPr>
        <w:rFonts w:hint="eastAsia"/>
        <w:b/>
        <w:sz w:val="28"/>
        <w:lang w:eastAsia="ja-JP"/>
      </w:rPr>
      <w:t>2016</w:t>
    </w:r>
    <w:r w:rsidR="0039262F">
      <w:rPr>
        <w:b/>
        <w:sz w:val="28"/>
      </w:rPr>
      <w:tab/>
      <w:t xml:space="preserve"> </w:t>
    </w:r>
    <w:r w:rsidR="006037CA">
      <w:rPr>
        <w:b/>
        <w:sz w:val="28"/>
        <w:u w:val="single"/>
      </w:rPr>
      <w:t>IEEE P802.</w:t>
    </w:r>
    <w:fldSimple w:instr=" DOCPROPERTY &quot;Category&quot;  \* MERGEFORMAT ">
      <w:r w:rsidR="006037CA">
        <w:rPr>
          <w:b/>
          <w:sz w:val="28"/>
          <w:u w:val="single"/>
        </w:rPr>
        <w:t>15-16-</w:t>
      </w:r>
      <w:r w:rsidR="006037CA" w:rsidRPr="00CA4603">
        <w:rPr>
          <w:b/>
          <w:sz w:val="28"/>
          <w:u w:val="single"/>
        </w:rPr>
        <w:t>0</w:t>
      </w:r>
      <w:r w:rsidR="006037CA">
        <w:rPr>
          <w:b/>
          <w:sz w:val="28"/>
          <w:u w:val="single"/>
        </w:rPr>
        <w:t>244-</w:t>
      </w:r>
      <w:r w:rsidR="00AA2868">
        <w:rPr>
          <w:b/>
          <w:sz w:val="28"/>
          <w:u w:val="single"/>
        </w:rPr>
        <w:t>0</w:t>
      </w:r>
      <w:r w:rsidR="00AA2868">
        <w:rPr>
          <w:b/>
          <w:sz w:val="28"/>
          <w:u w:val="single"/>
        </w:rPr>
        <w:t>3</w:t>
      </w:r>
      <w:r w:rsidR="006037CA">
        <w:rPr>
          <w:b/>
          <w:sz w:val="28"/>
          <w:u w:val="single"/>
        </w:rPr>
        <w:t>-001</w:t>
      </w:r>
      <w:r w:rsidR="006037CA" w:rsidRPr="00693306">
        <w:rPr>
          <w:b/>
          <w:sz w:val="28"/>
          <w:u w:val="single"/>
        </w:rPr>
        <w:t>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attachedTemplate r:id="rId1"/>
  <w:trackRevision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57E91"/>
    <w:rsid w:val="00067849"/>
    <w:rsid w:val="0007057C"/>
    <w:rsid w:val="000918D5"/>
    <w:rsid w:val="000940C7"/>
    <w:rsid w:val="000A7E9F"/>
    <w:rsid w:val="000B091A"/>
    <w:rsid w:val="000B3339"/>
    <w:rsid w:val="000D49D5"/>
    <w:rsid w:val="000E6CA3"/>
    <w:rsid w:val="0010068A"/>
    <w:rsid w:val="0012463B"/>
    <w:rsid w:val="00137EE5"/>
    <w:rsid w:val="001736A8"/>
    <w:rsid w:val="001A6C19"/>
    <w:rsid w:val="001C6AC7"/>
    <w:rsid w:val="001F04CE"/>
    <w:rsid w:val="00211AF4"/>
    <w:rsid w:val="00226745"/>
    <w:rsid w:val="00246181"/>
    <w:rsid w:val="0026248D"/>
    <w:rsid w:val="00287024"/>
    <w:rsid w:val="002A59F2"/>
    <w:rsid w:val="002B213F"/>
    <w:rsid w:val="002B34B2"/>
    <w:rsid w:val="002B7258"/>
    <w:rsid w:val="00314312"/>
    <w:rsid w:val="00315C8E"/>
    <w:rsid w:val="00336963"/>
    <w:rsid w:val="00387E30"/>
    <w:rsid w:val="0039262F"/>
    <w:rsid w:val="003948AC"/>
    <w:rsid w:val="003B1E21"/>
    <w:rsid w:val="003B4960"/>
    <w:rsid w:val="003C0D1F"/>
    <w:rsid w:val="003E4E31"/>
    <w:rsid w:val="004101D6"/>
    <w:rsid w:val="00420166"/>
    <w:rsid w:val="00426282"/>
    <w:rsid w:val="00443900"/>
    <w:rsid w:val="004561E4"/>
    <w:rsid w:val="004E143F"/>
    <w:rsid w:val="004F5FEF"/>
    <w:rsid w:val="005002BB"/>
    <w:rsid w:val="00525DB4"/>
    <w:rsid w:val="00542238"/>
    <w:rsid w:val="005A50B4"/>
    <w:rsid w:val="005F420B"/>
    <w:rsid w:val="005F42D6"/>
    <w:rsid w:val="006037CA"/>
    <w:rsid w:val="00626D04"/>
    <w:rsid w:val="006349CA"/>
    <w:rsid w:val="00664800"/>
    <w:rsid w:val="006855C7"/>
    <w:rsid w:val="006D4422"/>
    <w:rsid w:val="006E5E32"/>
    <w:rsid w:val="006F252F"/>
    <w:rsid w:val="00712434"/>
    <w:rsid w:val="00742AC8"/>
    <w:rsid w:val="007505C1"/>
    <w:rsid w:val="0079049B"/>
    <w:rsid w:val="00793042"/>
    <w:rsid w:val="00810596"/>
    <w:rsid w:val="0082687E"/>
    <w:rsid w:val="00851914"/>
    <w:rsid w:val="008D4FFE"/>
    <w:rsid w:val="008E181E"/>
    <w:rsid w:val="0094127E"/>
    <w:rsid w:val="00982EEF"/>
    <w:rsid w:val="009939AA"/>
    <w:rsid w:val="009B74E4"/>
    <w:rsid w:val="009E497A"/>
    <w:rsid w:val="009F2C84"/>
    <w:rsid w:val="00A14601"/>
    <w:rsid w:val="00A17DA7"/>
    <w:rsid w:val="00A36CC2"/>
    <w:rsid w:val="00A43417"/>
    <w:rsid w:val="00AA2868"/>
    <w:rsid w:val="00AA35C6"/>
    <w:rsid w:val="00AB2668"/>
    <w:rsid w:val="00AB4FF0"/>
    <w:rsid w:val="00AB79D2"/>
    <w:rsid w:val="00AD0512"/>
    <w:rsid w:val="00AF4495"/>
    <w:rsid w:val="00B05D6B"/>
    <w:rsid w:val="00B2190E"/>
    <w:rsid w:val="00B30B52"/>
    <w:rsid w:val="00B75254"/>
    <w:rsid w:val="00B977D7"/>
    <w:rsid w:val="00BA252B"/>
    <w:rsid w:val="00BB2CEF"/>
    <w:rsid w:val="00BC6204"/>
    <w:rsid w:val="00BD3145"/>
    <w:rsid w:val="00BE7EBF"/>
    <w:rsid w:val="00C12CD7"/>
    <w:rsid w:val="00C20ACD"/>
    <w:rsid w:val="00C37FFE"/>
    <w:rsid w:val="00C51E43"/>
    <w:rsid w:val="00C877AE"/>
    <w:rsid w:val="00CC6BBF"/>
    <w:rsid w:val="00CD4788"/>
    <w:rsid w:val="00CF61E3"/>
    <w:rsid w:val="00D444A9"/>
    <w:rsid w:val="00D56840"/>
    <w:rsid w:val="00D8397E"/>
    <w:rsid w:val="00D85F94"/>
    <w:rsid w:val="00D87D7A"/>
    <w:rsid w:val="00DB1701"/>
    <w:rsid w:val="00DB4FB0"/>
    <w:rsid w:val="00DC6A54"/>
    <w:rsid w:val="00DD0842"/>
    <w:rsid w:val="00DF5ED4"/>
    <w:rsid w:val="00E34ED5"/>
    <w:rsid w:val="00E960A6"/>
    <w:rsid w:val="00EC1005"/>
    <w:rsid w:val="00EC2167"/>
    <w:rsid w:val="00F8733F"/>
    <w:rsid w:val="00F9795A"/>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paragraph" w:styleId="NoSpacing">
    <w:name w:val="No Spacing"/>
    <w:uiPriority w:val="99"/>
    <w:qFormat/>
    <w:rsid w:val="000A7E9F"/>
    <w:rPr>
      <w:rFonts w:ascii="Calibri" w:eastAsia="Times New Roman"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paragraph" w:styleId="NoSpacing">
    <w:name w:val="No Spacing"/>
    <w:uiPriority w:val="99"/>
    <w:qFormat/>
    <w:rsid w:val="000A7E9F"/>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22</TotalTime>
  <Pages>5</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charliep</cp:lastModifiedBy>
  <cp:revision>8</cp:revision>
  <cp:lastPrinted>1901-01-01T07:00:00Z</cp:lastPrinted>
  <dcterms:created xsi:type="dcterms:W3CDTF">2016-04-08T07:06:00Z</dcterms:created>
  <dcterms:modified xsi:type="dcterms:W3CDTF">2016-04-16T00:52:00Z</dcterms:modified>
  <cp:category>&lt;doc#&gt;</cp:category>
</cp:coreProperties>
</file>