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FC1F3B">
              <w:rPr>
                <w:sz w:val="22"/>
                <w:szCs w:val="22"/>
                <w:lang w:eastAsia="en-US"/>
              </w:rPr>
              <w:t>March</w:t>
            </w:r>
            <w:r w:rsidR="002838E4">
              <w:rPr>
                <w:sz w:val="22"/>
                <w:szCs w:val="22"/>
                <w:lang w:eastAsia="en-US"/>
              </w:rPr>
              <w:t xml:space="preserve"> </w:t>
            </w:r>
            <w:r w:rsidR="0025616E">
              <w:rPr>
                <w:sz w:val="22"/>
                <w:szCs w:val="22"/>
                <w:lang w:eastAsia="en-US"/>
              </w:rPr>
              <w:t>9th</w:t>
            </w:r>
            <w:r w:rsidR="002873D0">
              <w:rPr>
                <w:sz w:val="22"/>
                <w:szCs w:val="22"/>
                <w:lang w:eastAsia="en-US"/>
              </w:rPr>
              <w:t xml:space="preserve"> E</w:t>
            </w:r>
            <w:r w:rsidR="00FC1F3B">
              <w:rPr>
                <w:sz w:val="22"/>
                <w:szCs w:val="22"/>
                <w:lang w:eastAsia="en-US"/>
              </w:rPr>
              <w:t>S</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FC1F3B" w:rsidP="003B01D7">
            <w:pPr>
              <w:spacing w:before="120" w:after="120"/>
              <w:rPr>
                <w:sz w:val="22"/>
                <w:szCs w:val="22"/>
                <w:lang w:eastAsia="en-US"/>
              </w:rPr>
            </w:pPr>
            <w:r>
              <w:rPr>
                <w:sz w:val="22"/>
                <w:szCs w:val="22"/>
                <w:lang w:eastAsia="en-US"/>
              </w:rPr>
              <w:t>March</w:t>
            </w:r>
            <w:r w:rsidR="0066642B">
              <w:rPr>
                <w:sz w:val="22"/>
                <w:szCs w:val="22"/>
                <w:lang w:eastAsia="en-US"/>
              </w:rPr>
              <w:t xml:space="preserve"> </w:t>
            </w:r>
            <w:r w:rsidR="0025616E">
              <w:rPr>
                <w:sz w:val="22"/>
                <w:szCs w:val="22"/>
                <w:lang w:eastAsia="en-US"/>
              </w:rPr>
              <w:t>10th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7D65F7">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FC1F3B" w:rsidRPr="001B3C64" w:rsidRDefault="008B2991" w:rsidP="00FC1F3B">
      <w:pPr>
        <w:pStyle w:val="IEEEStdsLevel1Header"/>
      </w:pPr>
      <w:bookmarkStart w:id="0" w:name="_Toc383197480"/>
      <w:r>
        <w:lastRenderedPageBreak/>
        <w:t>Minutes</w:t>
      </w:r>
      <w:bookmarkEnd w:id="0"/>
    </w:p>
    <w:p w:rsidR="001B3C64" w:rsidRPr="001B3C64" w:rsidRDefault="001B3C64" w:rsidP="001B3C64">
      <w:pPr>
        <w:contextualSpacing/>
        <w:rPr>
          <w:sz w:val="20"/>
        </w:rPr>
      </w:pPr>
    </w:p>
    <w:p w:rsidR="001B3C64" w:rsidRPr="001B3C64" w:rsidRDefault="001B3C64" w:rsidP="001B3C64">
      <w:pPr>
        <w:contextualSpacing/>
        <w:rPr>
          <w:sz w:val="20"/>
        </w:rPr>
      </w:pPr>
      <w:r w:rsidRPr="001B3C64">
        <w:rPr>
          <w:sz w:val="20"/>
        </w:rPr>
        <w:t>Chair: Prof. Myung Lee (CUNY), USA.</w:t>
      </w:r>
    </w:p>
    <w:p w:rsidR="001B3C64" w:rsidRPr="001B3C64" w:rsidRDefault="001B3C64" w:rsidP="001B3C64">
      <w:pPr>
        <w:contextualSpacing/>
        <w:rPr>
          <w:sz w:val="20"/>
        </w:rPr>
      </w:pPr>
    </w:p>
    <w:p w:rsidR="001B3C64" w:rsidRPr="001B3C64" w:rsidRDefault="001B3C64" w:rsidP="001B3C64">
      <w:pPr>
        <w:contextualSpacing/>
        <w:rPr>
          <w:sz w:val="20"/>
        </w:rPr>
      </w:pPr>
      <w:r w:rsidRPr="001B3C64">
        <w:rPr>
          <w:sz w:val="20"/>
        </w:rPr>
        <w:t>Secretary:</w:t>
      </w:r>
      <w:r>
        <w:rPr>
          <w:sz w:val="20"/>
        </w:rPr>
        <w:t xml:space="preserve"> Marco Hernandez (NICT), Japan.</w:t>
      </w:r>
    </w:p>
    <w:p w:rsidR="001B3C64" w:rsidRPr="001B3C64" w:rsidRDefault="001B3C64" w:rsidP="001B3C64">
      <w:pPr>
        <w:contextualSpacing/>
        <w:rPr>
          <w:sz w:val="20"/>
        </w:rPr>
      </w:pPr>
    </w:p>
    <w:p w:rsidR="001B3C64" w:rsidRPr="001B3C64" w:rsidRDefault="001B3C64" w:rsidP="001B3C64">
      <w:pPr>
        <w:contextualSpacing/>
        <w:rPr>
          <w:sz w:val="20"/>
        </w:rPr>
      </w:pPr>
      <w:r w:rsidRPr="001B3C64">
        <w:rPr>
          <w:sz w:val="20"/>
        </w:rPr>
        <w:t>=========</w:t>
      </w:r>
      <w:r>
        <w:rPr>
          <w:sz w:val="20"/>
        </w:rPr>
        <w:t>=====================</w:t>
      </w:r>
      <w:r w:rsidRPr="001B3C64">
        <w:rPr>
          <w:sz w:val="20"/>
        </w:rPr>
        <w:t>==========================</w:t>
      </w:r>
    </w:p>
    <w:p w:rsidR="001B3C64" w:rsidRPr="001B3C64" w:rsidRDefault="001B3C64" w:rsidP="001B3C64">
      <w:pPr>
        <w:contextualSpacing/>
        <w:rPr>
          <w:sz w:val="20"/>
        </w:rPr>
      </w:pPr>
      <w:r w:rsidRPr="001B3C64">
        <w:rPr>
          <w:sz w:val="20"/>
        </w:rPr>
        <w:t>Wednesday March 9th, 7:00 AM ET.</w:t>
      </w:r>
    </w:p>
    <w:p w:rsidR="001B3C64" w:rsidRPr="001B3C64" w:rsidRDefault="001B3C64" w:rsidP="001B3C64">
      <w:pPr>
        <w:contextualSpacing/>
        <w:rPr>
          <w:sz w:val="20"/>
        </w:rPr>
      </w:pPr>
      <w:r w:rsidRPr="001B3C64">
        <w:rPr>
          <w:sz w:val="20"/>
        </w:rPr>
        <w:t xml:space="preserve"> </w:t>
      </w:r>
    </w:p>
    <w:p w:rsidR="001B3C64" w:rsidRPr="001B3C64" w:rsidRDefault="001B3C64" w:rsidP="001B3C64">
      <w:pPr>
        <w:contextualSpacing/>
        <w:rPr>
          <w:sz w:val="20"/>
        </w:rPr>
      </w:pPr>
      <w:r w:rsidRPr="001B3C64">
        <w:rPr>
          <w:sz w:val="20"/>
        </w:rPr>
        <w:t>Participants: Prof. Lee, Marco, HB Li, Igor</w:t>
      </w:r>
      <w:r w:rsidR="00634626">
        <w:rPr>
          <w:sz w:val="20"/>
        </w:rPr>
        <w:t>, Billy.</w:t>
      </w:r>
    </w:p>
    <w:p w:rsidR="001B3C64" w:rsidRPr="001B3C64" w:rsidRDefault="001B3C64" w:rsidP="001B3C64">
      <w:pPr>
        <w:contextualSpacing/>
        <w:rPr>
          <w:sz w:val="20"/>
        </w:rPr>
      </w:pPr>
    </w:p>
    <w:p w:rsidR="001B3C64" w:rsidRPr="001B3C64" w:rsidRDefault="001B3C64" w:rsidP="001B3C64">
      <w:pPr>
        <w:contextualSpacing/>
        <w:rPr>
          <w:sz w:val="20"/>
        </w:rPr>
      </w:pPr>
      <w:r>
        <w:rPr>
          <w:sz w:val="20"/>
        </w:rPr>
        <w:t>─</w:t>
      </w:r>
      <w:r w:rsidRPr="001B3C64">
        <w:rPr>
          <w:sz w:val="20"/>
        </w:rPr>
        <w:t>Chair calls the teleconference meeting to order.</w:t>
      </w:r>
    </w:p>
    <w:p w:rsidR="001B3C64" w:rsidRPr="001B3C64" w:rsidRDefault="001B3C64" w:rsidP="001B3C64">
      <w:pPr>
        <w:contextualSpacing/>
        <w:rPr>
          <w:sz w:val="20"/>
        </w:rPr>
      </w:pPr>
    </w:p>
    <w:p w:rsidR="001B3C64" w:rsidRPr="001B3C64" w:rsidRDefault="001B3C64" w:rsidP="001B3C64">
      <w:pPr>
        <w:contextualSpacing/>
        <w:rPr>
          <w:sz w:val="20"/>
        </w:rPr>
      </w:pPr>
      <w:r w:rsidRPr="00634626">
        <w:rPr>
          <w:b/>
          <w:sz w:val="20"/>
        </w:rPr>
        <w:t>Chair:</w:t>
      </w:r>
      <w:r w:rsidRPr="001B3C64">
        <w:rPr>
          <w:sz w:val="20"/>
        </w:rPr>
        <w:t xml:space="preserve"> The agenda for this teleconference i</w:t>
      </w:r>
      <w:r w:rsidR="00634626">
        <w:rPr>
          <w:sz w:val="20"/>
        </w:rPr>
        <w:t xml:space="preserve">s to check the progress status. </w:t>
      </w:r>
      <w:r w:rsidRPr="001B3C64">
        <w:rPr>
          <w:sz w:val="20"/>
        </w:rPr>
        <w:t>We have 3 contributions. Huang-Ban</w:t>
      </w:r>
      <w:r w:rsidR="00634626">
        <w:rPr>
          <w:sz w:val="20"/>
        </w:rPr>
        <w:t>,</w:t>
      </w:r>
      <w:r w:rsidRPr="001B3C64">
        <w:rPr>
          <w:sz w:val="20"/>
        </w:rPr>
        <w:t xml:space="preserve"> go ahead.</w:t>
      </w:r>
    </w:p>
    <w:p w:rsidR="001B3C64" w:rsidRPr="001B3C64" w:rsidRDefault="001B3C64" w:rsidP="001B3C64">
      <w:pPr>
        <w:contextualSpacing/>
        <w:rPr>
          <w:sz w:val="20"/>
        </w:rPr>
      </w:pPr>
    </w:p>
    <w:p w:rsidR="001B3C64" w:rsidRDefault="001B3C64" w:rsidP="001B3C64">
      <w:pPr>
        <w:contextualSpacing/>
        <w:rPr>
          <w:sz w:val="20"/>
        </w:rPr>
      </w:pPr>
      <w:r w:rsidRPr="001B3C64">
        <w:rPr>
          <w:sz w:val="20"/>
        </w:rPr>
        <w:t>1st presenter is HB Li (NICT) "Peering procedure" Document circulated by email</w:t>
      </w:r>
    </w:p>
    <w:p w:rsidR="008E7C7D" w:rsidRPr="001B3C64" w:rsidRDefault="008E7C7D" w:rsidP="001B3C64">
      <w:pPr>
        <w:contextualSpacing/>
        <w:rPr>
          <w:sz w:val="20"/>
        </w:rPr>
      </w:pPr>
    </w:p>
    <w:p w:rsidR="001B3C64" w:rsidRPr="001B3C64" w:rsidRDefault="001B3C64" w:rsidP="001B3C64">
      <w:pPr>
        <w:contextualSpacing/>
        <w:rPr>
          <w:sz w:val="20"/>
        </w:rPr>
      </w:pPr>
      <w:r w:rsidRPr="001B3C64">
        <w:rPr>
          <w:sz w:val="20"/>
        </w:rPr>
        <w:t>Comments:</w:t>
      </w:r>
    </w:p>
    <w:p w:rsidR="001B3C64" w:rsidRPr="001B3C64" w:rsidRDefault="001B3C64" w:rsidP="001B3C64">
      <w:pPr>
        <w:contextualSpacing/>
        <w:rPr>
          <w:sz w:val="20"/>
        </w:rPr>
      </w:pPr>
      <w:r w:rsidRPr="00634626">
        <w:rPr>
          <w:b/>
          <w:sz w:val="20"/>
        </w:rPr>
        <w:t>Chair:</w:t>
      </w:r>
      <w:r w:rsidRPr="001B3C64">
        <w:rPr>
          <w:sz w:val="20"/>
        </w:rPr>
        <w:t xml:space="preserve"> Can the</w:t>
      </w:r>
      <w:r w:rsidR="00706E40">
        <w:rPr>
          <w:sz w:val="20"/>
        </w:rPr>
        <w:t xml:space="preserve"> parameters in ML</w:t>
      </w:r>
      <w:r w:rsidR="00634626">
        <w:rPr>
          <w:sz w:val="20"/>
        </w:rPr>
        <w:t>M</w:t>
      </w:r>
      <w:r w:rsidR="00706E40">
        <w:rPr>
          <w:sz w:val="20"/>
        </w:rPr>
        <w:t>E</w:t>
      </w:r>
      <w:r w:rsidR="00634626">
        <w:rPr>
          <w:sz w:val="20"/>
        </w:rPr>
        <w:t>.</w:t>
      </w:r>
      <w:bookmarkStart w:id="1" w:name="_GoBack"/>
      <w:bookmarkEnd w:id="1"/>
      <w:r w:rsidR="00634626">
        <w:rPr>
          <w:sz w:val="20"/>
        </w:rPr>
        <w:t>Peering.request primitive be used with m</w:t>
      </w:r>
      <w:r w:rsidR="00634626" w:rsidRPr="001B3C64">
        <w:rPr>
          <w:sz w:val="20"/>
        </w:rPr>
        <w:t>ay</w:t>
      </w:r>
      <w:r w:rsidR="00634626">
        <w:rPr>
          <w:sz w:val="20"/>
        </w:rPr>
        <w:t>? T</w:t>
      </w:r>
      <w:r w:rsidRPr="001B3C64">
        <w:rPr>
          <w:sz w:val="20"/>
        </w:rPr>
        <w:t>he primitive is mandatory.</w:t>
      </w:r>
    </w:p>
    <w:p w:rsidR="001B3C64" w:rsidRPr="001B3C64" w:rsidRDefault="001B3C64" w:rsidP="001B3C64">
      <w:pPr>
        <w:contextualSpacing/>
        <w:rPr>
          <w:sz w:val="20"/>
        </w:rPr>
      </w:pPr>
      <w:r w:rsidRPr="00634626">
        <w:rPr>
          <w:b/>
          <w:sz w:val="20"/>
        </w:rPr>
        <w:t>Li:</w:t>
      </w:r>
      <w:r w:rsidRPr="001B3C64">
        <w:rPr>
          <w:sz w:val="20"/>
        </w:rPr>
        <w:t xml:space="preserve"> Some parameters can be optional.</w:t>
      </w:r>
    </w:p>
    <w:p w:rsidR="001B3C64" w:rsidRPr="001B3C64" w:rsidRDefault="001B3C64" w:rsidP="001B3C64">
      <w:pPr>
        <w:contextualSpacing/>
        <w:rPr>
          <w:sz w:val="20"/>
        </w:rPr>
      </w:pPr>
      <w:r w:rsidRPr="00634626">
        <w:rPr>
          <w:b/>
          <w:sz w:val="20"/>
        </w:rPr>
        <w:t>Billy:</w:t>
      </w:r>
      <w:r w:rsidRPr="001B3C64">
        <w:rPr>
          <w:sz w:val="20"/>
        </w:rPr>
        <w:t xml:space="preserve"> There is no may in clause 6 for that primitive. There is no optional use of parameters.</w:t>
      </w:r>
    </w:p>
    <w:p w:rsidR="001B3C64" w:rsidRPr="001B3C64" w:rsidRDefault="001B3C64" w:rsidP="001B3C64">
      <w:pPr>
        <w:contextualSpacing/>
        <w:rPr>
          <w:sz w:val="20"/>
        </w:rPr>
      </w:pPr>
      <w:r w:rsidRPr="00634626">
        <w:rPr>
          <w:b/>
          <w:sz w:val="20"/>
        </w:rPr>
        <w:t>Li:</w:t>
      </w:r>
      <w:r w:rsidRPr="001B3C64">
        <w:rPr>
          <w:sz w:val="20"/>
        </w:rPr>
        <w:t xml:space="preserve"> During discovery, PDs know the common channel. But they may change to another channel for peering.</w:t>
      </w:r>
    </w:p>
    <w:p w:rsidR="001B3C64" w:rsidRPr="001B3C64" w:rsidRDefault="001B3C64" w:rsidP="001B3C64">
      <w:pPr>
        <w:contextualSpacing/>
        <w:rPr>
          <w:sz w:val="20"/>
        </w:rPr>
      </w:pPr>
      <w:r w:rsidRPr="00634626">
        <w:rPr>
          <w:b/>
          <w:sz w:val="20"/>
        </w:rPr>
        <w:t>Billy:</w:t>
      </w:r>
      <w:r w:rsidRPr="001B3C64">
        <w:rPr>
          <w:sz w:val="20"/>
        </w:rPr>
        <w:t xml:space="preserve"> That change seems to be a difficult procedure. How do PDs agree on which channel to switch?</w:t>
      </w:r>
    </w:p>
    <w:p w:rsidR="001B3C64" w:rsidRPr="001B3C64" w:rsidRDefault="001B3C64" w:rsidP="001B3C64">
      <w:pPr>
        <w:contextualSpacing/>
        <w:rPr>
          <w:sz w:val="20"/>
        </w:rPr>
      </w:pPr>
      <w:r w:rsidRPr="00634626">
        <w:rPr>
          <w:b/>
          <w:sz w:val="20"/>
        </w:rPr>
        <w:t>Marco:</w:t>
      </w:r>
      <w:r w:rsidRPr="001B3C64">
        <w:rPr>
          <w:sz w:val="20"/>
        </w:rPr>
        <w:t xml:space="preserve"> I do not think this is a MAC issue. It is up to higher layers to choose a channel for peering.</w:t>
      </w:r>
    </w:p>
    <w:p w:rsidR="001B3C64" w:rsidRPr="001B3C64" w:rsidRDefault="001B3C64" w:rsidP="001B3C64">
      <w:pPr>
        <w:contextualSpacing/>
        <w:rPr>
          <w:sz w:val="20"/>
        </w:rPr>
      </w:pPr>
      <w:r w:rsidRPr="001B3C64">
        <w:rPr>
          <w:sz w:val="20"/>
        </w:rPr>
        <w:t>Also the PHY is informing upper layers which channels are busy or available through monitoring their status.</w:t>
      </w:r>
    </w:p>
    <w:p w:rsidR="001B3C64" w:rsidRPr="001B3C64" w:rsidRDefault="001B3C64" w:rsidP="001B3C64">
      <w:pPr>
        <w:contextualSpacing/>
        <w:rPr>
          <w:sz w:val="20"/>
        </w:rPr>
      </w:pPr>
      <w:r w:rsidRPr="00634626">
        <w:rPr>
          <w:b/>
          <w:sz w:val="20"/>
        </w:rPr>
        <w:t>Chair:</w:t>
      </w:r>
      <w:r w:rsidRPr="001B3C64">
        <w:rPr>
          <w:sz w:val="20"/>
        </w:rPr>
        <w:t xml:space="preserve"> I think the conclusion is to modify the text in the 3 bullets.</w:t>
      </w:r>
    </w:p>
    <w:p w:rsidR="001B3C64" w:rsidRPr="001B3C64" w:rsidRDefault="001B3C64" w:rsidP="001B3C64">
      <w:pPr>
        <w:contextualSpacing/>
        <w:rPr>
          <w:sz w:val="20"/>
        </w:rPr>
      </w:pPr>
      <w:r w:rsidRPr="00634626">
        <w:rPr>
          <w:b/>
          <w:sz w:val="20"/>
        </w:rPr>
        <w:t>Li:</w:t>
      </w:r>
      <w:r w:rsidRPr="001B3C64">
        <w:rPr>
          <w:sz w:val="20"/>
        </w:rPr>
        <w:t xml:space="preserve"> Fine.</w:t>
      </w:r>
    </w:p>
    <w:p w:rsidR="001B3C64" w:rsidRPr="001B3C64" w:rsidRDefault="001B3C64" w:rsidP="001B3C64">
      <w:pPr>
        <w:contextualSpacing/>
        <w:rPr>
          <w:sz w:val="20"/>
        </w:rPr>
      </w:pPr>
      <w:r w:rsidRPr="00634626">
        <w:rPr>
          <w:b/>
          <w:sz w:val="20"/>
        </w:rPr>
        <w:t>Chair:</w:t>
      </w:r>
      <w:r w:rsidRPr="001B3C64">
        <w:rPr>
          <w:sz w:val="20"/>
        </w:rPr>
        <w:t xml:space="preserve"> We can pass this document.</w:t>
      </w:r>
    </w:p>
    <w:p w:rsidR="001B3C64" w:rsidRPr="001B3C64" w:rsidRDefault="001B3C64" w:rsidP="001B3C64">
      <w:pPr>
        <w:contextualSpacing/>
        <w:rPr>
          <w:sz w:val="20"/>
        </w:rPr>
      </w:pPr>
    </w:p>
    <w:p w:rsidR="001B3C64" w:rsidRPr="001B3C64" w:rsidRDefault="001B3C64" w:rsidP="001B3C64">
      <w:pPr>
        <w:contextualSpacing/>
        <w:rPr>
          <w:sz w:val="20"/>
        </w:rPr>
      </w:pPr>
      <w:r w:rsidRPr="001B3C64">
        <w:rPr>
          <w:sz w:val="20"/>
        </w:rPr>
        <w:t>HB Li moves a motion to approve the document "Peering procedure"</w:t>
      </w:r>
    </w:p>
    <w:p w:rsidR="001B3C64" w:rsidRPr="001B3C64" w:rsidRDefault="001B3C64" w:rsidP="001B3C64">
      <w:pPr>
        <w:contextualSpacing/>
        <w:rPr>
          <w:sz w:val="20"/>
        </w:rPr>
      </w:pPr>
      <w:r w:rsidRPr="001B3C64">
        <w:rPr>
          <w:sz w:val="20"/>
        </w:rPr>
        <w:t>Second: Marco.</w:t>
      </w:r>
    </w:p>
    <w:p w:rsidR="001B3C64" w:rsidRPr="001B3C64" w:rsidRDefault="001B3C64" w:rsidP="001B3C64">
      <w:pPr>
        <w:contextualSpacing/>
        <w:rPr>
          <w:sz w:val="20"/>
        </w:rPr>
      </w:pPr>
      <w:r w:rsidRPr="001B3C64">
        <w:rPr>
          <w:sz w:val="20"/>
        </w:rPr>
        <w:t>Vote: approved unanimously.</w:t>
      </w:r>
    </w:p>
    <w:p w:rsidR="001B3C64" w:rsidRPr="001B3C64" w:rsidRDefault="001B3C64" w:rsidP="001B3C64">
      <w:pPr>
        <w:contextualSpacing/>
        <w:rPr>
          <w:sz w:val="20"/>
        </w:rPr>
      </w:pPr>
    </w:p>
    <w:p w:rsidR="001B3C64" w:rsidRDefault="001B3C64" w:rsidP="001B3C64">
      <w:pPr>
        <w:contextualSpacing/>
        <w:rPr>
          <w:sz w:val="20"/>
        </w:rPr>
      </w:pPr>
      <w:r w:rsidRPr="001B3C64">
        <w:rPr>
          <w:sz w:val="20"/>
        </w:rPr>
        <w:t>2nd presenter is HB Li (NICT) "Channel scanning" Document circulated by email</w:t>
      </w:r>
    </w:p>
    <w:p w:rsidR="008E7C7D" w:rsidRPr="001B3C64" w:rsidRDefault="008E7C7D" w:rsidP="001B3C64">
      <w:pPr>
        <w:contextualSpacing/>
        <w:rPr>
          <w:sz w:val="20"/>
        </w:rPr>
      </w:pPr>
    </w:p>
    <w:p w:rsidR="001B3C64" w:rsidRPr="001B3C64" w:rsidRDefault="001B3C64" w:rsidP="001B3C64">
      <w:pPr>
        <w:contextualSpacing/>
        <w:rPr>
          <w:sz w:val="20"/>
        </w:rPr>
      </w:pPr>
      <w:r w:rsidRPr="001B3C64">
        <w:rPr>
          <w:sz w:val="20"/>
        </w:rPr>
        <w:t>Comments:</w:t>
      </w:r>
    </w:p>
    <w:p w:rsidR="001B3C64" w:rsidRPr="001B3C64" w:rsidRDefault="001B3C64" w:rsidP="001B3C64">
      <w:pPr>
        <w:contextualSpacing/>
        <w:rPr>
          <w:sz w:val="20"/>
        </w:rPr>
      </w:pPr>
      <w:r w:rsidRPr="008E7C7D">
        <w:rPr>
          <w:b/>
          <w:sz w:val="20"/>
        </w:rPr>
        <w:t>Billy:</w:t>
      </w:r>
      <w:r w:rsidRPr="001B3C64">
        <w:rPr>
          <w:sz w:val="20"/>
        </w:rPr>
        <w:t xml:space="preserve"> in 15.4</w:t>
      </w:r>
      <w:r w:rsidR="00BA4148">
        <w:rPr>
          <w:sz w:val="20"/>
        </w:rPr>
        <w:t>,</w:t>
      </w:r>
      <w:r w:rsidRPr="001B3C64">
        <w:rPr>
          <w:sz w:val="20"/>
        </w:rPr>
        <w:t xml:space="preserve"> the scan primitive is intended to look for a beacon. We do not have beacons.</w:t>
      </w:r>
    </w:p>
    <w:p w:rsidR="001B3C64" w:rsidRPr="001B3C64" w:rsidRDefault="001B3C64" w:rsidP="001B3C64">
      <w:pPr>
        <w:contextualSpacing/>
        <w:rPr>
          <w:sz w:val="20"/>
        </w:rPr>
      </w:pPr>
      <w:r w:rsidRPr="008E7C7D">
        <w:rPr>
          <w:b/>
          <w:sz w:val="20"/>
        </w:rPr>
        <w:t>Li:</w:t>
      </w:r>
      <w:r w:rsidRPr="001B3C64">
        <w:rPr>
          <w:sz w:val="20"/>
        </w:rPr>
        <w:t xml:space="preserve"> Yes, but you want to find a PD, </w:t>
      </w:r>
      <w:r w:rsidR="00BA4148">
        <w:rPr>
          <w:sz w:val="20"/>
        </w:rPr>
        <w:t xml:space="preserve">a </w:t>
      </w:r>
      <w:r w:rsidRPr="001B3C64">
        <w:rPr>
          <w:sz w:val="20"/>
        </w:rPr>
        <w:t xml:space="preserve">channel, etc. It depends on the purpose. </w:t>
      </w:r>
    </w:p>
    <w:p w:rsidR="001B3C64" w:rsidRPr="001B3C64" w:rsidRDefault="001B3C64" w:rsidP="001B3C64">
      <w:pPr>
        <w:contextualSpacing/>
        <w:rPr>
          <w:sz w:val="20"/>
        </w:rPr>
      </w:pPr>
      <w:r w:rsidRPr="008E7C7D">
        <w:rPr>
          <w:b/>
          <w:sz w:val="20"/>
        </w:rPr>
        <w:t>Billy:</w:t>
      </w:r>
      <w:r w:rsidRPr="001B3C64">
        <w:rPr>
          <w:sz w:val="20"/>
        </w:rPr>
        <w:t xml:space="preserve"> 15.4 is clear, ignore everything and just look for a beacon. In TG8 it is not clear what to scan for.</w:t>
      </w:r>
    </w:p>
    <w:p w:rsidR="001B3C64" w:rsidRPr="001B3C64" w:rsidRDefault="001B3C64" w:rsidP="001B3C64">
      <w:pPr>
        <w:contextualSpacing/>
        <w:rPr>
          <w:sz w:val="20"/>
        </w:rPr>
      </w:pPr>
      <w:r w:rsidRPr="008E7C7D">
        <w:rPr>
          <w:b/>
          <w:sz w:val="20"/>
        </w:rPr>
        <w:t>Li:</w:t>
      </w:r>
      <w:r w:rsidR="00BA4148">
        <w:rPr>
          <w:sz w:val="20"/>
        </w:rPr>
        <w:t xml:space="preserve"> F</w:t>
      </w:r>
      <w:r w:rsidRPr="001B3C64">
        <w:rPr>
          <w:sz w:val="20"/>
        </w:rPr>
        <w:t>or example</w:t>
      </w:r>
      <w:r w:rsidR="00BA4148">
        <w:rPr>
          <w:sz w:val="20"/>
        </w:rPr>
        <w:t>,</w:t>
      </w:r>
      <w:r w:rsidRPr="001B3C64">
        <w:rPr>
          <w:sz w:val="20"/>
        </w:rPr>
        <w:t xml:space="preserve"> if the channel is idle, or during discovery, synchronization. </w:t>
      </w:r>
    </w:p>
    <w:p w:rsidR="001B3C64" w:rsidRPr="001B3C64" w:rsidRDefault="001B3C64" w:rsidP="001B3C64">
      <w:pPr>
        <w:contextualSpacing/>
        <w:rPr>
          <w:sz w:val="20"/>
        </w:rPr>
      </w:pPr>
      <w:r w:rsidRPr="008E7C7D">
        <w:rPr>
          <w:b/>
          <w:sz w:val="20"/>
        </w:rPr>
        <w:t>Marco:</w:t>
      </w:r>
      <w:r w:rsidRPr="001B3C64">
        <w:rPr>
          <w:sz w:val="20"/>
        </w:rPr>
        <w:t xml:space="preserve"> We hav</w:t>
      </w:r>
      <w:r w:rsidR="00BA4148">
        <w:rPr>
          <w:sz w:val="20"/>
        </w:rPr>
        <w:t>e primitives already for CCA to check if</w:t>
      </w:r>
      <w:r w:rsidRPr="001B3C64">
        <w:rPr>
          <w:sz w:val="20"/>
        </w:rPr>
        <w:t xml:space="preserve"> the channel is busy or idle.</w:t>
      </w:r>
    </w:p>
    <w:p w:rsidR="001B3C64" w:rsidRPr="001B3C64" w:rsidRDefault="001B3C64" w:rsidP="001B3C64">
      <w:pPr>
        <w:contextualSpacing/>
        <w:rPr>
          <w:sz w:val="20"/>
        </w:rPr>
      </w:pPr>
      <w:r w:rsidRPr="008E7C7D">
        <w:rPr>
          <w:b/>
          <w:sz w:val="20"/>
        </w:rPr>
        <w:t>Billy:</w:t>
      </w:r>
      <w:r w:rsidRPr="001B3C64">
        <w:rPr>
          <w:sz w:val="20"/>
        </w:rPr>
        <w:t xml:space="preserve"> Perhaps scanning for </w:t>
      </w:r>
      <w:r w:rsidR="00BA4148">
        <w:rPr>
          <w:sz w:val="20"/>
        </w:rPr>
        <w:t xml:space="preserve">the </w:t>
      </w:r>
      <w:r w:rsidRPr="001B3C64">
        <w:rPr>
          <w:sz w:val="20"/>
        </w:rPr>
        <w:t>synchronization signal. What about the descriptor?</w:t>
      </w:r>
    </w:p>
    <w:p w:rsidR="001B3C64" w:rsidRPr="001B3C64" w:rsidRDefault="001B3C64" w:rsidP="001B3C64">
      <w:pPr>
        <w:contextualSpacing/>
        <w:rPr>
          <w:sz w:val="20"/>
        </w:rPr>
      </w:pPr>
      <w:r w:rsidRPr="008E7C7D">
        <w:rPr>
          <w:b/>
          <w:sz w:val="20"/>
        </w:rPr>
        <w:t>Li:</w:t>
      </w:r>
      <w:r w:rsidRPr="001B3C64">
        <w:rPr>
          <w:sz w:val="20"/>
        </w:rPr>
        <w:t xml:space="preserve"> For discovery.</w:t>
      </w:r>
    </w:p>
    <w:p w:rsidR="001B3C64" w:rsidRPr="001B3C64" w:rsidRDefault="001B3C64" w:rsidP="001B3C64">
      <w:pPr>
        <w:contextualSpacing/>
        <w:rPr>
          <w:sz w:val="20"/>
        </w:rPr>
      </w:pPr>
      <w:r w:rsidRPr="008E7C7D">
        <w:rPr>
          <w:b/>
          <w:sz w:val="20"/>
        </w:rPr>
        <w:t xml:space="preserve">Marco: </w:t>
      </w:r>
      <w:r w:rsidRPr="001B3C64">
        <w:rPr>
          <w:sz w:val="20"/>
        </w:rPr>
        <w:t>We already have primitives for discovery. I think this scan primitive is redundant.</w:t>
      </w:r>
    </w:p>
    <w:p w:rsidR="001B3C64" w:rsidRPr="001B3C64" w:rsidRDefault="001B3C64" w:rsidP="001B3C64">
      <w:pPr>
        <w:contextualSpacing/>
        <w:rPr>
          <w:sz w:val="20"/>
        </w:rPr>
      </w:pPr>
      <w:r w:rsidRPr="008E7C7D">
        <w:rPr>
          <w:b/>
          <w:sz w:val="20"/>
        </w:rPr>
        <w:t>Billy:</w:t>
      </w:r>
      <w:r w:rsidR="00702675">
        <w:rPr>
          <w:sz w:val="20"/>
        </w:rPr>
        <w:t xml:space="preserve"> I</w:t>
      </w:r>
      <w:r w:rsidRPr="001B3C64">
        <w:rPr>
          <w:sz w:val="20"/>
        </w:rPr>
        <w:t>t may be used for scann</w:t>
      </w:r>
      <w:r w:rsidR="00702675">
        <w:rPr>
          <w:sz w:val="20"/>
        </w:rPr>
        <w:t>ing the synchronization signal i</w:t>
      </w:r>
      <w:r w:rsidRPr="001B3C64">
        <w:rPr>
          <w:sz w:val="20"/>
        </w:rPr>
        <w:t>n other channels.</w:t>
      </w:r>
    </w:p>
    <w:p w:rsidR="001B3C64" w:rsidRPr="001B3C64" w:rsidRDefault="001B3C64" w:rsidP="001B3C64">
      <w:pPr>
        <w:contextualSpacing/>
        <w:rPr>
          <w:sz w:val="20"/>
        </w:rPr>
      </w:pPr>
      <w:r w:rsidRPr="008E7C7D">
        <w:rPr>
          <w:b/>
          <w:sz w:val="20"/>
        </w:rPr>
        <w:t>BJ:</w:t>
      </w:r>
      <w:r w:rsidRPr="001B3C64">
        <w:rPr>
          <w:sz w:val="20"/>
        </w:rPr>
        <w:t xml:space="preserve"> Synchronization is always in the common channel. </w:t>
      </w:r>
    </w:p>
    <w:p w:rsidR="001B3C64" w:rsidRPr="001B3C64" w:rsidRDefault="001B3C64" w:rsidP="001B3C64">
      <w:pPr>
        <w:contextualSpacing/>
        <w:rPr>
          <w:sz w:val="20"/>
        </w:rPr>
      </w:pPr>
      <w:r w:rsidRPr="008E7C7D">
        <w:rPr>
          <w:b/>
          <w:sz w:val="20"/>
        </w:rPr>
        <w:t>Billy:</w:t>
      </w:r>
      <w:r w:rsidRPr="001B3C64">
        <w:rPr>
          <w:sz w:val="20"/>
        </w:rPr>
        <w:t xml:space="preserve"> According to the Draft, you can transmit the synchronization signal in another channel.</w:t>
      </w:r>
    </w:p>
    <w:p w:rsidR="001B3C64" w:rsidRPr="001B3C64" w:rsidRDefault="001B3C64" w:rsidP="001B3C64">
      <w:pPr>
        <w:contextualSpacing/>
        <w:rPr>
          <w:sz w:val="20"/>
        </w:rPr>
      </w:pPr>
      <w:r w:rsidRPr="008E7C7D">
        <w:rPr>
          <w:b/>
          <w:sz w:val="20"/>
        </w:rPr>
        <w:t>Li:</w:t>
      </w:r>
      <w:r w:rsidRPr="001B3C64">
        <w:rPr>
          <w:sz w:val="20"/>
        </w:rPr>
        <w:t xml:space="preserve"> That is already defined in the synchronization clause. </w:t>
      </w:r>
    </w:p>
    <w:p w:rsidR="001B3C64" w:rsidRPr="001B3C64" w:rsidRDefault="001B3C64" w:rsidP="001B3C64">
      <w:pPr>
        <w:contextualSpacing/>
        <w:rPr>
          <w:sz w:val="20"/>
        </w:rPr>
      </w:pPr>
      <w:r w:rsidRPr="008E7C7D">
        <w:rPr>
          <w:b/>
          <w:sz w:val="20"/>
        </w:rPr>
        <w:t>Billy:</w:t>
      </w:r>
      <w:r w:rsidR="00702675">
        <w:rPr>
          <w:sz w:val="20"/>
        </w:rPr>
        <w:t xml:space="preserve"> I</w:t>
      </w:r>
      <w:r w:rsidRPr="001B3C64">
        <w:rPr>
          <w:sz w:val="20"/>
        </w:rPr>
        <w:t>s there a primitive for synchronization?</w:t>
      </w:r>
    </w:p>
    <w:p w:rsidR="001B3C64" w:rsidRPr="001B3C64" w:rsidRDefault="001B3C64" w:rsidP="001B3C64">
      <w:pPr>
        <w:contextualSpacing/>
        <w:rPr>
          <w:sz w:val="20"/>
        </w:rPr>
      </w:pPr>
      <w:r w:rsidRPr="008E7C7D">
        <w:rPr>
          <w:b/>
          <w:sz w:val="20"/>
        </w:rPr>
        <w:t>Marco:</w:t>
      </w:r>
      <w:r w:rsidRPr="001B3C64">
        <w:rPr>
          <w:sz w:val="20"/>
        </w:rPr>
        <w:t xml:space="preserve"> Yes.</w:t>
      </w:r>
    </w:p>
    <w:p w:rsidR="001B3C64" w:rsidRPr="001B3C64" w:rsidRDefault="001B3C64" w:rsidP="001B3C64">
      <w:pPr>
        <w:contextualSpacing/>
        <w:rPr>
          <w:sz w:val="20"/>
        </w:rPr>
      </w:pPr>
      <w:r w:rsidRPr="008E7C7D">
        <w:rPr>
          <w:b/>
          <w:sz w:val="20"/>
        </w:rPr>
        <w:lastRenderedPageBreak/>
        <w:t>Billy:</w:t>
      </w:r>
      <w:r w:rsidRPr="001B3C64">
        <w:rPr>
          <w:sz w:val="20"/>
        </w:rPr>
        <w:t xml:space="preserve"> Per</w:t>
      </w:r>
      <w:r w:rsidR="00702675">
        <w:rPr>
          <w:sz w:val="20"/>
        </w:rPr>
        <w:t>haps this scan primitive can be combined</w:t>
      </w:r>
      <w:r w:rsidRPr="001B3C64">
        <w:rPr>
          <w:sz w:val="20"/>
        </w:rPr>
        <w:t xml:space="preserve"> with the synchronization primitive.</w:t>
      </w:r>
    </w:p>
    <w:p w:rsidR="001B3C64" w:rsidRPr="001B3C64" w:rsidRDefault="001B3C64" w:rsidP="001B3C64">
      <w:pPr>
        <w:contextualSpacing/>
        <w:rPr>
          <w:sz w:val="20"/>
        </w:rPr>
      </w:pPr>
      <w:r w:rsidRPr="008E7C7D">
        <w:rPr>
          <w:b/>
          <w:sz w:val="20"/>
        </w:rPr>
        <w:t>Chair:</w:t>
      </w:r>
      <w:r w:rsidRPr="001B3C64">
        <w:rPr>
          <w:sz w:val="20"/>
        </w:rPr>
        <w:t xml:space="preserve"> Ok, it seems the scan primitiv</w:t>
      </w:r>
      <w:r w:rsidR="00702675">
        <w:rPr>
          <w:sz w:val="20"/>
        </w:rPr>
        <w:t>e needs more discussion. Let’s discuss</w:t>
      </w:r>
      <w:r w:rsidRPr="001B3C64">
        <w:rPr>
          <w:sz w:val="20"/>
        </w:rPr>
        <w:t xml:space="preserve"> during the meeting</w:t>
      </w:r>
      <w:r w:rsidR="00702675">
        <w:rPr>
          <w:sz w:val="20"/>
        </w:rPr>
        <w:t xml:space="preserve">. </w:t>
      </w:r>
    </w:p>
    <w:p w:rsidR="001B3C64" w:rsidRPr="001B3C64" w:rsidRDefault="001B3C64" w:rsidP="001B3C64">
      <w:pPr>
        <w:contextualSpacing/>
        <w:rPr>
          <w:sz w:val="20"/>
        </w:rPr>
      </w:pPr>
      <w:r w:rsidRPr="008E7C7D">
        <w:rPr>
          <w:b/>
          <w:sz w:val="20"/>
        </w:rPr>
        <w:t>Li:</w:t>
      </w:r>
      <w:r w:rsidRPr="001B3C64">
        <w:rPr>
          <w:sz w:val="20"/>
        </w:rPr>
        <w:t xml:space="preserve"> Yes.</w:t>
      </w:r>
    </w:p>
    <w:p w:rsidR="001B3C64" w:rsidRPr="001B3C64" w:rsidRDefault="001B3C64" w:rsidP="001B3C64">
      <w:pPr>
        <w:contextualSpacing/>
        <w:rPr>
          <w:sz w:val="20"/>
        </w:rPr>
      </w:pPr>
    </w:p>
    <w:p w:rsidR="001B3C64" w:rsidRPr="001B3C64" w:rsidRDefault="00702675" w:rsidP="001B3C64">
      <w:pPr>
        <w:contextualSpacing/>
        <w:rPr>
          <w:sz w:val="20"/>
        </w:rPr>
      </w:pPr>
      <w:r>
        <w:rPr>
          <w:sz w:val="20"/>
        </w:rPr>
        <w:t xml:space="preserve"> </w:t>
      </w:r>
    </w:p>
    <w:p w:rsidR="001B3C64" w:rsidRDefault="001B3C64" w:rsidP="001B3C64">
      <w:pPr>
        <w:contextualSpacing/>
        <w:rPr>
          <w:sz w:val="20"/>
        </w:rPr>
      </w:pPr>
      <w:r w:rsidRPr="001B3C64">
        <w:rPr>
          <w:sz w:val="20"/>
        </w:rPr>
        <w:t>3rd presenter is BJ (ETRI) "TBDs for sync" Document circulated by email</w:t>
      </w:r>
    </w:p>
    <w:p w:rsidR="00702675" w:rsidRPr="001B3C64" w:rsidRDefault="00702675" w:rsidP="001B3C64">
      <w:pPr>
        <w:contextualSpacing/>
        <w:rPr>
          <w:sz w:val="20"/>
        </w:rPr>
      </w:pPr>
    </w:p>
    <w:p w:rsidR="001B3C64" w:rsidRPr="001B3C64" w:rsidRDefault="001B3C64" w:rsidP="001B3C64">
      <w:pPr>
        <w:contextualSpacing/>
        <w:rPr>
          <w:sz w:val="20"/>
        </w:rPr>
      </w:pPr>
      <w:r w:rsidRPr="001B3C64">
        <w:rPr>
          <w:sz w:val="20"/>
        </w:rPr>
        <w:t>Comments:</w:t>
      </w:r>
    </w:p>
    <w:p w:rsidR="001B3C64" w:rsidRPr="001B3C64" w:rsidRDefault="00702675" w:rsidP="001B3C64">
      <w:pPr>
        <w:contextualSpacing/>
        <w:rPr>
          <w:sz w:val="20"/>
        </w:rPr>
      </w:pPr>
      <w:r>
        <w:rPr>
          <w:sz w:val="20"/>
        </w:rPr>
        <w:t>─BJ reads his</w:t>
      </w:r>
      <w:r w:rsidR="001B3C64" w:rsidRPr="001B3C64">
        <w:rPr>
          <w:sz w:val="20"/>
        </w:rPr>
        <w:t xml:space="preserve"> resolved TBDs for synchronization, but still there are a couple</w:t>
      </w:r>
      <w:r>
        <w:rPr>
          <w:sz w:val="20"/>
        </w:rPr>
        <w:t xml:space="preserve"> of</w:t>
      </w:r>
      <w:r w:rsidR="001B3C64" w:rsidRPr="001B3C64">
        <w:rPr>
          <w:sz w:val="20"/>
        </w:rPr>
        <w:t xml:space="preserve"> unresolved</w:t>
      </w:r>
      <w:r>
        <w:rPr>
          <w:sz w:val="20"/>
        </w:rPr>
        <w:t xml:space="preserve"> TBDs he hopes to finish</w:t>
      </w:r>
      <w:r w:rsidR="001B3C64" w:rsidRPr="001B3C64">
        <w:rPr>
          <w:sz w:val="20"/>
        </w:rPr>
        <w:t xml:space="preserve"> by the next meeting.</w:t>
      </w:r>
    </w:p>
    <w:p w:rsidR="001B3C64" w:rsidRPr="001B3C64" w:rsidRDefault="001B3C64" w:rsidP="001B3C64">
      <w:pPr>
        <w:contextualSpacing/>
        <w:rPr>
          <w:sz w:val="20"/>
        </w:rPr>
      </w:pPr>
      <w:r w:rsidRPr="00702675">
        <w:rPr>
          <w:b/>
          <w:sz w:val="20"/>
        </w:rPr>
        <w:t>Billy:</w:t>
      </w:r>
      <w:r w:rsidRPr="001B3C64">
        <w:rPr>
          <w:sz w:val="20"/>
        </w:rPr>
        <w:t xml:space="preserve"> The text for 2 networks merging is not clear, it needs revision.</w:t>
      </w:r>
    </w:p>
    <w:p w:rsidR="001B3C64" w:rsidRPr="001B3C64" w:rsidRDefault="001B3C64" w:rsidP="001B3C64">
      <w:pPr>
        <w:contextualSpacing/>
        <w:rPr>
          <w:sz w:val="20"/>
        </w:rPr>
      </w:pPr>
      <w:r w:rsidRPr="00702675">
        <w:rPr>
          <w:b/>
          <w:sz w:val="20"/>
        </w:rPr>
        <w:t>BJ:</w:t>
      </w:r>
      <w:r w:rsidRPr="001B3C64">
        <w:rPr>
          <w:sz w:val="20"/>
        </w:rPr>
        <w:t xml:space="preserve"> Fine. </w:t>
      </w:r>
    </w:p>
    <w:p w:rsidR="001B3C64" w:rsidRPr="001B3C64" w:rsidRDefault="001B3C64" w:rsidP="001B3C64">
      <w:pPr>
        <w:contextualSpacing/>
        <w:rPr>
          <w:sz w:val="20"/>
        </w:rPr>
      </w:pPr>
      <w:r w:rsidRPr="00702675">
        <w:rPr>
          <w:b/>
          <w:sz w:val="20"/>
        </w:rPr>
        <w:t>Chair:</w:t>
      </w:r>
      <w:r w:rsidR="00702675">
        <w:rPr>
          <w:sz w:val="20"/>
        </w:rPr>
        <w:t xml:space="preserve"> Shall w</w:t>
      </w:r>
      <w:r w:rsidRPr="001B3C64">
        <w:rPr>
          <w:sz w:val="20"/>
        </w:rPr>
        <w:t>e approve the document now or after revision?</w:t>
      </w:r>
    </w:p>
    <w:p w:rsidR="001B3C64" w:rsidRPr="001B3C64" w:rsidRDefault="001B3C64" w:rsidP="001B3C64">
      <w:pPr>
        <w:contextualSpacing/>
        <w:rPr>
          <w:sz w:val="20"/>
        </w:rPr>
      </w:pPr>
      <w:r w:rsidRPr="00702675">
        <w:rPr>
          <w:b/>
          <w:sz w:val="20"/>
        </w:rPr>
        <w:t>BJ:</w:t>
      </w:r>
      <w:r w:rsidRPr="001B3C64">
        <w:rPr>
          <w:sz w:val="20"/>
        </w:rPr>
        <w:t xml:space="preserve"> Either way is fine.</w:t>
      </w:r>
    </w:p>
    <w:p w:rsidR="001B3C64" w:rsidRPr="001B3C64" w:rsidRDefault="001B3C64" w:rsidP="001B3C64">
      <w:pPr>
        <w:contextualSpacing/>
        <w:rPr>
          <w:sz w:val="20"/>
        </w:rPr>
      </w:pPr>
      <w:r w:rsidRPr="00702675">
        <w:rPr>
          <w:b/>
          <w:sz w:val="20"/>
        </w:rPr>
        <w:t>Chair:</w:t>
      </w:r>
      <w:r w:rsidRPr="001B3C64">
        <w:rPr>
          <w:sz w:val="20"/>
        </w:rPr>
        <w:t xml:space="preserve"> Ok, let's revise it and approve later.</w:t>
      </w:r>
    </w:p>
    <w:p w:rsidR="001B3C64" w:rsidRPr="001B3C64" w:rsidRDefault="001B3C64" w:rsidP="001B3C64">
      <w:pPr>
        <w:contextualSpacing/>
        <w:rPr>
          <w:sz w:val="20"/>
        </w:rPr>
      </w:pPr>
    </w:p>
    <w:p w:rsidR="001B3C64" w:rsidRPr="001B3C64" w:rsidRDefault="001B3C64" w:rsidP="001B3C64">
      <w:pPr>
        <w:contextualSpacing/>
        <w:rPr>
          <w:sz w:val="20"/>
        </w:rPr>
      </w:pPr>
      <w:r w:rsidRPr="00702675">
        <w:rPr>
          <w:b/>
          <w:sz w:val="20"/>
        </w:rPr>
        <w:t>Chair:</w:t>
      </w:r>
      <w:r w:rsidRPr="001B3C64">
        <w:rPr>
          <w:sz w:val="20"/>
        </w:rPr>
        <w:t xml:space="preserve"> We need to resolve all TBDs before letter ballot. Please make an effort.</w:t>
      </w:r>
    </w:p>
    <w:p w:rsidR="001B3C64" w:rsidRPr="001B3C64" w:rsidRDefault="001B3C64" w:rsidP="001B3C64">
      <w:pPr>
        <w:contextualSpacing/>
        <w:rPr>
          <w:sz w:val="20"/>
        </w:rPr>
      </w:pPr>
    </w:p>
    <w:p w:rsidR="004A765C" w:rsidRPr="004A765C" w:rsidRDefault="004A765C" w:rsidP="004A765C">
      <w:pPr>
        <w:contextualSpacing/>
        <w:rPr>
          <w:sz w:val="20"/>
        </w:rPr>
      </w:pPr>
      <w:r w:rsidRPr="00F36CBF">
        <w:rPr>
          <w:b/>
          <w:sz w:val="20"/>
        </w:rPr>
        <w:t>Chair:</w:t>
      </w:r>
      <w:r w:rsidRPr="004A765C">
        <w:rPr>
          <w:sz w:val="20"/>
        </w:rPr>
        <w:t xml:space="preserve"> Any other comment? Hearing none, the teleconference is adjourned.</w:t>
      </w:r>
    </w:p>
    <w:p w:rsidR="000726A9" w:rsidRPr="002A08B0" w:rsidRDefault="000726A9" w:rsidP="000F07D2">
      <w:pPr>
        <w:contextualSpacing/>
        <w:rPr>
          <w:sz w:val="20"/>
        </w:rPr>
      </w:pPr>
    </w:p>
    <w:sectPr w:rsidR="000726A9"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D4D" w:rsidRDefault="00A07D4D">
      <w:r>
        <w:separator/>
      </w:r>
    </w:p>
  </w:endnote>
  <w:endnote w:type="continuationSeparator" w:id="0">
    <w:p w:rsidR="00A07D4D" w:rsidRDefault="00A0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9A63AA">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D4D" w:rsidRDefault="00A07D4D">
      <w:r>
        <w:separator/>
      </w:r>
    </w:p>
  </w:footnote>
  <w:footnote w:type="continuationSeparator" w:id="0">
    <w:p w:rsidR="00A07D4D" w:rsidRDefault="00A07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FC1F3B"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March</w:t>
    </w:r>
    <w:r w:rsidR="007D65F7">
      <w:rPr>
        <w:b/>
        <w:sz w:val="28"/>
        <w:lang w:eastAsia="en-AU"/>
      </w:rPr>
      <w:t xml:space="preserve"> 2016</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7D65F7">
      <w:rPr>
        <w:b/>
        <w:sz w:val="28"/>
        <w:lang w:eastAsia="en-AU"/>
      </w:rPr>
      <w:t>15-16</w:t>
    </w:r>
    <w:r w:rsidR="009A63AA">
      <w:rPr>
        <w:b/>
        <w:sz w:val="28"/>
        <w:lang w:eastAsia="en-AU"/>
      </w:rPr>
      <w:t>-0186</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26A9"/>
    <w:rsid w:val="00073F3B"/>
    <w:rsid w:val="00076AB4"/>
    <w:rsid w:val="00077173"/>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07D2"/>
    <w:rsid w:val="000F5D62"/>
    <w:rsid w:val="000F5F66"/>
    <w:rsid w:val="00102287"/>
    <w:rsid w:val="00112C12"/>
    <w:rsid w:val="00113BC3"/>
    <w:rsid w:val="001161C1"/>
    <w:rsid w:val="00116989"/>
    <w:rsid w:val="00117232"/>
    <w:rsid w:val="00126866"/>
    <w:rsid w:val="00135C36"/>
    <w:rsid w:val="00137294"/>
    <w:rsid w:val="001450DB"/>
    <w:rsid w:val="00152483"/>
    <w:rsid w:val="001541DD"/>
    <w:rsid w:val="00156105"/>
    <w:rsid w:val="001651A2"/>
    <w:rsid w:val="00181735"/>
    <w:rsid w:val="00183EBC"/>
    <w:rsid w:val="001A2458"/>
    <w:rsid w:val="001B3C64"/>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16E"/>
    <w:rsid w:val="002563ED"/>
    <w:rsid w:val="00265A02"/>
    <w:rsid w:val="00265D7E"/>
    <w:rsid w:val="002673DC"/>
    <w:rsid w:val="00273D18"/>
    <w:rsid w:val="00283683"/>
    <w:rsid w:val="002838E4"/>
    <w:rsid w:val="00285760"/>
    <w:rsid w:val="00286142"/>
    <w:rsid w:val="002873D0"/>
    <w:rsid w:val="00287CF8"/>
    <w:rsid w:val="00292228"/>
    <w:rsid w:val="00294AA2"/>
    <w:rsid w:val="0029662B"/>
    <w:rsid w:val="002A08B0"/>
    <w:rsid w:val="002A704D"/>
    <w:rsid w:val="002B3D79"/>
    <w:rsid w:val="002B42C9"/>
    <w:rsid w:val="002C3780"/>
    <w:rsid w:val="002C3FFA"/>
    <w:rsid w:val="002D280F"/>
    <w:rsid w:val="002D63DE"/>
    <w:rsid w:val="002E6940"/>
    <w:rsid w:val="002E7A94"/>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301BF"/>
    <w:rsid w:val="00432A88"/>
    <w:rsid w:val="004428E5"/>
    <w:rsid w:val="0044443A"/>
    <w:rsid w:val="004459BF"/>
    <w:rsid w:val="00451CEF"/>
    <w:rsid w:val="00457BA2"/>
    <w:rsid w:val="00462ED1"/>
    <w:rsid w:val="00463D83"/>
    <w:rsid w:val="00464E6F"/>
    <w:rsid w:val="00466666"/>
    <w:rsid w:val="00472A3A"/>
    <w:rsid w:val="00476BBD"/>
    <w:rsid w:val="00484B52"/>
    <w:rsid w:val="0048544F"/>
    <w:rsid w:val="004965F9"/>
    <w:rsid w:val="004A765C"/>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56090"/>
    <w:rsid w:val="0056004D"/>
    <w:rsid w:val="00563147"/>
    <w:rsid w:val="005658DD"/>
    <w:rsid w:val="00581A19"/>
    <w:rsid w:val="00584084"/>
    <w:rsid w:val="005854F1"/>
    <w:rsid w:val="005A6E73"/>
    <w:rsid w:val="005C0D65"/>
    <w:rsid w:val="005D154C"/>
    <w:rsid w:val="005D6489"/>
    <w:rsid w:val="005E021C"/>
    <w:rsid w:val="005F25E1"/>
    <w:rsid w:val="005F5061"/>
    <w:rsid w:val="005F562D"/>
    <w:rsid w:val="005F6C55"/>
    <w:rsid w:val="006070FF"/>
    <w:rsid w:val="00620E11"/>
    <w:rsid w:val="006303FF"/>
    <w:rsid w:val="00631D31"/>
    <w:rsid w:val="00633F03"/>
    <w:rsid w:val="00634626"/>
    <w:rsid w:val="00634FDF"/>
    <w:rsid w:val="00635B70"/>
    <w:rsid w:val="00644E7F"/>
    <w:rsid w:val="00652F66"/>
    <w:rsid w:val="006568B0"/>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8DD"/>
    <w:rsid w:val="006B3E44"/>
    <w:rsid w:val="006C4F85"/>
    <w:rsid w:val="006C5557"/>
    <w:rsid w:val="006E06B0"/>
    <w:rsid w:val="006F082B"/>
    <w:rsid w:val="006F1991"/>
    <w:rsid w:val="006F20B8"/>
    <w:rsid w:val="006F5F75"/>
    <w:rsid w:val="00702675"/>
    <w:rsid w:val="00706E40"/>
    <w:rsid w:val="00711E75"/>
    <w:rsid w:val="007131CE"/>
    <w:rsid w:val="00720038"/>
    <w:rsid w:val="00730FA2"/>
    <w:rsid w:val="00735263"/>
    <w:rsid w:val="00741A2D"/>
    <w:rsid w:val="00746A22"/>
    <w:rsid w:val="00746C2D"/>
    <w:rsid w:val="007473BC"/>
    <w:rsid w:val="0075114B"/>
    <w:rsid w:val="0075230B"/>
    <w:rsid w:val="00757D5D"/>
    <w:rsid w:val="00765083"/>
    <w:rsid w:val="00774639"/>
    <w:rsid w:val="00776859"/>
    <w:rsid w:val="00777CD0"/>
    <w:rsid w:val="0078182F"/>
    <w:rsid w:val="00785FAA"/>
    <w:rsid w:val="007863E8"/>
    <w:rsid w:val="007A428E"/>
    <w:rsid w:val="007B55FE"/>
    <w:rsid w:val="007C30AD"/>
    <w:rsid w:val="007D3761"/>
    <w:rsid w:val="007D3847"/>
    <w:rsid w:val="007D4875"/>
    <w:rsid w:val="007D608A"/>
    <w:rsid w:val="007D65F7"/>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91395"/>
    <w:rsid w:val="00892491"/>
    <w:rsid w:val="008961BD"/>
    <w:rsid w:val="008B09F9"/>
    <w:rsid w:val="008B2991"/>
    <w:rsid w:val="008D5990"/>
    <w:rsid w:val="008E27A0"/>
    <w:rsid w:val="008E7C7D"/>
    <w:rsid w:val="008F1181"/>
    <w:rsid w:val="008F3074"/>
    <w:rsid w:val="008F5F40"/>
    <w:rsid w:val="008F76C7"/>
    <w:rsid w:val="00904320"/>
    <w:rsid w:val="00904F99"/>
    <w:rsid w:val="00914325"/>
    <w:rsid w:val="00916FBA"/>
    <w:rsid w:val="00920118"/>
    <w:rsid w:val="00921D0E"/>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A63AA"/>
    <w:rsid w:val="009B5C57"/>
    <w:rsid w:val="009D2A7C"/>
    <w:rsid w:val="009D32EA"/>
    <w:rsid w:val="009D468F"/>
    <w:rsid w:val="009E2F2D"/>
    <w:rsid w:val="009F7EB7"/>
    <w:rsid w:val="00A07133"/>
    <w:rsid w:val="00A07D4D"/>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A0F9A"/>
    <w:rsid w:val="00AA78A0"/>
    <w:rsid w:val="00AB3D56"/>
    <w:rsid w:val="00AC4C70"/>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22C7"/>
    <w:rsid w:val="00B60AEE"/>
    <w:rsid w:val="00B62891"/>
    <w:rsid w:val="00B64204"/>
    <w:rsid w:val="00B6526F"/>
    <w:rsid w:val="00B67CED"/>
    <w:rsid w:val="00B91480"/>
    <w:rsid w:val="00B943D9"/>
    <w:rsid w:val="00BA3AA4"/>
    <w:rsid w:val="00BA4148"/>
    <w:rsid w:val="00BB6F2B"/>
    <w:rsid w:val="00BC7E65"/>
    <w:rsid w:val="00BD2659"/>
    <w:rsid w:val="00BD31E2"/>
    <w:rsid w:val="00BD4EF5"/>
    <w:rsid w:val="00BD52EF"/>
    <w:rsid w:val="00BD570D"/>
    <w:rsid w:val="00BD6409"/>
    <w:rsid w:val="00BE6CC7"/>
    <w:rsid w:val="00BF4A7A"/>
    <w:rsid w:val="00C03377"/>
    <w:rsid w:val="00C06D7B"/>
    <w:rsid w:val="00C07103"/>
    <w:rsid w:val="00C2108A"/>
    <w:rsid w:val="00C22C6C"/>
    <w:rsid w:val="00C2576B"/>
    <w:rsid w:val="00C276AC"/>
    <w:rsid w:val="00C31AB7"/>
    <w:rsid w:val="00C32A88"/>
    <w:rsid w:val="00C51550"/>
    <w:rsid w:val="00C5344E"/>
    <w:rsid w:val="00C53CCC"/>
    <w:rsid w:val="00C626E4"/>
    <w:rsid w:val="00C65413"/>
    <w:rsid w:val="00C73991"/>
    <w:rsid w:val="00C73A4D"/>
    <w:rsid w:val="00C73E9B"/>
    <w:rsid w:val="00C7487A"/>
    <w:rsid w:val="00C8187A"/>
    <w:rsid w:val="00C81B4C"/>
    <w:rsid w:val="00C8620C"/>
    <w:rsid w:val="00C87F8C"/>
    <w:rsid w:val="00C92C9D"/>
    <w:rsid w:val="00C94455"/>
    <w:rsid w:val="00CA170C"/>
    <w:rsid w:val="00CA1DD7"/>
    <w:rsid w:val="00CA20ED"/>
    <w:rsid w:val="00CA33B6"/>
    <w:rsid w:val="00CA3D32"/>
    <w:rsid w:val="00CA57C8"/>
    <w:rsid w:val="00CB30A1"/>
    <w:rsid w:val="00CC0BBD"/>
    <w:rsid w:val="00CE3318"/>
    <w:rsid w:val="00CE3D05"/>
    <w:rsid w:val="00CF33D9"/>
    <w:rsid w:val="00D04593"/>
    <w:rsid w:val="00D0576D"/>
    <w:rsid w:val="00D0695A"/>
    <w:rsid w:val="00D10461"/>
    <w:rsid w:val="00D26954"/>
    <w:rsid w:val="00D30975"/>
    <w:rsid w:val="00D30A24"/>
    <w:rsid w:val="00D3358E"/>
    <w:rsid w:val="00D35784"/>
    <w:rsid w:val="00D371A2"/>
    <w:rsid w:val="00D42DF1"/>
    <w:rsid w:val="00D61C98"/>
    <w:rsid w:val="00D62302"/>
    <w:rsid w:val="00D768D1"/>
    <w:rsid w:val="00D77684"/>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72B4C"/>
    <w:rsid w:val="00E81351"/>
    <w:rsid w:val="00E81AAB"/>
    <w:rsid w:val="00EA1AAA"/>
    <w:rsid w:val="00EA1D2C"/>
    <w:rsid w:val="00EA7AE5"/>
    <w:rsid w:val="00EB7ABC"/>
    <w:rsid w:val="00EC20D7"/>
    <w:rsid w:val="00EC31B2"/>
    <w:rsid w:val="00EC4FDE"/>
    <w:rsid w:val="00EC5CC8"/>
    <w:rsid w:val="00EE3F74"/>
    <w:rsid w:val="00EE76F5"/>
    <w:rsid w:val="00EF71D4"/>
    <w:rsid w:val="00EF7590"/>
    <w:rsid w:val="00F02D20"/>
    <w:rsid w:val="00F07557"/>
    <w:rsid w:val="00F11753"/>
    <w:rsid w:val="00F24B27"/>
    <w:rsid w:val="00F253D5"/>
    <w:rsid w:val="00F322D3"/>
    <w:rsid w:val="00F3265D"/>
    <w:rsid w:val="00F3386A"/>
    <w:rsid w:val="00F36CBF"/>
    <w:rsid w:val="00F423E8"/>
    <w:rsid w:val="00F47072"/>
    <w:rsid w:val="00F51A55"/>
    <w:rsid w:val="00F5363D"/>
    <w:rsid w:val="00F54442"/>
    <w:rsid w:val="00F57ABC"/>
    <w:rsid w:val="00F6088F"/>
    <w:rsid w:val="00F66755"/>
    <w:rsid w:val="00F7449F"/>
    <w:rsid w:val="00F80EFE"/>
    <w:rsid w:val="00F81ED2"/>
    <w:rsid w:val="00F85FBD"/>
    <w:rsid w:val="00F862BA"/>
    <w:rsid w:val="00F916C6"/>
    <w:rsid w:val="00F96608"/>
    <w:rsid w:val="00FA11B2"/>
    <w:rsid w:val="00FA4524"/>
    <w:rsid w:val="00FA4A94"/>
    <w:rsid w:val="00FA5C1C"/>
    <w:rsid w:val="00FA603F"/>
    <w:rsid w:val="00FB28DD"/>
    <w:rsid w:val="00FB335B"/>
    <w:rsid w:val="00FB61E9"/>
    <w:rsid w:val="00FC015C"/>
    <w:rsid w:val="00FC1F3B"/>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1C37E-E7B4-4354-A826-95B45C3F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2016-03-11T00:18:00Z</dcterms:created>
  <dcterms:modified xsi:type="dcterms:W3CDTF">2016-03-11T00:18:00Z</dcterms:modified>
</cp:coreProperties>
</file>