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38" w:rsidRDefault="0074633F">
      <w:pPr>
        <w:jc w:val="center"/>
        <w:rPr>
          <w:b/>
          <w:sz w:val="28"/>
        </w:rPr>
      </w:pPr>
      <w:r>
        <w:rPr>
          <w:b/>
          <w:sz w:val="28"/>
        </w:rPr>
        <w:t>IEEE P802.15</w:t>
      </w:r>
    </w:p>
    <w:p w:rsidR="00697838" w:rsidRDefault="0074633F">
      <w:pPr>
        <w:jc w:val="center"/>
        <w:rPr>
          <w:b/>
          <w:sz w:val="28"/>
        </w:rPr>
      </w:pPr>
      <w:r>
        <w:rPr>
          <w:b/>
          <w:sz w:val="28"/>
        </w:rPr>
        <w:t>Wireless Personal Area Networks</w:t>
      </w:r>
    </w:p>
    <w:p w:rsidR="00697838" w:rsidRDefault="0069783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97838">
        <w:tc>
          <w:tcPr>
            <w:tcW w:w="1260" w:type="dxa"/>
            <w:tcBorders>
              <w:top w:val="single" w:sz="6" w:space="0" w:color="auto"/>
            </w:tcBorders>
          </w:tcPr>
          <w:p w:rsidR="00697838" w:rsidRDefault="0074633F">
            <w:pPr>
              <w:pStyle w:val="covertext"/>
            </w:pPr>
            <w:r>
              <w:t>Project</w:t>
            </w:r>
          </w:p>
        </w:tc>
        <w:tc>
          <w:tcPr>
            <w:tcW w:w="8190" w:type="dxa"/>
            <w:gridSpan w:val="2"/>
            <w:tcBorders>
              <w:top w:val="single" w:sz="6" w:space="0" w:color="auto"/>
            </w:tcBorders>
          </w:tcPr>
          <w:p w:rsidR="00697838" w:rsidRDefault="0074633F">
            <w:pPr>
              <w:pStyle w:val="covertext"/>
            </w:pPr>
            <w:r>
              <w:t>IEEE P802.15 Working Group for Wireless Personal Area Networks (WPANs)</w:t>
            </w:r>
          </w:p>
        </w:tc>
      </w:tr>
      <w:tr w:rsidR="00697838">
        <w:tc>
          <w:tcPr>
            <w:tcW w:w="1260" w:type="dxa"/>
            <w:tcBorders>
              <w:top w:val="single" w:sz="6" w:space="0" w:color="auto"/>
            </w:tcBorders>
          </w:tcPr>
          <w:p w:rsidR="00697838" w:rsidRDefault="0074633F">
            <w:pPr>
              <w:pStyle w:val="covertext"/>
            </w:pPr>
            <w:r>
              <w:t>Title</w:t>
            </w:r>
          </w:p>
        </w:tc>
        <w:tc>
          <w:tcPr>
            <w:tcW w:w="8190" w:type="dxa"/>
            <w:gridSpan w:val="2"/>
            <w:tcBorders>
              <w:top w:val="single" w:sz="6" w:space="0" w:color="auto"/>
            </w:tcBorders>
          </w:tcPr>
          <w:p w:rsidR="00697838" w:rsidRDefault="0074633F">
            <w:pPr>
              <w:pStyle w:val="covertext"/>
            </w:pPr>
            <w:r>
              <w:rPr>
                <w:b/>
                <w:sz w:val="28"/>
              </w:rPr>
              <w:fldChar w:fldCharType="begin"/>
            </w:r>
            <w:r>
              <w:rPr>
                <w:b/>
                <w:sz w:val="28"/>
              </w:rPr>
              <w:instrText xml:space="preserve"> TITLE  \* MERGEFORMAT </w:instrText>
            </w:r>
            <w:r>
              <w:rPr>
                <w:b/>
                <w:sz w:val="28"/>
              </w:rPr>
              <w:fldChar w:fldCharType="separate"/>
            </w:r>
            <w:r w:rsidR="00A6679F">
              <w:rPr>
                <w:b/>
                <w:sz w:val="28"/>
              </w:rPr>
              <w:t>15.4t Draft Text</w:t>
            </w:r>
            <w:r>
              <w:rPr>
                <w:b/>
                <w:sz w:val="28"/>
              </w:rPr>
              <w:fldChar w:fldCharType="end"/>
            </w:r>
          </w:p>
        </w:tc>
      </w:tr>
      <w:tr w:rsidR="00697838">
        <w:tc>
          <w:tcPr>
            <w:tcW w:w="1260" w:type="dxa"/>
            <w:tcBorders>
              <w:top w:val="single" w:sz="6" w:space="0" w:color="auto"/>
            </w:tcBorders>
          </w:tcPr>
          <w:p w:rsidR="00697838" w:rsidRDefault="0074633F">
            <w:pPr>
              <w:pStyle w:val="covertext"/>
            </w:pPr>
            <w:r>
              <w:t>Date Submitted</w:t>
            </w:r>
          </w:p>
        </w:tc>
        <w:tc>
          <w:tcPr>
            <w:tcW w:w="8190" w:type="dxa"/>
            <w:gridSpan w:val="2"/>
            <w:tcBorders>
              <w:top w:val="single" w:sz="6" w:space="0" w:color="auto"/>
            </w:tcBorders>
          </w:tcPr>
          <w:p w:rsidR="00697838" w:rsidRDefault="003F60E8">
            <w:pPr>
              <w:pStyle w:val="covertext"/>
            </w:pPr>
            <w:r>
              <w:t>7 March 2016</w:t>
            </w:r>
          </w:p>
        </w:tc>
      </w:tr>
      <w:tr w:rsidR="00697838">
        <w:tc>
          <w:tcPr>
            <w:tcW w:w="1260" w:type="dxa"/>
            <w:tcBorders>
              <w:top w:val="single" w:sz="4" w:space="0" w:color="auto"/>
              <w:bottom w:val="single" w:sz="4" w:space="0" w:color="auto"/>
            </w:tcBorders>
          </w:tcPr>
          <w:p w:rsidR="00697838" w:rsidRDefault="0074633F">
            <w:pPr>
              <w:pStyle w:val="covertext"/>
            </w:pPr>
            <w:r>
              <w:t>Source</w:t>
            </w:r>
          </w:p>
        </w:tc>
        <w:tc>
          <w:tcPr>
            <w:tcW w:w="4050" w:type="dxa"/>
            <w:tcBorders>
              <w:top w:val="single" w:sz="4" w:space="0" w:color="auto"/>
              <w:bottom w:val="single" w:sz="4" w:space="0" w:color="auto"/>
            </w:tcBorders>
          </w:tcPr>
          <w:p w:rsidR="00A6679F" w:rsidRDefault="0074633F" w:rsidP="00A6679F">
            <w:pPr>
              <w:pStyle w:val="covertext"/>
              <w:spacing w:before="0" w:after="0"/>
            </w:pPr>
            <w:r>
              <w:t>[</w:t>
            </w:r>
            <w:fldSimple w:instr=" AUTHOR  \* MERGEFORMAT ">
              <w:r w:rsidR="00A6679F">
                <w:rPr>
                  <w:noProof/>
                </w:rPr>
                <w:t>Ed Callaway</w:t>
              </w:r>
            </w:fldSimple>
            <w:r>
              <w:t>]</w:t>
            </w:r>
            <w:r>
              <w:br/>
              <w:t>[</w:t>
            </w:r>
            <w:fldSimple w:instr=" DOCPROPERTY &quot;Company&quot;  \* MERGEFORMAT ">
              <w:r w:rsidR="00A6679F">
                <w:t>ARM, Inc.</w:t>
              </w:r>
            </w:fldSimple>
            <w:r>
              <w:t>]</w:t>
            </w:r>
            <w:r>
              <w:br/>
              <w:t>[</w:t>
            </w:r>
            <w:r w:rsidR="00A6679F">
              <w:t>350 Fairway Drive</w:t>
            </w:r>
          </w:p>
          <w:p w:rsidR="00A6679F" w:rsidRDefault="00A6679F" w:rsidP="00A6679F">
            <w:pPr>
              <w:pStyle w:val="covertext"/>
              <w:spacing w:before="0" w:after="0"/>
            </w:pPr>
            <w:r>
              <w:t>Suite 200</w:t>
            </w:r>
          </w:p>
          <w:p w:rsidR="00A6679F" w:rsidRDefault="00A6679F" w:rsidP="00A6679F">
            <w:pPr>
              <w:pStyle w:val="covertext"/>
              <w:spacing w:before="0" w:after="0"/>
            </w:pPr>
            <w:r>
              <w:t>Deerfield Beach, Florida 33441-1834</w:t>
            </w:r>
          </w:p>
          <w:p w:rsidR="00697838" w:rsidRDefault="00A6679F" w:rsidP="00A6679F">
            <w:pPr>
              <w:pStyle w:val="covertext"/>
              <w:spacing w:before="0" w:after="0"/>
            </w:pPr>
            <w:r>
              <w:t>USA</w:t>
            </w:r>
            <w:r w:rsidR="0074633F">
              <w:t>]</w:t>
            </w:r>
          </w:p>
        </w:tc>
        <w:tc>
          <w:tcPr>
            <w:tcW w:w="4140" w:type="dxa"/>
            <w:tcBorders>
              <w:top w:val="single" w:sz="4" w:space="0" w:color="auto"/>
              <w:bottom w:val="single" w:sz="4" w:space="0" w:color="auto"/>
            </w:tcBorders>
          </w:tcPr>
          <w:p w:rsidR="00697838" w:rsidRDefault="0074633F">
            <w:pPr>
              <w:pStyle w:val="covertext"/>
              <w:tabs>
                <w:tab w:val="left" w:pos="1152"/>
              </w:tabs>
              <w:spacing w:before="0" w:after="0"/>
              <w:rPr>
                <w:sz w:val="18"/>
              </w:rPr>
            </w:pPr>
            <w:r>
              <w:t>Voice:</w:t>
            </w:r>
            <w:r>
              <w:tab/>
              <w:t xml:space="preserve">[ </w:t>
            </w:r>
            <w:r w:rsidR="00A6679F">
              <w:t>+1-954-608-7537</w:t>
            </w:r>
            <w:r>
              <w:t xml:space="preserve">  ]</w:t>
            </w:r>
            <w:r>
              <w:br/>
              <w:t>Fax:</w:t>
            </w:r>
            <w:r>
              <w:tab/>
              <w:t xml:space="preserve">[ </w:t>
            </w:r>
            <w:r w:rsidR="00A6679F">
              <w:t>+1-954-333-0193</w:t>
            </w:r>
            <w:r>
              <w:t xml:space="preserve">  ]</w:t>
            </w:r>
            <w:r>
              <w:br/>
              <w:t>E-mail:</w:t>
            </w:r>
            <w:r>
              <w:tab/>
              <w:t xml:space="preserve">[ </w:t>
            </w:r>
            <w:r w:rsidR="00A6679F">
              <w:t>ed.callaway@arm.com</w:t>
            </w:r>
            <w:r>
              <w:t xml:space="preserve">  ]</w:t>
            </w:r>
          </w:p>
        </w:tc>
      </w:tr>
      <w:tr w:rsidR="00697838">
        <w:tc>
          <w:tcPr>
            <w:tcW w:w="1260" w:type="dxa"/>
            <w:tcBorders>
              <w:top w:val="single" w:sz="6" w:space="0" w:color="auto"/>
            </w:tcBorders>
          </w:tcPr>
          <w:p w:rsidR="00697838" w:rsidRDefault="0074633F">
            <w:pPr>
              <w:pStyle w:val="covertext"/>
            </w:pPr>
            <w:r>
              <w:t>Re:</w:t>
            </w:r>
          </w:p>
        </w:tc>
        <w:tc>
          <w:tcPr>
            <w:tcW w:w="8190" w:type="dxa"/>
            <w:gridSpan w:val="2"/>
            <w:tcBorders>
              <w:top w:val="single" w:sz="6" w:space="0" w:color="auto"/>
            </w:tcBorders>
          </w:tcPr>
          <w:p w:rsidR="00697838" w:rsidRDefault="00A6679F">
            <w:pPr>
              <w:pStyle w:val="covertext"/>
            </w:pPr>
            <w:r w:rsidRPr="00A6679F">
              <w:t>Email call for Intent and Participation, 18 December 2015</w:t>
            </w:r>
          </w:p>
        </w:tc>
      </w:tr>
      <w:tr w:rsidR="00697838">
        <w:tc>
          <w:tcPr>
            <w:tcW w:w="1260" w:type="dxa"/>
            <w:tcBorders>
              <w:top w:val="single" w:sz="6" w:space="0" w:color="auto"/>
            </w:tcBorders>
          </w:tcPr>
          <w:p w:rsidR="00697838" w:rsidRDefault="0074633F">
            <w:pPr>
              <w:pStyle w:val="covertext"/>
            </w:pPr>
            <w:r>
              <w:t>Abstract</w:t>
            </w:r>
          </w:p>
        </w:tc>
        <w:tc>
          <w:tcPr>
            <w:tcW w:w="8190" w:type="dxa"/>
            <w:gridSpan w:val="2"/>
            <w:tcBorders>
              <w:top w:val="single" w:sz="6" w:space="0" w:color="auto"/>
            </w:tcBorders>
          </w:tcPr>
          <w:p w:rsidR="00697838" w:rsidRDefault="00A6679F">
            <w:pPr>
              <w:pStyle w:val="covertext"/>
            </w:pPr>
            <w:r>
              <w:t>Proposed draft text for 15.4t</w:t>
            </w:r>
          </w:p>
          <w:p w:rsidR="00697838" w:rsidRDefault="00697838">
            <w:pPr>
              <w:pStyle w:val="covertext"/>
            </w:pPr>
          </w:p>
        </w:tc>
      </w:tr>
      <w:tr w:rsidR="00697838">
        <w:tc>
          <w:tcPr>
            <w:tcW w:w="1260" w:type="dxa"/>
            <w:tcBorders>
              <w:top w:val="single" w:sz="6" w:space="0" w:color="auto"/>
            </w:tcBorders>
          </w:tcPr>
          <w:p w:rsidR="00697838" w:rsidRDefault="0074633F">
            <w:pPr>
              <w:pStyle w:val="covertext"/>
            </w:pPr>
            <w:r>
              <w:t>Purpose</w:t>
            </w:r>
          </w:p>
        </w:tc>
        <w:tc>
          <w:tcPr>
            <w:tcW w:w="8190" w:type="dxa"/>
            <w:gridSpan w:val="2"/>
            <w:tcBorders>
              <w:top w:val="single" w:sz="6" w:space="0" w:color="auto"/>
            </w:tcBorders>
          </w:tcPr>
          <w:p w:rsidR="00697838" w:rsidRDefault="00A6679F">
            <w:pPr>
              <w:pStyle w:val="covertext"/>
            </w:pPr>
            <w:r>
              <w:t>For consideration in the development of the 15.4t standard</w:t>
            </w:r>
          </w:p>
        </w:tc>
      </w:tr>
      <w:tr w:rsidR="00697838">
        <w:tc>
          <w:tcPr>
            <w:tcW w:w="1260" w:type="dxa"/>
            <w:tcBorders>
              <w:top w:val="single" w:sz="6" w:space="0" w:color="auto"/>
              <w:bottom w:val="single" w:sz="6" w:space="0" w:color="auto"/>
            </w:tcBorders>
          </w:tcPr>
          <w:p w:rsidR="00697838" w:rsidRDefault="0074633F">
            <w:pPr>
              <w:pStyle w:val="covertext"/>
            </w:pPr>
            <w:r>
              <w:t>Notice</w:t>
            </w:r>
          </w:p>
        </w:tc>
        <w:tc>
          <w:tcPr>
            <w:tcW w:w="8190" w:type="dxa"/>
            <w:gridSpan w:val="2"/>
            <w:tcBorders>
              <w:top w:val="single" w:sz="6" w:space="0" w:color="auto"/>
              <w:bottom w:val="single" w:sz="6" w:space="0" w:color="auto"/>
            </w:tcBorders>
          </w:tcPr>
          <w:p w:rsidR="00697838" w:rsidRDefault="0074633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97838">
        <w:tc>
          <w:tcPr>
            <w:tcW w:w="1260" w:type="dxa"/>
            <w:tcBorders>
              <w:top w:val="single" w:sz="6" w:space="0" w:color="auto"/>
              <w:bottom w:val="single" w:sz="6" w:space="0" w:color="auto"/>
            </w:tcBorders>
          </w:tcPr>
          <w:p w:rsidR="00697838" w:rsidRDefault="0074633F">
            <w:pPr>
              <w:pStyle w:val="covertext"/>
            </w:pPr>
            <w:r>
              <w:t>Release</w:t>
            </w:r>
          </w:p>
        </w:tc>
        <w:tc>
          <w:tcPr>
            <w:tcW w:w="8190" w:type="dxa"/>
            <w:gridSpan w:val="2"/>
            <w:tcBorders>
              <w:top w:val="single" w:sz="6" w:space="0" w:color="auto"/>
              <w:bottom w:val="single" w:sz="6" w:space="0" w:color="auto"/>
            </w:tcBorders>
          </w:tcPr>
          <w:p w:rsidR="00697838" w:rsidRDefault="0074633F">
            <w:pPr>
              <w:pStyle w:val="covertext"/>
            </w:pPr>
            <w:r>
              <w:t>The contributor acknowledges and accepts that this contribution becomes the property of IEEE and may be made publicly available by P802.15.</w:t>
            </w:r>
          </w:p>
        </w:tc>
      </w:tr>
    </w:tbl>
    <w:p w:rsidR="00A6679F" w:rsidRDefault="0074633F" w:rsidP="00A6679F">
      <w:pPr>
        <w:pStyle w:val="H3"/>
        <w:numPr>
          <w:ilvl w:val="0"/>
          <w:numId w:val="3"/>
        </w:numPr>
        <w:rPr>
          <w:w w:val="100"/>
        </w:rPr>
      </w:pPr>
      <w:r>
        <w:rPr>
          <w:b w:val="0"/>
          <w:sz w:val="28"/>
        </w:rPr>
        <w:br w:type="page"/>
      </w:r>
      <w:bookmarkStart w:id="0" w:name="RTF31383134333a2048342c312e"/>
      <w:r w:rsidR="00A6679F">
        <w:rPr>
          <w:w w:val="100"/>
        </w:rPr>
        <w:lastRenderedPageBreak/>
        <w:t>FCS field</w:t>
      </w:r>
      <w:bookmarkEnd w:id="0"/>
    </w:p>
    <w:p w:rsidR="00A6679F" w:rsidRDefault="00A6679F" w:rsidP="00A6679F">
      <w:pPr>
        <w:pStyle w:val="T"/>
        <w:rPr>
          <w:w w:val="100"/>
        </w:rPr>
      </w:pPr>
      <w:r>
        <w:rPr>
          <w:w w:val="100"/>
        </w:rPr>
        <w:t xml:space="preserve">The FCS field contains a 16-bit ITU-T CRC or a 32-bit CRC equivalent to ANSI X3.66-1979. The FCS is calculated over the MHR and MAC payload parts of the frame; these parts together are referred to as the calculation field. Devices compliant with one or more of the SUN PHYs or TVWS PHYs shall implement the 4-octet FCS.  </w:t>
      </w:r>
      <w:r>
        <w:rPr>
          <w:color w:val="FF0000"/>
          <w:w w:val="100"/>
          <w:u w:val="single"/>
        </w:rPr>
        <w:t xml:space="preserve">Devices compliant with the 2450 MHz, 2000 kb/s MSK PHY with the PHR </w:t>
      </w:r>
      <w:r>
        <w:rPr>
          <w:color w:val="FF0000"/>
          <w:u w:val="single"/>
        </w:rPr>
        <w:t>Extended PHR Field set to one shall implement the 4-octet FCS; otherwise, they shall implement the 2-octet FCS (18.1.1.2)</w:t>
      </w:r>
      <w:r>
        <w:rPr>
          <w:color w:val="FF0000"/>
          <w:w w:val="100"/>
          <w:u w:val="single"/>
        </w:rPr>
        <w:t>.</w:t>
      </w:r>
    </w:p>
    <w:p w:rsidR="00A6679F" w:rsidRDefault="00A6679F" w:rsidP="00A6679F">
      <w:pPr>
        <w:pStyle w:val="T"/>
        <w:rPr>
          <w:w w:val="100"/>
        </w:rPr>
      </w:pPr>
      <w:r>
        <w:rPr>
          <w:w w:val="100"/>
        </w:rPr>
        <w:t>The 2-octect FCS shall be calculated using the following standard generator polynomial:</w:t>
      </w:r>
    </w:p>
    <w:p w:rsidR="00A6679F" w:rsidRDefault="00A6679F" w:rsidP="00A6679F">
      <w:pPr>
        <w:pStyle w:val="EU"/>
        <w:rPr>
          <w:w w:val="100"/>
        </w:rPr>
      </w:pPr>
      <w:r>
        <w:rPr>
          <w:i/>
          <w:iCs/>
          <w:w w:val="100"/>
        </w:rPr>
        <w:t>G</w:t>
      </w:r>
      <w:r>
        <w:rPr>
          <w:w w:val="100"/>
          <w:vertAlign w:val="subscript"/>
        </w:rPr>
        <w:t>16</w:t>
      </w:r>
      <w:r>
        <w:rPr>
          <w:w w:val="100"/>
        </w:rPr>
        <w:t>(</w:t>
      </w:r>
      <w:r>
        <w:rPr>
          <w:i/>
          <w:iCs/>
          <w:w w:val="100"/>
        </w:rPr>
        <w:t>x</w:t>
      </w:r>
      <w:r>
        <w:rPr>
          <w:w w:val="100"/>
        </w:rPr>
        <w:t xml:space="preserve">) = </w:t>
      </w:r>
      <w:r>
        <w:rPr>
          <w:i/>
          <w:iCs/>
          <w:w w:val="100"/>
        </w:rPr>
        <w:t>x</w:t>
      </w:r>
      <w:r>
        <w:rPr>
          <w:w w:val="100"/>
          <w:vertAlign w:val="superscript"/>
        </w:rPr>
        <w:t>16</w:t>
      </w:r>
      <w:r>
        <w:rPr>
          <w:w w:val="100"/>
        </w:rPr>
        <w:t xml:space="preserve"> + </w:t>
      </w:r>
      <w:r>
        <w:rPr>
          <w:i/>
          <w:iCs/>
          <w:w w:val="100"/>
        </w:rPr>
        <w:t>x</w:t>
      </w:r>
      <w:r>
        <w:rPr>
          <w:w w:val="100"/>
          <w:vertAlign w:val="superscript"/>
        </w:rPr>
        <w:t>12</w:t>
      </w:r>
      <w:r>
        <w:rPr>
          <w:w w:val="100"/>
        </w:rPr>
        <w:t xml:space="preserve"> + </w:t>
      </w:r>
      <w:r>
        <w:rPr>
          <w:i/>
          <w:iCs/>
          <w:w w:val="100"/>
        </w:rPr>
        <w:t>x</w:t>
      </w:r>
      <w:r>
        <w:rPr>
          <w:w w:val="100"/>
          <w:vertAlign w:val="superscript"/>
        </w:rPr>
        <w:t>5</w:t>
      </w:r>
      <w:r>
        <w:rPr>
          <w:w w:val="100"/>
        </w:rPr>
        <w:t xml:space="preserve"> + 1</w:t>
      </w:r>
    </w:p>
    <w:p w:rsidR="00A6679F" w:rsidRDefault="00A6679F" w:rsidP="00A6679F">
      <w:pPr>
        <w:pStyle w:val="T"/>
        <w:rPr>
          <w:w w:val="100"/>
        </w:rPr>
      </w:pPr>
      <w:r>
        <w:rPr>
          <w:w w:val="100"/>
        </w:rPr>
        <w:t xml:space="preserve">The 2-octet FCS shall be calculated for transmission using the following algorithm: </w:t>
      </w:r>
    </w:p>
    <w:p w:rsidR="00A6679F" w:rsidRDefault="00A6679F" w:rsidP="00A6679F">
      <w:pPr>
        <w:pStyle w:val="D"/>
        <w:numPr>
          <w:ilvl w:val="0"/>
          <w:numId w:val="2"/>
        </w:numPr>
        <w:ind w:left="600"/>
        <w:rPr>
          <w:w w:val="100"/>
        </w:rPr>
      </w:pPr>
      <w:r>
        <w:rPr>
          <w:w w:val="100"/>
        </w:rPr>
        <w:t xml:space="preserve">Let </w:t>
      </w:r>
      <w:r>
        <w:rPr>
          <w:i/>
          <w:iCs/>
          <w:w w:val="100"/>
        </w:rPr>
        <w:t>M</w:t>
      </w:r>
      <w:r>
        <w:rPr>
          <w:w w:val="100"/>
        </w:rPr>
        <w:t>(</w:t>
      </w:r>
      <w:r>
        <w:rPr>
          <w:i/>
          <w:iCs/>
          <w:w w:val="100"/>
        </w:rPr>
        <w:t>x</w:t>
      </w:r>
      <w:r>
        <w:rPr>
          <w:w w:val="100"/>
        </w:rPr>
        <w:t>) = </w:t>
      </w:r>
      <w:r>
        <w:rPr>
          <w:i/>
          <w:iCs/>
          <w:w w:val="100"/>
        </w:rPr>
        <w:t>b</w:t>
      </w:r>
      <w:r>
        <w:rPr>
          <w:w w:val="100"/>
          <w:vertAlign w:val="subscript"/>
        </w:rPr>
        <w:t>0</w:t>
      </w:r>
      <w:r>
        <w:rPr>
          <w:i/>
          <w:iCs/>
          <w:w w:val="100"/>
        </w:rPr>
        <w:t>x</w:t>
      </w:r>
      <w:r>
        <w:rPr>
          <w:i/>
          <w:iCs/>
          <w:w w:val="100"/>
          <w:vertAlign w:val="superscript"/>
        </w:rPr>
        <w:t>k–</w:t>
      </w:r>
      <w:r>
        <w:rPr>
          <w:w w:val="100"/>
          <w:vertAlign w:val="superscript"/>
        </w:rPr>
        <w:t>1</w:t>
      </w:r>
      <w:r>
        <w:rPr>
          <w:w w:val="100"/>
        </w:rPr>
        <w:t> + .</w:t>
      </w:r>
      <w:r>
        <w:rPr>
          <w:i/>
          <w:iCs/>
          <w:w w:val="100"/>
        </w:rPr>
        <w:t>b</w:t>
      </w:r>
      <w:r>
        <w:rPr>
          <w:w w:val="100"/>
          <w:vertAlign w:val="subscript"/>
        </w:rPr>
        <w:t>1</w:t>
      </w:r>
      <w:r>
        <w:rPr>
          <w:i/>
          <w:iCs/>
          <w:w w:val="100"/>
        </w:rPr>
        <w:t>x</w:t>
      </w:r>
      <w:r>
        <w:rPr>
          <w:i/>
          <w:iCs/>
          <w:w w:val="100"/>
          <w:vertAlign w:val="superscript"/>
        </w:rPr>
        <w:t>k–</w:t>
      </w:r>
      <w:r>
        <w:rPr>
          <w:w w:val="100"/>
          <w:vertAlign w:val="superscript"/>
        </w:rPr>
        <w:t>2</w:t>
      </w:r>
      <w:r>
        <w:rPr>
          <w:w w:val="100"/>
        </w:rPr>
        <w:t> </w:t>
      </w:r>
      <w:proofErr w:type="gramStart"/>
      <w:r>
        <w:rPr>
          <w:w w:val="100"/>
        </w:rPr>
        <w:t>+ .</w:t>
      </w:r>
      <w:proofErr w:type="gramEnd"/>
      <w:r>
        <w:rPr>
          <w:w w:val="100"/>
        </w:rPr>
        <w:t>… + </w:t>
      </w:r>
      <w:proofErr w:type="spellStart"/>
      <w:r>
        <w:rPr>
          <w:i/>
          <w:iCs/>
          <w:w w:val="100"/>
        </w:rPr>
        <w:t>b</w:t>
      </w:r>
      <w:r>
        <w:rPr>
          <w:i/>
          <w:iCs/>
          <w:w w:val="100"/>
          <w:vertAlign w:val="subscript"/>
        </w:rPr>
        <w:t>k</w:t>
      </w:r>
      <w:proofErr w:type="spellEnd"/>
      <w:r>
        <w:rPr>
          <w:w w:val="100"/>
          <w:vertAlign w:val="subscript"/>
        </w:rPr>
        <w:t>–2</w:t>
      </w:r>
      <w:r>
        <w:rPr>
          <w:i/>
          <w:iCs/>
          <w:w w:val="100"/>
        </w:rPr>
        <w:t>x</w:t>
      </w:r>
      <w:r>
        <w:rPr>
          <w:w w:val="100"/>
        </w:rPr>
        <w:t> + </w:t>
      </w:r>
      <w:proofErr w:type="spellStart"/>
      <w:r>
        <w:rPr>
          <w:i/>
          <w:iCs/>
          <w:w w:val="100"/>
        </w:rPr>
        <w:t>b</w:t>
      </w:r>
      <w:r>
        <w:rPr>
          <w:i/>
          <w:iCs/>
          <w:w w:val="100"/>
          <w:vertAlign w:val="subscript"/>
        </w:rPr>
        <w:t>k</w:t>
      </w:r>
      <w:proofErr w:type="spellEnd"/>
      <w:r>
        <w:rPr>
          <w:w w:val="100"/>
          <w:vertAlign w:val="subscript"/>
        </w:rPr>
        <w:t>–1</w:t>
      </w:r>
      <w:r>
        <w:rPr>
          <w:w w:val="100"/>
        </w:rPr>
        <w:t xml:space="preserve"> be the polynomial representing the sequence of bits for which the checksum is to be computed.</w:t>
      </w:r>
    </w:p>
    <w:p w:rsidR="00A6679F" w:rsidRDefault="00A6679F" w:rsidP="00A6679F">
      <w:pPr>
        <w:pStyle w:val="D"/>
        <w:numPr>
          <w:ilvl w:val="0"/>
          <w:numId w:val="2"/>
        </w:numPr>
        <w:ind w:left="600"/>
        <w:rPr>
          <w:i/>
          <w:iCs/>
          <w:w w:val="100"/>
        </w:rPr>
      </w:pPr>
      <w:r>
        <w:rPr>
          <w:w w:val="100"/>
        </w:rPr>
        <w:t xml:space="preserve">Multiply </w:t>
      </w:r>
      <w:r>
        <w:rPr>
          <w:i/>
          <w:iCs/>
          <w:w w:val="100"/>
        </w:rPr>
        <w:t>M</w:t>
      </w:r>
      <w:r>
        <w:rPr>
          <w:w w:val="100"/>
        </w:rPr>
        <w:t>(</w:t>
      </w:r>
      <w:r>
        <w:rPr>
          <w:i/>
          <w:iCs/>
          <w:w w:val="100"/>
        </w:rPr>
        <w:t>x</w:t>
      </w:r>
      <w:r>
        <w:rPr>
          <w:w w:val="100"/>
        </w:rPr>
        <w:t>) by</w:t>
      </w:r>
      <w:r>
        <w:rPr>
          <w:i/>
          <w:iCs/>
          <w:w w:val="100"/>
        </w:rPr>
        <w:t xml:space="preserve"> x</w:t>
      </w:r>
      <w:r>
        <w:rPr>
          <w:w w:val="100"/>
          <w:vertAlign w:val="superscript"/>
        </w:rPr>
        <w:t>16</w:t>
      </w:r>
      <w:r>
        <w:rPr>
          <w:w w:val="100"/>
        </w:rPr>
        <w:t xml:space="preserve">, giving the polynomial </w:t>
      </w:r>
      <w:r>
        <w:rPr>
          <w:i/>
          <w:iCs/>
          <w:w w:val="100"/>
        </w:rPr>
        <w:t>x</w:t>
      </w:r>
      <w:r>
        <w:rPr>
          <w:w w:val="100"/>
          <w:vertAlign w:val="superscript"/>
        </w:rPr>
        <w:t>16</w:t>
      </w:r>
      <w:r>
        <w:rPr>
          <w:w w:val="100"/>
        </w:rPr>
        <w:t> </w:t>
      </w:r>
      <w:r>
        <w:rPr>
          <w:rFonts w:ascii="Symbol" w:hAnsi="Symbol" w:cs="Symbol"/>
          <w:w w:val="100"/>
        </w:rPr>
        <w:t></w:t>
      </w:r>
      <w:r>
        <w:rPr>
          <w:w w:val="100"/>
        </w:rPr>
        <w:t> </w:t>
      </w:r>
      <w:r>
        <w:rPr>
          <w:i/>
          <w:iCs/>
          <w:w w:val="100"/>
        </w:rPr>
        <w:t>M</w:t>
      </w:r>
      <w:r>
        <w:rPr>
          <w:w w:val="100"/>
        </w:rPr>
        <w:t>(</w:t>
      </w:r>
      <w:r>
        <w:rPr>
          <w:i/>
          <w:iCs/>
          <w:w w:val="100"/>
        </w:rPr>
        <w:t>x</w:t>
      </w:r>
      <w:r>
        <w:rPr>
          <w:w w:val="100"/>
        </w:rPr>
        <w:t>)</w:t>
      </w:r>
      <w:r>
        <w:rPr>
          <w:i/>
          <w:iCs/>
          <w:w w:val="100"/>
        </w:rPr>
        <w:t>.</w:t>
      </w:r>
    </w:p>
    <w:p w:rsidR="00A6679F" w:rsidRDefault="00A6679F" w:rsidP="00A6679F">
      <w:pPr>
        <w:pStyle w:val="D"/>
        <w:numPr>
          <w:ilvl w:val="0"/>
          <w:numId w:val="2"/>
        </w:numPr>
        <w:ind w:left="600"/>
        <w:rPr>
          <w:w w:val="100"/>
          <w:vertAlign w:val="subscript"/>
        </w:rPr>
      </w:pPr>
      <w:r>
        <w:rPr>
          <w:w w:val="100"/>
        </w:rPr>
        <w:t xml:space="preserve">Divide </w:t>
      </w:r>
      <w:r>
        <w:rPr>
          <w:i/>
          <w:iCs/>
          <w:w w:val="100"/>
        </w:rPr>
        <w:t>x</w:t>
      </w:r>
      <w:r>
        <w:rPr>
          <w:w w:val="100"/>
          <w:vertAlign w:val="superscript"/>
        </w:rPr>
        <w:t>16</w:t>
      </w:r>
      <w:r>
        <w:rPr>
          <w:w w:val="100"/>
        </w:rPr>
        <w:t> </w:t>
      </w:r>
      <w:r>
        <w:rPr>
          <w:rFonts w:ascii="Symbol" w:hAnsi="Symbol" w:cs="Symbol"/>
          <w:w w:val="100"/>
        </w:rPr>
        <w:t></w:t>
      </w:r>
      <w:r>
        <w:rPr>
          <w:w w:val="100"/>
        </w:rPr>
        <w:t> </w:t>
      </w:r>
      <w:r>
        <w:rPr>
          <w:i/>
          <w:iCs/>
          <w:w w:val="100"/>
        </w:rPr>
        <w:t>M</w:t>
      </w:r>
      <w:r>
        <w:rPr>
          <w:w w:val="100"/>
        </w:rPr>
        <w:t>(</w:t>
      </w:r>
      <w:r>
        <w:rPr>
          <w:i/>
          <w:iCs/>
          <w:w w:val="100"/>
        </w:rPr>
        <w:t>x</w:t>
      </w:r>
      <w:r>
        <w:rPr>
          <w:w w:val="100"/>
        </w:rPr>
        <w:t xml:space="preserve">) modulo 2 by the generator polynomial, </w:t>
      </w:r>
      <w:r>
        <w:rPr>
          <w:i/>
          <w:iCs/>
          <w:w w:val="100"/>
        </w:rPr>
        <w:t>G</w:t>
      </w:r>
      <w:r>
        <w:rPr>
          <w:w w:val="100"/>
          <w:vertAlign w:val="subscript"/>
        </w:rPr>
        <w:t>16</w:t>
      </w:r>
      <w:r>
        <w:rPr>
          <w:w w:val="100"/>
        </w:rPr>
        <w:t>(</w:t>
      </w:r>
      <w:r>
        <w:rPr>
          <w:i/>
          <w:iCs/>
          <w:w w:val="100"/>
        </w:rPr>
        <w:t>x</w:t>
      </w:r>
      <w:r>
        <w:rPr>
          <w:w w:val="100"/>
        </w:rPr>
        <w:t>)</w:t>
      </w:r>
      <w:r>
        <w:rPr>
          <w:i/>
          <w:iCs/>
          <w:w w:val="100"/>
        </w:rPr>
        <w:t xml:space="preserve">, </w:t>
      </w:r>
      <w:r>
        <w:rPr>
          <w:w w:val="100"/>
        </w:rPr>
        <w:t xml:space="preserve">to obtain the remainder polynomial, </w:t>
      </w:r>
      <w:r>
        <w:rPr>
          <w:i/>
          <w:iCs/>
          <w:w w:val="100"/>
        </w:rPr>
        <w:t>R</w:t>
      </w:r>
      <w:r>
        <w:rPr>
          <w:w w:val="100"/>
        </w:rPr>
        <w:t>(</w:t>
      </w:r>
      <w:r>
        <w:rPr>
          <w:i/>
          <w:iCs/>
          <w:w w:val="100"/>
        </w:rPr>
        <w:t>x</w:t>
      </w:r>
      <w:r>
        <w:rPr>
          <w:w w:val="100"/>
        </w:rPr>
        <w:t>) = </w:t>
      </w:r>
      <w:r>
        <w:rPr>
          <w:i/>
          <w:iCs/>
          <w:w w:val="100"/>
        </w:rPr>
        <w:t>r</w:t>
      </w:r>
      <w:r>
        <w:rPr>
          <w:w w:val="100"/>
          <w:vertAlign w:val="subscript"/>
        </w:rPr>
        <w:t>0</w:t>
      </w:r>
      <w:r>
        <w:rPr>
          <w:i/>
          <w:iCs/>
          <w:w w:val="100"/>
        </w:rPr>
        <w:t>x</w:t>
      </w:r>
      <w:r>
        <w:rPr>
          <w:w w:val="100"/>
          <w:vertAlign w:val="superscript"/>
        </w:rPr>
        <w:t>15</w:t>
      </w:r>
      <w:r>
        <w:rPr>
          <w:w w:val="100"/>
        </w:rPr>
        <w:t> + .</w:t>
      </w:r>
      <w:r>
        <w:rPr>
          <w:i/>
          <w:iCs/>
          <w:w w:val="100"/>
        </w:rPr>
        <w:t>r</w:t>
      </w:r>
      <w:r>
        <w:rPr>
          <w:w w:val="100"/>
          <w:vertAlign w:val="subscript"/>
        </w:rPr>
        <w:t>1</w:t>
      </w:r>
      <w:r>
        <w:rPr>
          <w:i/>
          <w:iCs/>
          <w:w w:val="100"/>
        </w:rPr>
        <w:t>x</w:t>
      </w:r>
      <w:r>
        <w:rPr>
          <w:w w:val="100"/>
          <w:vertAlign w:val="superscript"/>
        </w:rPr>
        <w:t>14</w:t>
      </w:r>
      <w:r>
        <w:rPr>
          <w:w w:val="100"/>
        </w:rPr>
        <w:t> + .… + </w:t>
      </w:r>
      <w:r>
        <w:rPr>
          <w:i/>
          <w:iCs/>
          <w:w w:val="100"/>
        </w:rPr>
        <w:t>r</w:t>
      </w:r>
      <w:r>
        <w:rPr>
          <w:w w:val="100"/>
          <w:vertAlign w:val="subscript"/>
        </w:rPr>
        <w:t>14</w:t>
      </w:r>
      <w:r>
        <w:rPr>
          <w:i/>
          <w:iCs/>
          <w:w w:val="100"/>
        </w:rPr>
        <w:t>x</w:t>
      </w:r>
      <w:r>
        <w:rPr>
          <w:w w:val="100"/>
        </w:rPr>
        <w:t> + </w:t>
      </w:r>
      <w:r>
        <w:rPr>
          <w:i/>
          <w:iCs/>
          <w:w w:val="100"/>
        </w:rPr>
        <w:t>r</w:t>
      </w:r>
      <w:r>
        <w:rPr>
          <w:w w:val="100"/>
          <w:vertAlign w:val="subscript"/>
        </w:rPr>
        <w:t>15</w:t>
      </w:r>
    </w:p>
    <w:p w:rsidR="00A6679F" w:rsidRDefault="00A6679F" w:rsidP="00A6679F">
      <w:pPr>
        <w:pStyle w:val="D"/>
        <w:numPr>
          <w:ilvl w:val="0"/>
          <w:numId w:val="2"/>
        </w:numPr>
        <w:ind w:left="600"/>
        <w:rPr>
          <w:w w:val="100"/>
        </w:rPr>
      </w:pPr>
      <w:r>
        <w:rPr>
          <w:w w:val="100"/>
        </w:rPr>
        <w:t xml:space="preserve">The FCS field is given by the coefficients of the remainder polynomial, </w:t>
      </w:r>
      <w:r>
        <w:rPr>
          <w:i/>
          <w:iCs/>
          <w:w w:val="100"/>
        </w:rPr>
        <w:t>R(x)</w:t>
      </w:r>
      <w:r>
        <w:rPr>
          <w:w w:val="100"/>
        </w:rPr>
        <w:t>.</w:t>
      </w:r>
    </w:p>
    <w:p w:rsidR="00A6679F" w:rsidRDefault="00A6679F" w:rsidP="00A6679F">
      <w:pPr>
        <w:pStyle w:val="T"/>
        <w:rPr>
          <w:w w:val="100"/>
        </w:rPr>
      </w:pPr>
      <w:r>
        <w:rPr>
          <w:w w:val="100"/>
        </w:rPr>
        <w:t>Here, binary polynomials are represented as bit strings, in highest polynomial degree first order.</w:t>
      </w:r>
    </w:p>
    <w:p w:rsidR="00A6679F" w:rsidRDefault="00A6679F" w:rsidP="00A6679F">
      <w:pPr>
        <w:pStyle w:val="T"/>
        <w:rPr>
          <w:w w:val="100"/>
        </w:rPr>
      </w:pPr>
      <w:r>
        <w:rPr>
          <w:w w:val="100"/>
        </w:rPr>
        <w:t xml:space="preserve">As an example, consider an </w:t>
      </w:r>
      <w:proofErr w:type="spellStart"/>
      <w:r>
        <w:rPr>
          <w:w w:val="100"/>
        </w:rPr>
        <w:t>Ack</w:t>
      </w:r>
      <w:proofErr w:type="spellEnd"/>
      <w:r>
        <w:rPr>
          <w:w w:val="100"/>
        </w:rPr>
        <w:t xml:space="preserve"> frame with no payload and the following 3 octet MHR:</w:t>
      </w:r>
      <w:r w:rsidR="00BD1674">
        <w:rPr>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0pt">
            <v:imagedata r:id="rId7" o:title=""/>
          </v:shape>
        </w:pict>
      </w:r>
    </w:p>
    <w:p w:rsidR="00A6679F" w:rsidRDefault="00A6679F" w:rsidP="00A6679F">
      <w:pPr>
        <w:pStyle w:val="T"/>
        <w:rPr>
          <w:w w:val="100"/>
        </w:rPr>
      </w:pPr>
      <w:r>
        <w:rPr>
          <w:w w:val="100"/>
        </w:rPr>
        <w:t>The FCS for this case would be the following:</w:t>
      </w:r>
      <w:r w:rsidR="00BD1674">
        <w:rPr>
          <w:w w:val="100"/>
        </w:rPr>
        <w:pict>
          <v:shape id="_x0000_i1026" type="#_x0000_t75" style="width:6in;height:42pt">
            <v:imagedata r:id="rId8" o:title=""/>
          </v:shape>
        </w:pict>
      </w:r>
    </w:p>
    <w:p w:rsidR="00A6679F" w:rsidRDefault="00A6679F" w:rsidP="00A6679F">
      <w:pPr>
        <w:pStyle w:val="T"/>
        <w:rPr>
          <w:w w:val="100"/>
        </w:rPr>
      </w:pPr>
      <w:r>
        <w:rPr>
          <w:w w:val="100"/>
        </w:rPr>
        <w:lastRenderedPageBreak/>
        <w:t xml:space="preserve">A typical implementation is depicted in </w:t>
      </w:r>
      <w:r>
        <w:rPr>
          <w:w w:val="100"/>
        </w:rPr>
        <w:fldChar w:fldCharType="begin"/>
      </w:r>
      <w:r>
        <w:rPr>
          <w:w w:val="100"/>
        </w:rPr>
        <w:instrText xml:space="preserve"> REF  RTF38363534313a204669675469 \h</w:instrText>
      </w:r>
      <w:r>
        <w:rPr>
          <w:w w:val="100"/>
        </w:rPr>
      </w:r>
      <w:r>
        <w:rPr>
          <w:w w:val="100"/>
        </w:rPr>
        <w:fldChar w:fldCharType="separate"/>
      </w:r>
      <w:r>
        <w:rPr>
          <w:w w:val="100"/>
        </w:rPr>
        <w:t>Figure 7-4</w:t>
      </w:r>
      <w:r>
        <w:rPr>
          <w:w w:val="100"/>
        </w:rPr>
        <w:fldChar w:fldCharType="end"/>
      </w:r>
      <w:r>
        <w:rPr>
          <w:w w:val="100"/>
        </w:rPr>
        <w:t>.</w:t>
      </w:r>
      <w:r w:rsidR="00BD1674">
        <w:rPr>
          <w:w w:val="100"/>
        </w:rPr>
        <w:pict>
          <v:shape id="_x0000_i1027" type="#_x0000_t75" style="width:6in;height:245pt">
            <v:imagedata r:id="rId9" o:title=""/>
          </v:shape>
        </w:pict>
      </w:r>
    </w:p>
    <w:p w:rsidR="00A6679F" w:rsidRDefault="00A6679F" w:rsidP="00A6679F">
      <w:pPr>
        <w:pStyle w:val="T"/>
        <w:rPr>
          <w:w w:val="100"/>
        </w:rPr>
      </w:pPr>
      <w:r>
        <w:rPr>
          <w:w w:val="100"/>
        </w:rPr>
        <w:t>The 4-octet FCS is calculated using the following standard generator polynomial of degree 32:</w:t>
      </w:r>
    </w:p>
    <w:p w:rsidR="00A6679F" w:rsidRDefault="00BD1674" w:rsidP="00A6679F">
      <w:pPr>
        <w:pStyle w:val="EU"/>
        <w:rPr>
          <w:w w:val="100"/>
        </w:rPr>
      </w:pPr>
      <w:r>
        <w:rPr>
          <w:w w:val="100"/>
        </w:rPr>
        <w:pict>
          <v:shape id="_x0000_i1028" type="#_x0000_t75" style="width:340pt;height:18pt">
            <v:imagedata r:id="rId10" o:title=""/>
          </v:shape>
        </w:pict>
      </w:r>
    </w:p>
    <w:p w:rsidR="00A6679F" w:rsidRDefault="00A6679F" w:rsidP="00A6679F">
      <w:pPr>
        <w:pStyle w:val="T"/>
        <w:rPr>
          <w:w w:val="100"/>
        </w:rPr>
      </w:pPr>
      <w:r>
        <w:rPr>
          <w:w w:val="100"/>
        </w:rPr>
        <w:t>The 4-octet FCS is the one’s complement of the (modulo 2) sum of the two remainders in a) and b):</w:t>
      </w:r>
    </w:p>
    <w:p w:rsidR="00A6679F" w:rsidRDefault="00A6679F" w:rsidP="00A6679F">
      <w:pPr>
        <w:pStyle w:val="L11"/>
        <w:numPr>
          <w:ilvl w:val="0"/>
          <w:numId w:val="4"/>
        </w:numPr>
        <w:ind w:left="640"/>
        <w:rPr>
          <w:w w:val="100"/>
        </w:rPr>
      </w:pPr>
      <w:r>
        <w:rPr>
          <w:w w:val="100"/>
        </w:rPr>
        <w:t>The remainder resulting from [(</w:t>
      </w:r>
      <w:proofErr w:type="spellStart"/>
      <w:r>
        <w:rPr>
          <w:i/>
          <w:iCs/>
          <w:w w:val="100"/>
        </w:rPr>
        <w:t>x</w:t>
      </w:r>
      <w:r>
        <w:rPr>
          <w:i/>
          <w:iCs/>
          <w:w w:val="100"/>
          <w:vertAlign w:val="superscript"/>
        </w:rPr>
        <w:t>k</w:t>
      </w:r>
      <w:proofErr w:type="spellEnd"/>
      <w:r>
        <w:rPr>
          <w:w w:val="100"/>
        </w:rPr>
        <w:t xml:space="preserve"> × (</w:t>
      </w:r>
      <w:r>
        <w:rPr>
          <w:i/>
          <w:iCs/>
          <w:w w:val="100"/>
        </w:rPr>
        <w:t>x</w:t>
      </w:r>
      <w:r>
        <w:rPr>
          <w:w w:val="100"/>
          <w:vertAlign w:val="superscript"/>
        </w:rPr>
        <w:t>31</w:t>
      </w:r>
      <w:r>
        <w:rPr>
          <w:w w:val="100"/>
        </w:rPr>
        <w:t xml:space="preserve"> + </w:t>
      </w:r>
      <w:r>
        <w:rPr>
          <w:i/>
          <w:iCs/>
          <w:w w:val="100"/>
        </w:rPr>
        <w:t>x</w:t>
      </w:r>
      <w:r>
        <w:rPr>
          <w:w w:val="100"/>
          <w:vertAlign w:val="superscript"/>
        </w:rPr>
        <w:t xml:space="preserve">30 </w:t>
      </w:r>
      <w:r>
        <w:rPr>
          <w:w w:val="100"/>
        </w:rPr>
        <w:t xml:space="preserve">+...)] divided (modulo 2) by </w:t>
      </w:r>
      <w:r>
        <w:rPr>
          <w:i/>
          <w:iCs/>
          <w:w w:val="100"/>
        </w:rPr>
        <w:t>G</w:t>
      </w:r>
      <w:r>
        <w:rPr>
          <w:w w:val="100"/>
          <w:vertAlign w:val="subscript"/>
        </w:rPr>
        <w:t>32</w:t>
      </w:r>
      <w:r>
        <w:rPr>
          <w:w w:val="100"/>
        </w:rPr>
        <w:t>(</w:t>
      </w:r>
      <w:r>
        <w:rPr>
          <w:i/>
          <w:iCs/>
          <w:w w:val="100"/>
        </w:rPr>
        <w:t>x</w:t>
      </w:r>
      <w:r>
        <w:rPr>
          <w:w w:val="100"/>
        </w:rPr>
        <w:t xml:space="preserve">), where the value </w:t>
      </w:r>
      <w:r>
        <w:rPr>
          <w:i/>
          <w:iCs/>
          <w:w w:val="100"/>
        </w:rPr>
        <w:t>k</w:t>
      </w:r>
      <w:r>
        <w:rPr>
          <w:w w:val="100"/>
        </w:rPr>
        <w:t xml:space="preserve"> is the number of bits in the calculation field.</w:t>
      </w:r>
    </w:p>
    <w:p w:rsidR="00A6679F" w:rsidRDefault="00A6679F" w:rsidP="00A6679F">
      <w:pPr>
        <w:pStyle w:val="L2"/>
        <w:numPr>
          <w:ilvl w:val="0"/>
          <w:numId w:val="5"/>
        </w:numPr>
        <w:ind w:left="640"/>
        <w:rPr>
          <w:w w:val="100"/>
        </w:rPr>
      </w:pPr>
      <w:r>
        <w:rPr>
          <w:w w:val="100"/>
        </w:rPr>
        <w:t xml:space="preserve">The remainder resulting from the calculation field contents, treated as a polynomial, is multiplied by </w:t>
      </w:r>
      <w:r>
        <w:rPr>
          <w:i/>
          <w:iCs/>
          <w:w w:val="100"/>
        </w:rPr>
        <w:t>x</w:t>
      </w:r>
      <w:r>
        <w:rPr>
          <w:w w:val="100"/>
          <w:vertAlign w:val="superscript"/>
        </w:rPr>
        <w:t>32</w:t>
      </w:r>
      <w:r>
        <w:rPr>
          <w:w w:val="100"/>
        </w:rPr>
        <w:t xml:space="preserve"> and then divided by </w:t>
      </w:r>
      <w:r>
        <w:rPr>
          <w:i/>
          <w:iCs/>
          <w:w w:val="100"/>
        </w:rPr>
        <w:t>G</w:t>
      </w:r>
      <w:r>
        <w:rPr>
          <w:w w:val="100"/>
          <w:vertAlign w:val="subscript"/>
        </w:rPr>
        <w:t>32</w:t>
      </w:r>
      <w:r>
        <w:rPr>
          <w:w w:val="100"/>
        </w:rPr>
        <w:t>(</w:t>
      </w:r>
      <w:r>
        <w:rPr>
          <w:i/>
          <w:iCs/>
          <w:w w:val="100"/>
        </w:rPr>
        <w:t>x</w:t>
      </w:r>
      <w:r>
        <w:rPr>
          <w:w w:val="100"/>
        </w:rPr>
        <w:t>).</w:t>
      </w:r>
    </w:p>
    <w:p w:rsidR="00A6679F" w:rsidRDefault="00A6679F" w:rsidP="00A6679F">
      <w:pPr>
        <w:pStyle w:val="T"/>
        <w:rPr>
          <w:w w:val="100"/>
        </w:rPr>
      </w:pPr>
      <w:r>
        <w:rPr>
          <w:w w:val="100"/>
        </w:rPr>
        <w:t xml:space="preserve">At the transmitter, the initial remainder of the division shall be preset to all ones and then modified via division of the calculation field by the generator polynomial </w:t>
      </w:r>
      <w:r>
        <w:rPr>
          <w:i/>
          <w:iCs/>
          <w:w w:val="100"/>
        </w:rPr>
        <w:t>G</w:t>
      </w:r>
      <w:r>
        <w:rPr>
          <w:w w:val="100"/>
          <w:vertAlign w:val="subscript"/>
        </w:rPr>
        <w:t>32</w:t>
      </w:r>
      <w:r>
        <w:rPr>
          <w:w w:val="100"/>
        </w:rPr>
        <w:t>(</w:t>
      </w:r>
      <w:r>
        <w:rPr>
          <w:i/>
          <w:iCs/>
          <w:w w:val="100"/>
        </w:rPr>
        <w:t>x</w:t>
      </w:r>
      <w:r>
        <w:rPr>
          <w:w w:val="100"/>
        </w:rPr>
        <w:t>). The one’s complement of this remainder is the 4-octet FCS field. The FCS field is passed to the PHY commencing with the coefficient of the highest order term.</w:t>
      </w:r>
    </w:p>
    <w:p w:rsidR="00A6679F" w:rsidRDefault="00A6679F" w:rsidP="00A6679F">
      <w:pPr>
        <w:pStyle w:val="T"/>
        <w:rPr>
          <w:w w:val="100"/>
        </w:rPr>
      </w:pPr>
      <w:r>
        <w:rPr>
          <w:w w:val="100"/>
        </w:rPr>
        <w:t xml:space="preserve">At the receiver, the initial remainder shall be preset to all ones. The serial incoming bits of the calculation field and FCS, when divided by </w:t>
      </w:r>
      <w:r>
        <w:rPr>
          <w:i/>
          <w:iCs/>
          <w:w w:val="100"/>
        </w:rPr>
        <w:t>G</w:t>
      </w:r>
      <w:r>
        <w:rPr>
          <w:w w:val="100"/>
          <w:vertAlign w:val="subscript"/>
        </w:rPr>
        <w:t>32</w:t>
      </w:r>
      <w:r>
        <w:rPr>
          <w:w w:val="100"/>
        </w:rPr>
        <w:t>(</w:t>
      </w:r>
      <w:r>
        <w:rPr>
          <w:i/>
          <w:iCs/>
          <w:w w:val="100"/>
        </w:rPr>
        <w:t>x</w:t>
      </w:r>
      <w:r>
        <w:rPr>
          <w:w w:val="100"/>
        </w:rPr>
        <w:t>) in the absence of transmission errors, result in a unique nonzero remainder value. The unique remainder value is the polynomial shown:</w:t>
      </w:r>
    </w:p>
    <w:p w:rsidR="00A6679F" w:rsidRDefault="00A6679F" w:rsidP="00A6679F">
      <w:pPr>
        <w:pStyle w:val="EU"/>
        <w:rPr>
          <w:w w:val="100"/>
        </w:rPr>
      </w:pPr>
      <w:bookmarkStart w:id="1" w:name="RTF36373037343a204571756174"/>
    </w:p>
    <w:bookmarkEnd w:id="1"/>
    <w:p w:rsidR="00A6679F" w:rsidRDefault="00BD1674" w:rsidP="00A6679F">
      <w:pPr>
        <w:pStyle w:val="T"/>
        <w:rPr>
          <w:w w:val="100"/>
        </w:rPr>
      </w:pPr>
      <w:r>
        <w:rPr>
          <w:w w:val="100"/>
        </w:rPr>
        <w:lastRenderedPageBreak/>
        <w:pict>
          <v:shape id="_x0000_i1029" type="#_x0000_t75" style="width:364pt;height:16pt">
            <v:imagedata r:id="rId11" o:title=""/>
          </v:shape>
        </w:pict>
      </w:r>
      <w:r w:rsidR="00A6679F">
        <w:rPr>
          <w:w w:val="100"/>
        </w:rPr>
        <w:t>Upon transmission, if the length of the calculation field is less than 4 octets, the FCS computation shall assume padding the calculation field by appending zero value octets to the most significant bits to make the calculation field length exactly 4 octets; however, these pad bits shall not be transmitted. Upon reception, if the length of the calculation field is less than 4 octets, the received calculation field shall be appended with zero value octets to the most significant bits to make the calculation field length exactly 4 octets prior to computing the FCS for validation.</w:t>
      </w:r>
    </w:p>
    <w:p w:rsidR="00A6679F" w:rsidRDefault="00A6679F" w:rsidP="00A6679F">
      <w:pPr>
        <w:pStyle w:val="T"/>
        <w:rPr>
          <w:w w:val="100"/>
        </w:rPr>
      </w:pPr>
      <w:r>
        <w:rPr>
          <w:w w:val="100"/>
        </w:rPr>
        <w:t xml:space="preserve">As an example, consider an </w:t>
      </w:r>
      <w:proofErr w:type="spellStart"/>
      <w:r>
        <w:rPr>
          <w:w w:val="100"/>
        </w:rPr>
        <w:t>Ack</w:t>
      </w:r>
      <w:proofErr w:type="spellEnd"/>
      <w:r>
        <w:rPr>
          <w:w w:val="100"/>
        </w:rPr>
        <w:t xml:space="preserve"> frame with no payload and the following 3-byte MHR:</w:t>
      </w:r>
      <w:r w:rsidR="00BD1674">
        <w:rPr>
          <w:w w:val="100"/>
        </w:rPr>
        <w:pict>
          <v:shape id="_x0000_i1030" type="#_x0000_t75" style="width:6in;height:42pt">
            <v:imagedata r:id="rId12" o:title=""/>
          </v:shape>
        </w:pict>
      </w:r>
    </w:p>
    <w:p w:rsidR="00A6679F" w:rsidRDefault="00A6679F" w:rsidP="00A6679F">
      <w:pPr>
        <w:pStyle w:val="T"/>
        <w:rPr>
          <w:w w:val="100"/>
        </w:rPr>
      </w:pPr>
      <w:r>
        <w:rPr>
          <w:w w:val="100"/>
        </w:rPr>
        <w:t>Prior to FCS computation, the zero padded calculation field is given as follows:</w:t>
      </w:r>
      <w:r w:rsidR="00BD1674">
        <w:rPr>
          <w:w w:val="100"/>
        </w:rPr>
        <w:pict>
          <v:shape id="_x0000_i1031" type="#_x0000_t75" style="width:6in;height:44pt">
            <v:imagedata r:id="rId13" o:title=""/>
          </v:shape>
        </w:pict>
      </w:r>
    </w:p>
    <w:p w:rsidR="00A6679F" w:rsidRDefault="00A6679F" w:rsidP="00A6679F">
      <w:pPr>
        <w:pStyle w:val="T"/>
        <w:rPr>
          <w:w w:val="100"/>
        </w:rPr>
      </w:pPr>
      <w:r>
        <w:rPr>
          <w:w w:val="100"/>
        </w:rPr>
        <w:t>The 4-octet FCS for this case would be the following:</w:t>
      </w:r>
      <w:r w:rsidR="00BD1674">
        <w:rPr>
          <w:w w:val="100"/>
        </w:rPr>
        <w:pict>
          <v:shape id="_x0000_i1032" type="#_x0000_t75" style="width:6in;height:44pt">
            <v:imagedata r:id="rId14" o:title=""/>
          </v:shape>
        </w:pict>
      </w:r>
    </w:p>
    <w:p w:rsidR="000D1D35" w:rsidRDefault="000D1D35" w:rsidP="000D1D35">
      <w:pPr>
        <w:pStyle w:val="T"/>
        <w:rPr>
          <w:w w:val="100"/>
        </w:rPr>
      </w:pPr>
      <w:r>
        <w:rPr>
          <w:w w:val="100"/>
        </w:rPr>
        <w:br w:type="page"/>
      </w:r>
    </w:p>
    <w:p w:rsidR="000D1D35" w:rsidRDefault="000D1D35" w:rsidP="000D1D35">
      <w:pPr>
        <w:pStyle w:val="H2"/>
        <w:numPr>
          <w:ilvl w:val="0"/>
          <w:numId w:val="6"/>
        </w:numPr>
        <w:rPr>
          <w:w w:val="100"/>
        </w:rPr>
      </w:pPr>
      <w:bookmarkStart w:id="2" w:name="RTF35363334303a2048332c312e"/>
      <w:r>
        <w:rPr>
          <w:w w:val="100"/>
        </w:rPr>
        <w:t>PHY constants</w:t>
      </w:r>
      <w:bookmarkEnd w:id="2"/>
    </w:p>
    <w:p w:rsidR="000D1D35" w:rsidRDefault="000D1D35" w:rsidP="000D1D35">
      <w:pPr>
        <w:pStyle w:val="T"/>
        <w:rPr>
          <w:rFonts w:ascii="Arial" w:hAnsi="Arial" w:cs="Arial"/>
          <w:b/>
          <w:bCs/>
          <w:w w:val="100"/>
        </w:rPr>
      </w:pPr>
      <w:r>
        <w:rPr>
          <w:w w:val="100"/>
        </w:rPr>
        <w:t xml:space="preserve">The constants that define the characteristics of the PHY are presented in </w:t>
      </w:r>
      <w:r>
        <w:rPr>
          <w:w w:val="100"/>
        </w:rPr>
        <w:fldChar w:fldCharType="begin"/>
      </w:r>
      <w:r>
        <w:rPr>
          <w:w w:val="100"/>
        </w:rPr>
        <w:instrText xml:space="preserve"> REF  RTF38393239353a205461626c65 \h</w:instrText>
      </w:r>
      <w:r>
        <w:rPr>
          <w:w w:val="100"/>
        </w:rPr>
      </w:r>
      <w:r>
        <w:rPr>
          <w:w w:val="100"/>
        </w:rPr>
        <w:fldChar w:fldCharType="separate"/>
      </w:r>
      <w:r>
        <w:rPr>
          <w:w w:val="100"/>
        </w:rPr>
        <w:t>Table 11-1</w:t>
      </w:r>
      <w:r>
        <w:rPr>
          <w:w w:val="100"/>
        </w:rPr>
        <w:fldChar w:fldCharType="end"/>
      </w:r>
      <w:r>
        <w:rPr>
          <w:w w:val="100"/>
        </w:rPr>
        <w:t>. These constants are hardware dependent and cannot be changed during operation.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3300"/>
        <w:gridCol w:w="3380"/>
      </w:tblGrid>
      <w:tr w:rsidR="000D1D35" w:rsidTr="00D800B7">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1"/>
              <w:numPr>
                <w:ilvl w:val="0"/>
                <w:numId w:val="7"/>
              </w:numPr>
            </w:pPr>
            <w:bookmarkStart w:id="3" w:name="RTF38393239353a205461626c65"/>
            <w:r w:rsidRPr="0074633F">
              <w:rPr>
                <w:w w:val="100"/>
              </w:rPr>
              <w:t>PHY constants</w:t>
            </w:r>
            <w:r w:rsidRPr="0074633F">
              <w:rPr>
                <w:w w:val="100"/>
              </w:rPr>
              <w:fldChar w:fldCharType="begin"/>
            </w:r>
            <w:r w:rsidRPr="0074633F">
              <w:rPr>
                <w:w w:val="100"/>
              </w:rPr>
              <w:instrText xml:space="preserve"> FILENAME </w:instrText>
            </w:r>
            <w:r w:rsidRPr="0074633F">
              <w:rPr>
                <w:w w:val="100"/>
              </w:rPr>
              <w:fldChar w:fldCharType="separate"/>
            </w:r>
            <w:r w:rsidRPr="0074633F">
              <w:rPr>
                <w:w w:val="100"/>
              </w:rPr>
              <w:t> </w:t>
            </w:r>
            <w:r w:rsidRPr="0074633F">
              <w:rPr>
                <w:w w:val="100"/>
              </w:rPr>
              <w:fldChar w:fldCharType="end"/>
            </w:r>
            <w:bookmarkEnd w:id="3"/>
          </w:p>
        </w:tc>
      </w:tr>
      <w:tr w:rsidR="000D1D35" w:rsidTr="00D800B7">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Constant</w:t>
            </w:r>
          </w:p>
        </w:tc>
        <w:tc>
          <w:tcPr>
            <w:tcW w:w="3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Description</w:t>
            </w:r>
          </w:p>
        </w:tc>
        <w:tc>
          <w:tcPr>
            <w:tcW w:w="3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Value</w:t>
            </w:r>
          </w:p>
        </w:tc>
      </w:tr>
      <w:tr w:rsidR="000D1D35" w:rsidTr="00D800B7">
        <w:trPr>
          <w:trHeight w:val="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i/>
                <w:iCs/>
              </w:rPr>
            </w:pPr>
            <w:proofErr w:type="spellStart"/>
            <w:r w:rsidRPr="0074633F">
              <w:rPr>
                <w:rStyle w:val="Emphasis"/>
                <w:w w:val="100"/>
              </w:rPr>
              <w:t>aMaxPHYPacketSize</w:t>
            </w:r>
            <w:proofErr w:type="spellEnd"/>
          </w:p>
        </w:tc>
        <w:tc>
          <w:tcPr>
            <w:tcW w:w="3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The maximum PSDU size (in octets) the PHY shall be able to receive.</w:t>
            </w:r>
          </w:p>
        </w:tc>
        <w:tc>
          <w:tcPr>
            <w:tcW w:w="3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2047 for SUN, TVWS, RCC</w:t>
            </w:r>
            <w:r w:rsidRPr="0074633F">
              <w:rPr>
                <w:color w:val="FF0000"/>
                <w:w w:val="100"/>
                <w:u w:val="single"/>
              </w:rPr>
              <w:t>,</w:t>
            </w:r>
            <w:r w:rsidRPr="0074633F">
              <w:rPr>
                <w:w w:val="100"/>
              </w:rPr>
              <w:t xml:space="preserve"> </w:t>
            </w:r>
            <w:r w:rsidRPr="0074633F">
              <w:rPr>
                <w:strike/>
                <w:color w:val="FF0000"/>
                <w:w w:val="100"/>
              </w:rPr>
              <w:t>and</w:t>
            </w:r>
            <w:r w:rsidRPr="0074633F">
              <w:rPr>
                <w:w w:val="100"/>
              </w:rPr>
              <w:t xml:space="preserve"> LECIM FSK</w:t>
            </w:r>
            <w:r w:rsidRPr="0074633F">
              <w:rPr>
                <w:color w:val="FF0000"/>
                <w:w w:val="100"/>
                <w:u w:val="single"/>
              </w:rPr>
              <w:t>, and 2450 MHz, 2000 kb/s MSK</w:t>
            </w:r>
            <w:r w:rsidRPr="0074633F">
              <w:rPr>
                <w:w w:val="100"/>
              </w:rPr>
              <w:t xml:space="preserve"> </w:t>
            </w:r>
            <w:proofErr w:type="spellStart"/>
            <w:r w:rsidRPr="0074633F">
              <w:rPr>
                <w:w w:val="100"/>
              </w:rPr>
              <w:t>PHYs.</w:t>
            </w:r>
            <w:proofErr w:type="spellEnd"/>
            <w:r w:rsidRPr="0074633F">
              <w:rPr>
                <w:w w:val="100"/>
              </w:rPr>
              <w:t xml:space="preserve"> For LECIM DSSS PHY, this is not a constant; refer to </w:t>
            </w:r>
            <w:proofErr w:type="spellStart"/>
            <w:r w:rsidRPr="0074633F">
              <w:rPr>
                <w:i/>
                <w:iCs/>
                <w:w w:val="100"/>
              </w:rPr>
              <w:t>phyLecimDsssPsduSize</w:t>
            </w:r>
            <w:proofErr w:type="spellEnd"/>
            <w:r w:rsidRPr="0074633F">
              <w:rPr>
                <w:w w:val="100"/>
              </w:rPr>
              <w:t>. 127 for all other PHYs</w:t>
            </w:r>
          </w:p>
        </w:tc>
      </w:tr>
      <w:tr w:rsidR="000D1D35" w:rsidTr="00D800B7">
        <w:trPr>
          <w:trHeight w:val="21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i/>
                <w:iCs/>
              </w:rPr>
            </w:pPr>
            <w:proofErr w:type="spellStart"/>
            <w:r w:rsidRPr="0074633F">
              <w:rPr>
                <w:i/>
                <w:iCs/>
                <w:w w:val="100"/>
              </w:rPr>
              <w:t>aTurnaroundTime</w:t>
            </w:r>
            <w:proofErr w:type="spellEnd"/>
          </w:p>
        </w:tc>
        <w:tc>
          <w:tcPr>
            <w:tcW w:w="3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RX-to-TX or TX-to-RX turnaround time (in symbol periods), as defined in 10.2.1 and 10.2.2</w:t>
            </w:r>
          </w:p>
        </w:tc>
        <w:tc>
          <w:tcPr>
            <w:tcW w:w="3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For the SUN, TVWS and LECIM FSK PHYs, the value is 1 </w:t>
            </w:r>
            <w:proofErr w:type="spellStart"/>
            <w:r w:rsidRPr="0074633F">
              <w:rPr>
                <w:w w:val="100"/>
              </w:rPr>
              <w:t>ms</w:t>
            </w:r>
            <w:proofErr w:type="spellEnd"/>
            <w:r w:rsidRPr="0074633F">
              <w:rPr>
                <w:w w:val="100"/>
              </w:rPr>
              <w:t xml:space="preserve"> expressed in symbol periods, rounded up to the next integer number of symbol periods using the ceiling() function.</w:t>
            </w:r>
            <w:r w:rsidRPr="0074633F">
              <w:rPr>
                <w:w w:val="100"/>
                <w:vertAlign w:val="superscript"/>
              </w:rPr>
              <w:footnoteReference w:id="1"/>
            </w:r>
            <w:r w:rsidRPr="0074633F">
              <w:rPr>
                <w:w w:val="100"/>
              </w:rPr>
              <w:t xml:space="preserve"> For the LECIM DSSS PHY, the value is 1 </w:t>
            </w:r>
            <w:proofErr w:type="spellStart"/>
            <w:r w:rsidRPr="0074633F">
              <w:rPr>
                <w:w w:val="100"/>
              </w:rPr>
              <w:t>ms</w:t>
            </w:r>
            <w:proofErr w:type="spellEnd"/>
            <w:r w:rsidRPr="0074633F">
              <w:rPr>
                <w:w w:val="100"/>
              </w:rPr>
              <w:t xml:space="preserve"> expressed in modulation symbol periods, rounded up to the next integer number of symbol periods using the ceiling() function. </w:t>
            </w:r>
            <w:r w:rsidRPr="0074633F">
              <w:rPr>
                <w:color w:val="FF0000"/>
                <w:w w:val="100"/>
                <w:u w:val="single"/>
              </w:rPr>
              <w:t xml:space="preserve">For the 2450 MHz, 2000 kb/s MSK PHY, the value is 384 symbol periods. </w:t>
            </w:r>
            <w:r w:rsidRPr="0074633F">
              <w:rPr>
                <w:w w:val="100"/>
              </w:rPr>
              <w:t xml:space="preserve">The value is 12 for all other </w:t>
            </w:r>
            <w:proofErr w:type="spellStart"/>
            <w:r w:rsidRPr="0074633F">
              <w:rPr>
                <w:w w:val="100"/>
              </w:rPr>
              <w:t>PHYs.</w:t>
            </w:r>
            <w:proofErr w:type="spellEnd"/>
          </w:p>
        </w:tc>
      </w:tr>
      <w:tr w:rsidR="000D1D35" w:rsidTr="00D800B7">
        <w:trPr>
          <w:trHeight w:val="5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i/>
                <w:iCs/>
              </w:rPr>
            </w:pPr>
            <w:proofErr w:type="spellStart"/>
            <w:r w:rsidRPr="0074633F">
              <w:rPr>
                <w:i/>
                <w:iCs/>
                <w:w w:val="100"/>
              </w:rPr>
              <w:t>aLeipDelayTime</w:t>
            </w:r>
            <w:proofErr w:type="spellEnd"/>
          </w:p>
        </w:tc>
        <w:tc>
          <w:tcPr>
            <w:tcW w:w="3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The delay between the start of the SFD and the LEIP, as described in 19.6.</w:t>
            </w:r>
          </w:p>
        </w:tc>
        <w:tc>
          <w:tcPr>
            <w:tcW w:w="3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0.815 </w:t>
            </w:r>
            <w:proofErr w:type="spellStart"/>
            <w:r w:rsidRPr="0074633F">
              <w:rPr>
                <w:w w:val="100"/>
              </w:rPr>
              <w:t>ms</w:t>
            </w:r>
            <w:proofErr w:type="spellEnd"/>
          </w:p>
        </w:tc>
      </w:tr>
      <w:tr w:rsidR="000D1D35" w:rsidTr="00D800B7">
        <w:trPr>
          <w:trHeight w:val="1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i/>
                <w:iCs/>
              </w:rPr>
            </w:pPr>
            <w:proofErr w:type="spellStart"/>
            <w:r w:rsidRPr="0074633F">
              <w:rPr>
                <w:i/>
                <w:iCs/>
                <w:w w:val="100"/>
              </w:rPr>
              <w:t>aCCATime</w:t>
            </w:r>
            <w:proofErr w:type="spellEnd"/>
          </w:p>
        </w:tc>
        <w:tc>
          <w:tcPr>
            <w:tcW w:w="3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The time required to perform CCA detection.</w:t>
            </w:r>
          </w:p>
        </w:tc>
        <w:tc>
          <w:tcPr>
            <w:tcW w:w="33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For the SUN PHYs other than SUN O-QPSK, the duration of 8 symbol periods, as defined in 6.1. For the SUN O-QPSK PHY, this value is defined in Table 22-24. For all other PHYs, the duration of 8 symbol periods.</w:t>
            </w:r>
          </w:p>
        </w:tc>
      </w:tr>
    </w:tbl>
    <w:p w:rsidR="000D1D35" w:rsidRDefault="000D1D35" w:rsidP="000D1D35">
      <w:pPr>
        <w:pStyle w:val="H1"/>
        <w:numPr>
          <w:ilvl w:val="0"/>
          <w:numId w:val="8"/>
        </w:numPr>
        <w:rPr>
          <w:w w:val="100"/>
        </w:rPr>
      </w:pPr>
      <w:bookmarkStart w:id="4" w:name="RTF32323535353a2048312c3173"/>
      <w:r>
        <w:rPr>
          <w:w w:val="100"/>
        </w:rPr>
        <w:lastRenderedPageBreak/>
        <w:t>MSK PHY</w:t>
      </w:r>
      <w:bookmarkEnd w:id="4"/>
    </w:p>
    <w:p w:rsidR="000D1D35" w:rsidRDefault="000D1D35" w:rsidP="000D1D35">
      <w:pPr>
        <w:pStyle w:val="H2"/>
        <w:numPr>
          <w:ilvl w:val="0"/>
          <w:numId w:val="9"/>
        </w:numPr>
        <w:spacing w:before="0"/>
        <w:rPr>
          <w:w w:val="100"/>
        </w:rPr>
      </w:pPr>
      <w:bookmarkStart w:id="5" w:name="RTF5f546f633330343330323935"/>
      <w:r>
        <w:rPr>
          <w:w w:val="100"/>
        </w:rPr>
        <w:t>PPD</w:t>
      </w:r>
      <w:bookmarkEnd w:id="5"/>
      <w:r>
        <w:rPr>
          <w:w w:val="100"/>
        </w:rPr>
        <w:t>U formats</w:t>
      </w:r>
    </w:p>
    <w:p w:rsidR="000D1D35" w:rsidRPr="008A2A0B" w:rsidRDefault="000D1D35" w:rsidP="000D1D35">
      <w:pPr>
        <w:pStyle w:val="T"/>
        <w:spacing w:before="0"/>
        <w:rPr>
          <w:color w:val="FF0000"/>
          <w:w w:val="100"/>
          <w:u w:val="single"/>
        </w:rPr>
      </w:pPr>
      <w:r>
        <w:rPr>
          <w:w w:val="100"/>
        </w:rPr>
        <w:t>The MSK PHY shall use the PPDU formats described in 12.1, except that the Preamble field is 32 symbols (4</w:t>
      </w:r>
      <w:r>
        <w:rPr>
          <w:w w:val="30"/>
        </w:rPr>
        <w:t> </w:t>
      </w:r>
      <w:r>
        <w:rPr>
          <w:w w:val="100"/>
        </w:rPr>
        <w:t xml:space="preserve">octets) and the bits in each octet shall be “10101010.”  </w:t>
      </w:r>
      <w:r w:rsidRPr="008A2A0B">
        <w:rPr>
          <w:color w:val="FF0000"/>
          <w:w w:val="100"/>
          <w:u w:val="single"/>
        </w:rPr>
        <w:t>In addition, the PHR field format for the 2450 MHz, 2000 kb/s PHY shall be as described in 18.1.1.</w:t>
      </w:r>
    </w:p>
    <w:p w:rsidR="000D1D35" w:rsidRPr="008A2A0B" w:rsidRDefault="000D1D35" w:rsidP="000D1D35">
      <w:pPr>
        <w:pStyle w:val="H3"/>
        <w:spacing w:before="0"/>
        <w:rPr>
          <w:color w:val="FF0000"/>
          <w:w w:val="100"/>
          <w:u w:val="single"/>
        </w:rPr>
      </w:pPr>
      <w:r w:rsidRPr="008A2A0B">
        <w:rPr>
          <w:color w:val="FF0000"/>
          <w:w w:val="100"/>
          <w:u w:val="single"/>
        </w:rPr>
        <w:t>18.1.1 2450 MHz, 2000 kb/s PHY PHR field format</w:t>
      </w:r>
    </w:p>
    <w:p w:rsidR="000D1D35" w:rsidRPr="008A2A0B" w:rsidRDefault="000D1D35" w:rsidP="000D1D35">
      <w:pPr>
        <w:pStyle w:val="T"/>
        <w:spacing w:before="0"/>
        <w:rPr>
          <w:color w:val="FF0000"/>
          <w:u w:val="single"/>
        </w:rPr>
      </w:pPr>
      <w:r w:rsidRPr="008A2A0B">
        <w:rPr>
          <w:color w:val="FF0000"/>
          <w:u w:val="single"/>
        </w:rPr>
        <w:t>The PHR field for the 2450 MHz, 2000 kb/s PHY shall be formatted as illustrated in Figure 18-X.</w:t>
      </w:r>
    </w:p>
    <w:tbl>
      <w:tblPr>
        <w:tblW w:w="0" w:type="auto"/>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top w:w="120" w:type="dxa"/>
          <w:left w:w="120" w:type="dxa"/>
          <w:bottom w:w="80" w:type="dxa"/>
          <w:right w:w="120" w:type="dxa"/>
        </w:tblCellMar>
        <w:tblLook w:val="0000" w:firstRow="0" w:lastRow="0" w:firstColumn="0" w:lastColumn="0" w:noHBand="0" w:noVBand="0"/>
      </w:tblPr>
      <w:tblGrid>
        <w:gridCol w:w="1829"/>
        <w:gridCol w:w="1407"/>
        <w:gridCol w:w="1869"/>
        <w:gridCol w:w="944"/>
      </w:tblGrid>
      <w:tr w:rsidR="000D1D35" w:rsidRPr="008A2A0B" w:rsidTr="00E45088">
        <w:trPr>
          <w:trHeight w:val="413"/>
          <w:jc w:val="center"/>
        </w:trPr>
        <w:tc>
          <w:tcPr>
            <w:tcW w:w="1829" w:type="dxa"/>
            <w:tcMar>
              <w:top w:w="160" w:type="dxa"/>
              <w:left w:w="120" w:type="dxa"/>
              <w:bottom w:w="120" w:type="dxa"/>
              <w:right w:w="120" w:type="dxa"/>
            </w:tcMar>
            <w:vAlign w:val="center"/>
          </w:tcPr>
          <w:p w:rsidR="000D1D35" w:rsidRPr="0074633F" w:rsidRDefault="000D1D35" w:rsidP="00D800B7">
            <w:pPr>
              <w:pStyle w:val="CellHeading"/>
              <w:rPr>
                <w:color w:val="FF0000"/>
                <w:u w:val="single"/>
              </w:rPr>
            </w:pPr>
            <w:r w:rsidRPr="0074633F">
              <w:rPr>
                <w:color w:val="FF0000"/>
                <w:w w:val="100"/>
                <w:u w:val="single"/>
              </w:rPr>
              <w:t>Bits: 0-6</w:t>
            </w:r>
          </w:p>
        </w:tc>
        <w:tc>
          <w:tcPr>
            <w:tcW w:w="1407" w:type="dxa"/>
            <w:tcMar>
              <w:top w:w="160" w:type="dxa"/>
              <w:left w:w="120" w:type="dxa"/>
              <w:bottom w:w="120" w:type="dxa"/>
              <w:right w:w="120" w:type="dxa"/>
            </w:tcMar>
            <w:vAlign w:val="center"/>
          </w:tcPr>
          <w:p w:rsidR="000D1D35" w:rsidRPr="0074633F" w:rsidRDefault="000D1D35" w:rsidP="00D800B7">
            <w:pPr>
              <w:pStyle w:val="CellHeading"/>
              <w:rPr>
                <w:color w:val="FF0000"/>
                <w:u w:val="single"/>
              </w:rPr>
            </w:pPr>
            <w:r w:rsidRPr="0074633F">
              <w:rPr>
                <w:color w:val="FF0000"/>
                <w:w w:val="100"/>
                <w:u w:val="single"/>
              </w:rPr>
              <w:t>7</w:t>
            </w:r>
          </w:p>
        </w:tc>
        <w:tc>
          <w:tcPr>
            <w:tcW w:w="1869" w:type="dxa"/>
            <w:vAlign w:val="center"/>
          </w:tcPr>
          <w:p w:rsidR="000D1D35" w:rsidRPr="0074633F" w:rsidRDefault="000D1D35" w:rsidP="00D800B7">
            <w:pPr>
              <w:pStyle w:val="CellHeading"/>
              <w:tabs>
                <w:tab w:val="left" w:pos="190"/>
                <w:tab w:val="center" w:pos="580"/>
              </w:tabs>
              <w:rPr>
                <w:color w:val="FF0000"/>
                <w:w w:val="100"/>
                <w:u w:val="single"/>
              </w:rPr>
            </w:pPr>
            <w:r w:rsidRPr="0074633F">
              <w:rPr>
                <w:color w:val="FF0000"/>
                <w:w w:val="100"/>
                <w:u w:val="single"/>
              </w:rPr>
              <w:t>8-11</w:t>
            </w:r>
          </w:p>
        </w:tc>
        <w:tc>
          <w:tcPr>
            <w:tcW w:w="944" w:type="dxa"/>
            <w:vAlign w:val="center"/>
          </w:tcPr>
          <w:p w:rsidR="000D1D35" w:rsidRPr="0074633F" w:rsidRDefault="000D1D35" w:rsidP="00D800B7">
            <w:pPr>
              <w:pStyle w:val="CellHeading"/>
              <w:rPr>
                <w:color w:val="FF0000"/>
                <w:w w:val="100"/>
                <w:u w:val="single"/>
              </w:rPr>
            </w:pPr>
            <w:r w:rsidRPr="0074633F">
              <w:rPr>
                <w:color w:val="FF0000"/>
                <w:w w:val="100"/>
                <w:u w:val="single"/>
              </w:rPr>
              <w:t>12-15</w:t>
            </w:r>
          </w:p>
        </w:tc>
        <w:bookmarkStart w:id="6" w:name="_GoBack"/>
        <w:bookmarkEnd w:id="6"/>
      </w:tr>
      <w:tr w:rsidR="000D1D35" w:rsidRPr="008A2A0B" w:rsidTr="00E45088">
        <w:trPr>
          <w:trHeight w:val="353"/>
          <w:jc w:val="center"/>
        </w:trPr>
        <w:tc>
          <w:tcPr>
            <w:tcW w:w="1829" w:type="dxa"/>
            <w:tcMar>
              <w:top w:w="120" w:type="dxa"/>
              <w:left w:w="120" w:type="dxa"/>
              <w:bottom w:w="80" w:type="dxa"/>
              <w:right w:w="120" w:type="dxa"/>
            </w:tcMar>
          </w:tcPr>
          <w:p w:rsidR="000D1D35" w:rsidRPr="0074633F" w:rsidRDefault="000D1D35" w:rsidP="00D800B7">
            <w:pPr>
              <w:pStyle w:val="CellBodyCenter"/>
              <w:rPr>
                <w:color w:val="FF0000"/>
                <w:u w:val="single"/>
              </w:rPr>
            </w:pPr>
            <w:r w:rsidRPr="0074633F">
              <w:rPr>
                <w:color w:val="FF0000"/>
                <w:w w:val="100"/>
                <w:u w:val="single"/>
              </w:rPr>
              <w:t>Frame Length LSB</w:t>
            </w:r>
          </w:p>
        </w:tc>
        <w:tc>
          <w:tcPr>
            <w:tcW w:w="1407" w:type="dxa"/>
            <w:tcMar>
              <w:top w:w="120" w:type="dxa"/>
              <w:left w:w="120" w:type="dxa"/>
              <w:bottom w:w="80" w:type="dxa"/>
              <w:right w:w="120" w:type="dxa"/>
            </w:tcMar>
          </w:tcPr>
          <w:p w:rsidR="000D1D35" w:rsidRPr="0074633F" w:rsidRDefault="000D1D35" w:rsidP="00D800B7">
            <w:pPr>
              <w:pStyle w:val="CellBodyCenter"/>
              <w:rPr>
                <w:color w:val="FF0000"/>
                <w:u w:val="single"/>
              </w:rPr>
            </w:pPr>
            <w:r w:rsidRPr="0074633F">
              <w:rPr>
                <w:color w:val="FF0000"/>
                <w:w w:val="100"/>
                <w:u w:val="single"/>
              </w:rPr>
              <w:t>Extended PHR</w:t>
            </w:r>
          </w:p>
        </w:tc>
        <w:tc>
          <w:tcPr>
            <w:tcW w:w="1869" w:type="dxa"/>
          </w:tcPr>
          <w:p w:rsidR="000D1D35" w:rsidRPr="0074633F" w:rsidRDefault="000D1D35" w:rsidP="00D800B7">
            <w:pPr>
              <w:pStyle w:val="CellBodyCenter"/>
              <w:rPr>
                <w:color w:val="FF0000"/>
                <w:w w:val="100"/>
                <w:u w:val="single"/>
              </w:rPr>
            </w:pPr>
            <w:r w:rsidRPr="0074633F">
              <w:rPr>
                <w:color w:val="FF0000"/>
                <w:w w:val="100"/>
                <w:u w:val="single"/>
              </w:rPr>
              <w:t>Frame Length MSB</w:t>
            </w:r>
          </w:p>
        </w:tc>
        <w:tc>
          <w:tcPr>
            <w:tcW w:w="944" w:type="dxa"/>
          </w:tcPr>
          <w:p w:rsidR="000D1D35" w:rsidRPr="0074633F" w:rsidRDefault="000D1D35" w:rsidP="00D800B7">
            <w:pPr>
              <w:pStyle w:val="CellBodyCenter"/>
              <w:rPr>
                <w:color w:val="FF0000"/>
                <w:w w:val="100"/>
                <w:u w:val="single"/>
              </w:rPr>
            </w:pPr>
            <w:r w:rsidRPr="0074633F">
              <w:rPr>
                <w:color w:val="FF0000"/>
                <w:w w:val="100"/>
                <w:u w:val="single"/>
              </w:rPr>
              <w:t>Reserved</w:t>
            </w:r>
          </w:p>
        </w:tc>
      </w:tr>
    </w:tbl>
    <w:p w:rsidR="000D1D35" w:rsidRPr="008A2A0B" w:rsidRDefault="000D1D35" w:rsidP="000D1D35">
      <w:pPr>
        <w:pStyle w:val="Caption"/>
        <w:spacing w:before="120"/>
        <w:jc w:val="center"/>
        <w:rPr>
          <w:rFonts w:ascii="Arial" w:hAnsi="Arial" w:cs="Arial"/>
          <w:color w:val="FF0000"/>
          <w:u w:val="single"/>
        </w:rPr>
      </w:pPr>
      <w:r>
        <w:rPr>
          <w:rFonts w:ascii="Arial" w:hAnsi="Arial" w:cs="Arial"/>
          <w:color w:val="FF0000"/>
          <w:u w:val="single"/>
        </w:rPr>
        <w:t>Figure</w:t>
      </w:r>
      <w:r w:rsidRPr="008A2A0B">
        <w:rPr>
          <w:rFonts w:ascii="Arial" w:hAnsi="Arial" w:cs="Arial"/>
          <w:color w:val="FF0000"/>
          <w:u w:val="single"/>
        </w:rPr>
        <w:t xml:space="preserve"> 18</w:t>
      </w:r>
      <w:r w:rsidRPr="008A2A0B">
        <w:rPr>
          <w:rFonts w:ascii="Arial" w:hAnsi="Arial" w:cs="Arial"/>
          <w:color w:val="FF0000"/>
          <w:u w:val="single"/>
        </w:rPr>
        <w:noBreakHyphen/>
        <w:t>X:  Format of the PHR</w:t>
      </w:r>
    </w:p>
    <w:p w:rsidR="000D1D35" w:rsidRPr="008A2A0B" w:rsidRDefault="000D1D35" w:rsidP="000D1D35">
      <w:pPr>
        <w:pStyle w:val="H4"/>
        <w:spacing w:before="0"/>
        <w:rPr>
          <w:color w:val="FF0000"/>
          <w:u w:val="single"/>
        </w:rPr>
      </w:pPr>
      <w:r w:rsidRPr="008A2A0B">
        <w:rPr>
          <w:color w:val="FF0000"/>
          <w:u w:val="single"/>
        </w:rPr>
        <w:t>18.1.1.1 Frame Length LSB Field</w:t>
      </w:r>
    </w:p>
    <w:p w:rsidR="000D1D35" w:rsidRPr="008A2A0B" w:rsidRDefault="000D1D35" w:rsidP="000D1D35">
      <w:pPr>
        <w:pStyle w:val="T"/>
        <w:spacing w:before="0"/>
        <w:rPr>
          <w:color w:val="FF0000"/>
          <w:u w:val="single"/>
        </w:rPr>
      </w:pPr>
      <w:r w:rsidRPr="008A2A0B">
        <w:rPr>
          <w:color w:val="FF0000"/>
          <w:u w:val="single"/>
        </w:rPr>
        <w:t>The Frame Length is defined as the total number of octets contained in the PSDU (i.e., PHY payload).  The Frame Length LSB Field specifies the lower seven bits of the Frame Length.</w:t>
      </w:r>
    </w:p>
    <w:p w:rsidR="000D1D35" w:rsidRPr="008A2A0B" w:rsidRDefault="000D1D35" w:rsidP="000D1D35">
      <w:pPr>
        <w:pStyle w:val="H4"/>
        <w:spacing w:before="0"/>
        <w:rPr>
          <w:color w:val="FF0000"/>
          <w:u w:val="single"/>
        </w:rPr>
      </w:pPr>
      <w:r w:rsidRPr="008A2A0B">
        <w:rPr>
          <w:color w:val="FF0000"/>
          <w:u w:val="single"/>
        </w:rPr>
        <w:t>18.1.1.2 Extended PHR Field</w:t>
      </w:r>
    </w:p>
    <w:p w:rsidR="000D1D35" w:rsidRDefault="000D1D35" w:rsidP="000D1D35">
      <w:pPr>
        <w:pStyle w:val="T"/>
        <w:spacing w:before="0"/>
        <w:rPr>
          <w:color w:val="FF0000"/>
          <w:u w:val="single"/>
        </w:rPr>
      </w:pPr>
      <w:r w:rsidRPr="008A2A0B">
        <w:rPr>
          <w:color w:val="FF0000"/>
          <w:u w:val="single"/>
        </w:rPr>
        <w:t>The</w:t>
      </w:r>
      <w:r>
        <w:rPr>
          <w:color w:val="FF0000"/>
          <w:u w:val="single"/>
        </w:rPr>
        <w:t xml:space="preserve"> Extended PHR Field shall be set to one if the Frame Length MSB field follows, and shall be set to zero otherwise.  Note that this field also indicates the length of the FCS (7.2.10).</w:t>
      </w:r>
    </w:p>
    <w:p w:rsidR="000D1D35" w:rsidRPr="008A2A0B" w:rsidRDefault="000D1D35" w:rsidP="000D1D35">
      <w:pPr>
        <w:pStyle w:val="H4"/>
        <w:spacing w:before="0"/>
        <w:rPr>
          <w:color w:val="FF0000"/>
          <w:u w:val="single"/>
        </w:rPr>
      </w:pPr>
      <w:r w:rsidRPr="008A2A0B">
        <w:rPr>
          <w:color w:val="FF0000"/>
          <w:u w:val="single"/>
        </w:rPr>
        <w:t>18.1.1.</w:t>
      </w:r>
      <w:r>
        <w:rPr>
          <w:color w:val="FF0000"/>
          <w:u w:val="single"/>
        </w:rPr>
        <w:t>3</w:t>
      </w:r>
      <w:r w:rsidRPr="008A2A0B">
        <w:rPr>
          <w:color w:val="FF0000"/>
          <w:u w:val="single"/>
        </w:rPr>
        <w:t xml:space="preserve"> Frame Length </w:t>
      </w:r>
      <w:r>
        <w:rPr>
          <w:color w:val="FF0000"/>
          <w:u w:val="single"/>
        </w:rPr>
        <w:t>M</w:t>
      </w:r>
      <w:r w:rsidRPr="008A2A0B">
        <w:rPr>
          <w:color w:val="FF0000"/>
          <w:u w:val="single"/>
        </w:rPr>
        <w:t>SB Field</w:t>
      </w:r>
    </w:p>
    <w:p w:rsidR="000D1D35" w:rsidRPr="008A2A0B" w:rsidRDefault="000D1D35" w:rsidP="000D1D35">
      <w:pPr>
        <w:pStyle w:val="T"/>
        <w:spacing w:before="0"/>
        <w:rPr>
          <w:color w:val="FF0000"/>
          <w:u w:val="single"/>
        </w:rPr>
      </w:pPr>
      <w:r>
        <w:rPr>
          <w:color w:val="FF0000"/>
          <w:u w:val="single"/>
        </w:rPr>
        <w:t>T</w:t>
      </w:r>
      <w:r w:rsidRPr="008A2A0B">
        <w:rPr>
          <w:color w:val="FF0000"/>
          <w:u w:val="single"/>
        </w:rPr>
        <w:t xml:space="preserve">he Frame Length </w:t>
      </w:r>
      <w:r>
        <w:rPr>
          <w:color w:val="FF0000"/>
          <w:u w:val="single"/>
        </w:rPr>
        <w:t>M</w:t>
      </w:r>
      <w:r w:rsidRPr="008A2A0B">
        <w:rPr>
          <w:color w:val="FF0000"/>
          <w:u w:val="single"/>
        </w:rPr>
        <w:t xml:space="preserve">SB Field specifies the </w:t>
      </w:r>
      <w:r>
        <w:rPr>
          <w:color w:val="FF0000"/>
          <w:u w:val="single"/>
        </w:rPr>
        <w:t>upper</w:t>
      </w:r>
      <w:r w:rsidRPr="008A2A0B">
        <w:rPr>
          <w:color w:val="FF0000"/>
          <w:u w:val="single"/>
        </w:rPr>
        <w:t xml:space="preserve"> </w:t>
      </w:r>
      <w:r>
        <w:rPr>
          <w:color w:val="FF0000"/>
          <w:u w:val="single"/>
        </w:rPr>
        <w:t>four</w:t>
      </w:r>
      <w:r w:rsidRPr="008A2A0B">
        <w:rPr>
          <w:color w:val="FF0000"/>
          <w:u w:val="single"/>
        </w:rPr>
        <w:t xml:space="preserve"> bits of the Frame Length</w:t>
      </w:r>
      <w:r>
        <w:rPr>
          <w:color w:val="FF0000"/>
          <w:u w:val="single"/>
        </w:rPr>
        <w:t xml:space="preserve"> (18.1.1.1)</w:t>
      </w:r>
      <w:r w:rsidRPr="008A2A0B">
        <w:rPr>
          <w:color w:val="FF0000"/>
          <w:u w:val="single"/>
        </w:rPr>
        <w:t>.</w:t>
      </w:r>
    </w:p>
    <w:p w:rsidR="000D1D35" w:rsidRPr="00F20E8D" w:rsidRDefault="000D1D35" w:rsidP="000D1D35">
      <w:pPr>
        <w:pStyle w:val="H2"/>
        <w:numPr>
          <w:ilvl w:val="0"/>
          <w:numId w:val="10"/>
        </w:numPr>
        <w:rPr>
          <w:w w:val="100"/>
        </w:rPr>
      </w:pPr>
      <w:r>
        <w:rPr>
          <w:w w:val="100"/>
        </w:rPr>
        <w:t>Data rate</w:t>
      </w: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r>
        <w:rPr>
          <w:w w:val="100"/>
        </w:rPr>
        <w:t xml:space="preserve">The default data rate of the MSK PHY shall be 250 kb/s. Additional optional data rates for the 433 MHz </w:t>
      </w:r>
      <w:r>
        <w:rPr>
          <w:color w:val="FF0000"/>
          <w:w w:val="100"/>
          <w:u w:val="single"/>
        </w:rPr>
        <w:t xml:space="preserve">and 2450 MHz </w:t>
      </w:r>
      <w:r>
        <w:rPr>
          <w:w w:val="100"/>
        </w:rPr>
        <w:t>band</w:t>
      </w:r>
      <w:r>
        <w:rPr>
          <w:color w:val="FF0000"/>
          <w:w w:val="100"/>
          <w:u w:val="single"/>
        </w:rPr>
        <w:t>s</w:t>
      </w:r>
      <w:r>
        <w:rPr>
          <w:w w:val="100"/>
        </w:rPr>
        <w:t xml:space="preserve"> are shown in </w:t>
      </w:r>
      <w:r>
        <w:rPr>
          <w:w w:val="100"/>
        </w:rPr>
        <w:fldChar w:fldCharType="begin"/>
      </w:r>
      <w:r>
        <w:rPr>
          <w:w w:val="100"/>
        </w:rPr>
        <w:instrText xml:space="preserve"> REF  RTF36303830383a205461626c65 \h</w:instrText>
      </w:r>
      <w:r>
        <w:rPr>
          <w:w w:val="100"/>
        </w:rPr>
      </w:r>
      <w:r>
        <w:rPr>
          <w:w w:val="100"/>
        </w:rPr>
        <w:fldChar w:fldCharType="separate"/>
      </w:r>
      <w:r>
        <w:rPr>
          <w:w w:val="100"/>
        </w:rPr>
        <w:t>Table 18-1</w:t>
      </w:r>
      <w:r>
        <w:rPr>
          <w:w w:val="100"/>
        </w:rPr>
        <w:fldChar w:fldCharType="end"/>
      </w:r>
      <w:r>
        <w:rPr>
          <w:w w:val="100"/>
        </w:rPr>
        <w:t>.</w:t>
      </w: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20"/>
        <w:gridCol w:w="1460"/>
        <w:gridCol w:w="1460"/>
      </w:tblGrid>
      <w:tr w:rsidR="000D1D35" w:rsidTr="00D800B7">
        <w:trPr>
          <w:jc w:val="center"/>
        </w:trPr>
        <w:tc>
          <w:tcPr>
            <w:tcW w:w="5180" w:type="dxa"/>
            <w:gridSpan w:val="2"/>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1"/>
              <w:numPr>
                <w:ilvl w:val="0"/>
                <w:numId w:val="11"/>
              </w:numPr>
            </w:pPr>
            <w:bookmarkStart w:id="7" w:name="RTF36303830383a205461626c65"/>
            <w:r w:rsidRPr="0074633F">
              <w:rPr>
                <w:w w:val="100"/>
              </w:rPr>
              <w:t>Data rates for MSK PHY</w:t>
            </w:r>
            <w:bookmarkEnd w:id="7"/>
          </w:p>
        </w:tc>
        <w:tc>
          <w:tcPr>
            <w:tcW w:w="1460" w:type="dxa"/>
            <w:tcBorders>
              <w:top w:val="nil"/>
              <w:left w:val="nil"/>
              <w:bottom w:val="nil"/>
              <w:right w:val="nil"/>
            </w:tcBorders>
          </w:tcPr>
          <w:p w:rsidR="000D1D35" w:rsidRPr="0074633F" w:rsidRDefault="000D1D35" w:rsidP="00D800B7">
            <w:pPr>
              <w:pStyle w:val="TableTitle1"/>
              <w:jc w:val="left"/>
              <w:rPr>
                <w:w w:val="100"/>
              </w:rPr>
            </w:pPr>
          </w:p>
        </w:tc>
      </w:tr>
      <w:tr w:rsidR="000D1D35" w:rsidTr="00D800B7">
        <w:trPr>
          <w:trHeight w:val="440"/>
          <w:jc w:val="center"/>
        </w:trPr>
        <w:tc>
          <w:tcPr>
            <w:tcW w:w="3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proofErr w:type="spellStart"/>
            <w:r w:rsidRPr="0074633F">
              <w:rPr>
                <w:w w:val="100"/>
              </w:rPr>
              <w:t>DataRate</w:t>
            </w:r>
            <w:proofErr w:type="spellEnd"/>
            <w:r w:rsidRPr="0074633F">
              <w:rPr>
                <w:w w:val="100"/>
              </w:rPr>
              <w:t xml:space="preserve"> as used in MCPS-DATA primitives</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Data rate (kb/s)</w:t>
            </w:r>
          </w:p>
        </w:tc>
        <w:tc>
          <w:tcPr>
            <w:tcW w:w="1460" w:type="dxa"/>
            <w:tcBorders>
              <w:top w:val="single" w:sz="10" w:space="0" w:color="000000"/>
              <w:left w:val="single" w:sz="2" w:space="0" w:color="000000"/>
              <w:bottom w:val="single" w:sz="10" w:space="0" w:color="000000"/>
              <w:right w:val="single" w:sz="10" w:space="0" w:color="000000"/>
            </w:tcBorders>
            <w:vAlign w:val="center"/>
          </w:tcPr>
          <w:p w:rsidR="000D1D35" w:rsidRPr="0074633F" w:rsidRDefault="000D1D35" w:rsidP="00D800B7">
            <w:pPr>
              <w:pStyle w:val="CellHeading"/>
              <w:rPr>
                <w:color w:val="FF0000"/>
                <w:u w:val="single"/>
              </w:rPr>
            </w:pPr>
            <w:r w:rsidRPr="0074633F">
              <w:rPr>
                <w:color w:val="FF0000"/>
                <w:w w:val="100"/>
                <w:u w:val="single"/>
              </w:rPr>
              <w:t>Band (MHz)</w:t>
            </w:r>
          </w:p>
        </w:tc>
      </w:tr>
      <w:tr w:rsidR="000D1D35" w:rsidTr="00D800B7">
        <w:trPr>
          <w:trHeight w:val="440"/>
          <w:jc w:val="center"/>
        </w:trPr>
        <w:tc>
          <w:tcPr>
            <w:tcW w:w="3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1</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31.25</w:t>
            </w:r>
          </w:p>
        </w:tc>
        <w:tc>
          <w:tcPr>
            <w:tcW w:w="1460" w:type="dxa"/>
            <w:tcBorders>
              <w:top w:val="single" w:sz="2" w:space="0" w:color="000000"/>
              <w:left w:val="single" w:sz="2" w:space="0" w:color="000000"/>
              <w:bottom w:val="single" w:sz="2"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433</w:t>
            </w:r>
          </w:p>
        </w:tc>
      </w:tr>
      <w:tr w:rsidR="000D1D35" w:rsidTr="00D800B7">
        <w:trPr>
          <w:trHeight w:val="440"/>
          <w:jc w:val="center"/>
        </w:trPr>
        <w:tc>
          <w:tcPr>
            <w:tcW w:w="3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2</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100</w:t>
            </w:r>
          </w:p>
        </w:tc>
        <w:tc>
          <w:tcPr>
            <w:tcW w:w="1460" w:type="dxa"/>
            <w:tcBorders>
              <w:top w:val="single" w:sz="2" w:space="0" w:color="000000"/>
              <w:left w:val="single" w:sz="2" w:space="0" w:color="000000"/>
              <w:bottom w:val="single" w:sz="2"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433</w:t>
            </w:r>
          </w:p>
        </w:tc>
      </w:tr>
      <w:tr w:rsidR="000D1D35" w:rsidTr="00D800B7">
        <w:trPr>
          <w:trHeight w:val="440"/>
          <w:jc w:val="center"/>
        </w:trPr>
        <w:tc>
          <w:tcPr>
            <w:tcW w:w="3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3</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250</w:t>
            </w:r>
          </w:p>
        </w:tc>
        <w:tc>
          <w:tcPr>
            <w:tcW w:w="1460" w:type="dxa"/>
            <w:tcBorders>
              <w:top w:val="single" w:sz="2" w:space="0" w:color="000000"/>
              <w:left w:val="single" w:sz="2" w:space="0" w:color="000000"/>
              <w:bottom w:val="single" w:sz="2"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433</w:t>
            </w:r>
          </w:p>
        </w:tc>
      </w:tr>
      <w:tr w:rsidR="000D1D35" w:rsidTr="00D800B7">
        <w:trPr>
          <w:trHeight w:val="440"/>
          <w:jc w:val="center"/>
        </w:trPr>
        <w:tc>
          <w:tcPr>
            <w:tcW w:w="3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rPr>
                <w:color w:val="FF0000"/>
                <w:w w:val="100"/>
                <w:u w:val="single"/>
              </w:rPr>
            </w:pPr>
            <w:r w:rsidRPr="0074633F">
              <w:rPr>
                <w:color w:val="FF0000"/>
                <w:w w:val="100"/>
                <w:u w:val="single"/>
              </w:rPr>
              <w:t>4</w:t>
            </w:r>
          </w:p>
        </w:tc>
        <w:tc>
          <w:tcPr>
            <w:tcW w:w="14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rPr>
                <w:color w:val="FF0000"/>
                <w:w w:val="100"/>
                <w:u w:val="single"/>
              </w:rPr>
            </w:pPr>
            <w:r w:rsidRPr="0074633F">
              <w:rPr>
                <w:color w:val="FF0000"/>
                <w:w w:val="100"/>
                <w:u w:val="single"/>
              </w:rPr>
              <w:t>2000</w:t>
            </w:r>
          </w:p>
        </w:tc>
        <w:tc>
          <w:tcPr>
            <w:tcW w:w="1460" w:type="dxa"/>
            <w:tcBorders>
              <w:top w:val="single" w:sz="2" w:space="0" w:color="000000"/>
              <w:left w:val="single" w:sz="2" w:space="0" w:color="000000"/>
              <w:bottom w:val="single" w:sz="10"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2450</w:t>
            </w:r>
          </w:p>
        </w:tc>
      </w:tr>
    </w:tbl>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T"/>
        <w:rPr>
          <w:w w:val="100"/>
        </w:rPr>
      </w:pPr>
      <w:r>
        <w:rPr>
          <w:w w:val="100"/>
        </w:rPr>
        <w:t xml:space="preserve">The optional data rates for the 433 MHz band are not available on all channels. </w:t>
      </w:r>
      <w:r>
        <w:rPr>
          <w:w w:val="100"/>
        </w:rPr>
        <w:fldChar w:fldCharType="begin"/>
      </w:r>
      <w:r>
        <w:rPr>
          <w:w w:val="100"/>
        </w:rPr>
        <w:instrText xml:space="preserve"> REF  RTF32323239313a205461626c65 \h</w:instrText>
      </w:r>
      <w:r>
        <w:rPr>
          <w:w w:val="100"/>
        </w:rPr>
      </w:r>
      <w:r>
        <w:rPr>
          <w:w w:val="100"/>
        </w:rPr>
        <w:fldChar w:fldCharType="separate"/>
      </w:r>
      <w:r>
        <w:rPr>
          <w:w w:val="100"/>
        </w:rPr>
        <w:t>Table 18-2</w:t>
      </w:r>
      <w:r>
        <w:rPr>
          <w:w w:val="100"/>
        </w:rPr>
        <w:fldChar w:fldCharType="end"/>
      </w:r>
      <w:r>
        <w:rPr>
          <w:w w:val="100"/>
        </w:rPr>
        <w:t xml:space="preserve"> shows the allowed data rates for the 433 MHz channels and their associated channel numbers.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40"/>
        <w:gridCol w:w="3100"/>
      </w:tblGrid>
      <w:tr w:rsidR="000D1D35" w:rsidTr="00D800B7">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
              <w:numPr>
                <w:ilvl w:val="0"/>
                <w:numId w:val="12"/>
              </w:numPr>
            </w:pPr>
            <w:bookmarkStart w:id="8" w:name="RTF32323239313a205461626c65"/>
            <w:r w:rsidRPr="0074633F">
              <w:rPr>
                <w:w w:val="100"/>
              </w:rPr>
              <w:t>Data rate channel map</w:t>
            </w:r>
            <w:bookmarkEnd w:id="8"/>
          </w:p>
        </w:tc>
      </w:tr>
      <w:tr w:rsidR="000D1D35" w:rsidTr="00D800B7">
        <w:trPr>
          <w:trHeight w:val="440"/>
          <w:jc w:val="center"/>
        </w:trPr>
        <w:tc>
          <w:tcPr>
            <w:tcW w:w="1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Data rate (kb/s)</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Channel</w:t>
            </w:r>
          </w:p>
        </w:tc>
      </w:tr>
      <w:tr w:rsidR="000D1D35" w:rsidTr="00D800B7">
        <w:trPr>
          <w:trHeight w:val="360"/>
          <w:jc w:val="center"/>
        </w:trPr>
        <w:tc>
          <w:tcPr>
            <w:tcW w:w="1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31.25</w:t>
            </w:r>
          </w:p>
        </w:tc>
        <w:tc>
          <w:tcPr>
            <w:tcW w:w="3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0 to 14</w:t>
            </w:r>
          </w:p>
        </w:tc>
      </w:tr>
      <w:tr w:rsidR="000D1D35" w:rsidTr="00D800B7">
        <w:trPr>
          <w:trHeight w:val="360"/>
          <w:jc w:val="center"/>
        </w:trPr>
        <w:tc>
          <w:tcPr>
            <w:tcW w:w="1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100</w:t>
            </w:r>
          </w:p>
        </w:tc>
        <w:tc>
          <w:tcPr>
            <w:tcW w:w="3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1, 4, 7, 10, 13</w:t>
            </w:r>
          </w:p>
        </w:tc>
      </w:tr>
      <w:tr w:rsidR="000D1D35" w:rsidTr="00D800B7">
        <w:trPr>
          <w:trHeight w:val="360"/>
          <w:jc w:val="center"/>
        </w:trPr>
        <w:tc>
          <w:tcPr>
            <w:tcW w:w="19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250</w:t>
            </w:r>
          </w:p>
        </w:tc>
        <w:tc>
          <w:tcPr>
            <w:tcW w:w="3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2, 7, 12</w:t>
            </w:r>
          </w:p>
        </w:tc>
      </w:tr>
    </w:tbl>
    <w:p w:rsidR="000D1D35" w:rsidRDefault="000D1D35" w:rsidP="000D1D35">
      <w:pPr>
        <w:pStyle w:val="T"/>
        <w:rPr>
          <w:w w:val="100"/>
        </w:rPr>
      </w:pPr>
    </w:p>
    <w:p w:rsidR="000D1D35" w:rsidRDefault="000D1D35" w:rsidP="000D1D35">
      <w:pPr>
        <w:pStyle w:val="H2"/>
        <w:numPr>
          <w:ilvl w:val="0"/>
          <w:numId w:val="13"/>
        </w:numPr>
        <w:rPr>
          <w:w w:val="100"/>
        </w:rPr>
      </w:pPr>
      <w:r>
        <w:rPr>
          <w:w w:val="100"/>
        </w:rPr>
        <w:t>SFD for the MSK PHY</w:t>
      </w:r>
    </w:p>
    <w:p w:rsidR="000D1D35" w:rsidRDefault="000D1D35" w:rsidP="000D1D35">
      <w:pPr>
        <w:pStyle w:val="T"/>
        <w:rPr>
          <w:w w:val="100"/>
        </w:rPr>
      </w:pPr>
      <w:r>
        <w:rPr>
          <w:w w:val="100"/>
        </w:rPr>
        <w:t xml:space="preserve">The SFD for the MSK PHY shall be contain the value given in </w:t>
      </w:r>
      <w:r>
        <w:rPr>
          <w:w w:val="100"/>
        </w:rPr>
        <w:fldChar w:fldCharType="begin"/>
      </w:r>
      <w:r>
        <w:rPr>
          <w:w w:val="100"/>
        </w:rPr>
        <w:instrText xml:space="preserve"> REF  RTF31373039313a205461626c65 \h</w:instrText>
      </w:r>
      <w:r>
        <w:rPr>
          <w:w w:val="100"/>
        </w:rPr>
      </w:r>
      <w:r>
        <w:rPr>
          <w:w w:val="100"/>
        </w:rPr>
        <w:fldChar w:fldCharType="separate"/>
      </w:r>
      <w:r>
        <w:rPr>
          <w:w w:val="100"/>
        </w:rPr>
        <w:t>Table 18-3</w:t>
      </w:r>
      <w:r>
        <w:rPr>
          <w:w w:val="100"/>
        </w:rPr>
        <w:fldChar w:fldCharType="end"/>
      </w:r>
      <w:r>
        <w:rPr>
          <w:w w:val="100"/>
        </w:rPr>
        <w:t>. The SFD is transmitted starting from the leftmost bit (b0).</w:t>
      </w:r>
    </w:p>
    <w:p w:rsidR="000D1D35" w:rsidRDefault="000D1D35" w:rsidP="000D1D3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240"/>
      </w:tblGrid>
      <w:tr w:rsidR="000D1D35" w:rsidTr="00D800B7">
        <w:trPr>
          <w:jc w:val="center"/>
        </w:trPr>
        <w:tc>
          <w:tcPr>
            <w:tcW w:w="3240" w:type="dxa"/>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
              <w:numPr>
                <w:ilvl w:val="0"/>
                <w:numId w:val="14"/>
              </w:numPr>
            </w:pPr>
            <w:bookmarkStart w:id="9" w:name="RTF31373039313a205461626c65"/>
            <w:r w:rsidRPr="0074633F">
              <w:rPr>
                <w:w w:val="100"/>
              </w:rPr>
              <w:lastRenderedPageBreak/>
              <w:t>Value of the SFD field for the MSK PHY</w:t>
            </w:r>
            <w:bookmarkEnd w:id="9"/>
          </w:p>
        </w:tc>
      </w:tr>
      <w:tr w:rsidR="000D1D35" w:rsidTr="00D800B7">
        <w:trPr>
          <w:trHeight w:val="440"/>
          <w:jc w:val="center"/>
        </w:trPr>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SFD (b0</w:t>
            </w:r>
            <w:r w:rsidRPr="0074633F">
              <w:rPr>
                <w:rFonts w:ascii="Symbol" w:hAnsi="Symbol" w:cs="Symbol"/>
                <w:w w:val="100"/>
              </w:rPr>
              <w:t></w:t>
            </w:r>
            <w:r w:rsidRPr="0074633F">
              <w:rPr>
                <w:w w:val="100"/>
              </w:rPr>
              <w:t>b15)</w:t>
            </w:r>
          </w:p>
        </w:tc>
      </w:tr>
      <w:tr w:rsidR="000D1D35" w:rsidTr="00D800B7">
        <w:trPr>
          <w:trHeight w:val="440"/>
          <w:jc w:val="center"/>
        </w:trPr>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1110 0110 1101 0000</w:t>
            </w:r>
          </w:p>
        </w:tc>
      </w:tr>
    </w:tbl>
    <w:p w:rsidR="000D1D35" w:rsidRDefault="000D1D35" w:rsidP="000D1D35">
      <w:pPr>
        <w:pStyle w:val="H2"/>
        <w:numPr>
          <w:ilvl w:val="0"/>
          <w:numId w:val="15"/>
        </w:numPr>
        <w:rPr>
          <w:w w:val="100"/>
        </w:rPr>
      </w:pPr>
      <w:r>
        <w:rPr>
          <w:w w:val="100"/>
        </w:rPr>
        <w:t>MSK modulation</w:t>
      </w:r>
    </w:p>
    <w:p w:rsidR="000D1D35" w:rsidRDefault="000D1D35" w:rsidP="000D1D35">
      <w:pPr>
        <w:pStyle w:val="H3"/>
        <w:numPr>
          <w:ilvl w:val="0"/>
          <w:numId w:val="16"/>
        </w:numPr>
        <w:rPr>
          <w:w w:val="100"/>
        </w:rPr>
      </w:pPr>
      <w:r>
        <w:rPr>
          <w:w w:val="100"/>
        </w:rPr>
        <w:t>Reference modulator diagram</w:t>
      </w:r>
    </w:p>
    <w:p w:rsidR="000D1D35" w:rsidRDefault="000D1D35" w:rsidP="000D1D35">
      <w:pPr>
        <w:pStyle w:val="T"/>
        <w:rPr>
          <w:w w:val="100"/>
        </w:rPr>
      </w:pPr>
      <w:r>
        <w:rPr>
          <w:w w:val="100"/>
        </w:rPr>
        <w:t xml:space="preserve">The functional block diagram in </w:t>
      </w:r>
      <w:r>
        <w:rPr>
          <w:w w:val="100"/>
        </w:rPr>
        <w:fldChar w:fldCharType="begin"/>
      </w:r>
      <w:r>
        <w:rPr>
          <w:w w:val="100"/>
        </w:rPr>
        <w:instrText xml:space="preserve"> REF  RTF36363834313a204669675469 \h</w:instrText>
      </w:r>
      <w:r>
        <w:rPr>
          <w:w w:val="100"/>
        </w:rPr>
      </w:r>
      <w:r>
        <w:rPr>
          <w:w w:val="100"/>
        </w:rPr>
        <w:fldChar w:fldCharType="separate"/>
      </w:r>
      <w:r>
        <w:rPr>
          <w:w w:val="100"/>
        </w:rPr>
        <w:t>Figure 18-1</w:t>
      </w:r>
      <w:r>
        <w:rPr>
          <w:w w:val="100"/>
        </w:rPr>
        <w:fldChar w:fldCharType="end"/>
      </w:r>
      <w:r>
        <w:rPr>
          <w:w w:val="100"/>
        </w:rPr>
        <w:t xml:space="preserve"> is provided as a reference for specifying the MSK PHY modulation. It should be noted the preamble is not included in the whitening scheme.</w:t>
      </w:r>
      <w:r w:rsidR="00BD1674">
        <w:rPr>
          <w:w w:val="100"/>
        </w:rPr>
        <w:pict>
          <v:shape id="_x0000_i1033" type="#_x0000_t75" style="width:6in;height:82pt">
            <v:imagedata r:id="rId15" o:title=""/>
          </v:shape>
        </w:pict>
      </w:r>
    </w:p>
    <w:p w:rsidR="000D1D35" w:rsidRDefault="000D1D35" w:rsidP="000D1D35">
      <w:pPr>
        <w:pStyle w:val="H3"/>
        <w:numPr>
          <w:ilvl w:val="0"/>
          <w:numId w:val="17"/>
        </w:numPr>
        <w:rPr>
          <w:w w:val="100"/>
        </w:rPr>
      </w:pPr>
      <w:r>
        <w:rPr>
          <w:w w:val="100"/>
        </w:rPr>
        <w:t>Data whitening</w:t>
      </w:r>
    </w:p>
    <w:p w:rsidR="000D1D35" w:rsidRPr="00E5165A" w:rsidRDefault="000D1D35" w:rsidP="000D1D35">
      <w:pPr>
        <w:pStyle w:val="T"/>
        <w:rPr>
          <w:color w:val="FF0000"/>
          <w:w w:val="100"/>
          <w:u w:val="single"/>
        </w:rPr>
      </w:pPr>
      <w:r>
        <w:rPr>
          <w:w w:val="100"/>
        </w:rPr>
        <w:t>Data whitening for the MSK PHY shall use the procedure described in 17.2.3</w:t>
      </w:r>
    </w:p>
    <w:p w:rsidR="000D1D35" w:rsidRDefault="000D1D35" w:rsidP="000D1D35">
      <w:pPr>
        <w:pStyle w:val="H3"/>
        <w:numPr>
          <w:ilvl w:val="0"/>
          <w:numId w:val="18"/>
        </w:numPr>
        <w:rPr>
          <w:w w:val="100"/>
        </w:rPr>
      </w:pPr>
      <w:r>
        <w:rPr>
          <w:w w:val="100"/>
        </w:rPr>
        <w:t>Bit-to-symbol mapping</w:t>
      </w:r>
    </w:p>
    <w:p w:rsidR="000D1D35" w:rsidRDefault="000D1D35" w:rsidP="000D1D35">
      <w:pPr>
        <w:pStyle w:val="T"/>
        <w:rPr>
          <w:w w:val="100"/>
        </w:rPr>
      </w:pPr>
      <w:r>
        <w:rPr>
          <w:w w:val="100"/>
        </w:rPr>
        <w:t xml:space="preserve">The bit rate and symbol rate are equal. The mapping of bits to frequency shall be as described in </w:t>
      </w:r>
      <w:r>
        <w:rPr>
          <w:w w:val="100"/>
        </w:rPr>
        <w:fldChar w:fldCharType="begin"/>
      </w:r>
      <w:r>
        <w:rPr>
          <w:w w:val="100"/>
        </w:rPr>
        <w:instrText xml:space="preserve"> REF  RTF31373134323a205461626c65 \h</w:instrText>
      </w:r>
      <w:r>
        <w:rPr>
          <w:w w:val="100"/>
        </w:rPr>
      </w:r>
      <w:r>
        <w:rPr>
          <w:w w:val="100"/>
        </w:rPr>
        <w:fldChar w:fldCharType="separate"/>
      </w:r>
      <w:r>
        <w:rPr>
          <w:w w:val="100"/>
        </w:rPr>
        <w:t>Table 18-4</w:t>
      </w:r>
      <w:r>
        <w:rPr>
          <w:w w:val="100"/>
        </w:rPr>
        <w:fldChar w:fldCharType="end"/>
      </w:r>
      <w:r>
        <w:rPr>
          <w:w w:val="100"/>
        </w:rPr>
        <w:t>.</w:t>
      </w:r>
    </w:p>
    <w:p w:rsidR="000D1D35" w:rsidRDefault="000D1D35" w:rsidP="000D1D35">
      <w:pPr>
        <w:pStyle w:val="T"/>
        <w:rPr>
          <w:w w:val="100"/>
        </w:rPr>
      </w:pPr>
    </w:p>
    <w:p w:rsidR="000D1D35" w:rsidRDefault="000D1D35" w:rsidP="000D1D35">
      <w:pPr>
        <w:pStyle w:val="T"/>
        <w:rPr>
          <w:w w:val="100"/>
        </w:rPr>
      </w:pPr>
    </w:p>
    <w:p w:rsidR="000D1D35" w:rsidRDefault="000D1D35" w:rsidP="000D1D3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tblGrid>
      <w:tr w:rsidR="000D1D35" w:rsidTr="00D800B7">
        <w:trPr>
          <w:jc w:val="center"/>
        </w:trPr>
        <w:tc>
          <w:tcPr>
            <w:tcW w:w="2880" w:type="dxa"/>
            <w:gridSpan w:val="2"/>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
              <w:numPr>
                <w:ilvl w:val="0"/>
                <w:numId w:val="19"/>
              </w:numPr>
            </w:pPr>
            <w:bookmarkStart w:id="10" w:name="RTF31373134323a205461626c65"/>
            <w:r w:rsidRPr="0074633F">
              <w:rPr>
                <w:w w:val="100"/>
              </w:rPr>
              <w:t xml:space="preserve">Bit to </w:t>
            </w:r>
            <w:r w:rsidRPr="0074633F">
              <w:rPr>
                <w:w w:val="100"/>
              </w:rPr>
              <w:lastRenderedPageBreak/>
              <w:t>frequency mapping</w:t>
            </w:r>
            <w:bookmarkEnd w:id="10"/>
          </w:p>
        </w:tc>
      </w:tr>
      <w:tr w:rsidR="000D1D35" w:rsidTr="00D800B7">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lastRenderedPageBreak/>
              <w:t>Bit</w:t>
            </w:r>
          </w:p>
        </w:tc>
        <w:tc>
          <w:tcPr>
            <w:tcW w:w="14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Frequency</w:t>
            </w:r>
          </w:p>
        </w:tc>
      </w:tr>
      <w:tr w:rsidR="000D1D35" w:rsidTr="00D800B7">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0</w:t>
            </w:r>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i/>
                <w:iCs/>
                <w:w w:val="100"/>
              </w:rPr>
              <w:t xml:space="preserve">f </w:t>
            </w:r>
            <w:r w:rsidRPr="0074633F">
              <w:rPr>
                <w:i/>
                <w:iCs/>
                <w:w w:val="100"/>
                <w:vertAlign w:val="subscript"/>
              </w:rPr>
              <w:t>c</w:t>
            </w:r>
            <w:r w:rsidRPr="0074633F">
              <w:rPr>
                <w:w w:val="100"/>
                <w:sz w:val="24"/>
                <w:szCs w:val="24"/>
              </w:rPr>
              <w:t>–</w:t>
            </w:r>
            <w:r w:rsidRPr="0074633F">
              <w:rPr>
                <w:rFonts w:ascii="Symbol" w:hAnsi="Symbol" w:cs="Symbol"/>
                <w:w w:val="100"/>
              </w:rPr>
              <w:t></w:t>
            </w:r>
            <w:r w:rsidRPr="0074633F">
              <w:rPr>
                <w:i/>
                <w:iCs/>
                <w:w w:val="100"/>
              </w:rPr>
              <w:t>f</w:t>
            </w:r>
          </w:p>
        </w:tc>
      </w:tr>
      <w:tr w:rsidR="000D1D35" w:rsidTr="00D800B7">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1</w:t>
            </w:r>
          </w:p>
        </w:tc>
        <w:tc>
          <w:tcPr>
            <w:tcW w:w="1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i/>
                <w:iCs/>
                <w:w w:val="100"/>
              </w:rPr>
              <w:t>f</w:t>
            </w:r>
            <w:r w:rsidRPr="0074633F">
              <w:rPr>
                <w:i/>
                <w:iCs/>
                <w:w w:val="100"/>
                <w:vertAlign w:val="subscript"/>
              </w:rPr>
              <w:t>c</w:t>
            </w:r>
            <w:r w:rsidRPr="0074633F">
              <w:rPr>
                <w:w w:val="100"/>
              </w:rPr>
              <w:t xml:space="preserve"> +</w:t>
            </w:r>
            <w:r w:rsidRPr="0074633F">
              <w:rPr>
                <w:rFonts w:ascii="Symbol" w:hAnsi="Symbol" w:cs="Symbol"/>
                <w:w w:val="100"/>
              </w:rPr>
              <w:t></w:t>
            </w:r>
            <w:r w:rsidRPr="0074633F">
              <w:rPr>
                <w:i/>
                <w:iCs/>
                <w:w w:val="100"/>
              </w:rPr>
              <w:t>f</w:t>
            </w:r>
          </w:p>
        </w:tc>
      </w:tr>
    </w:tbl>
    <w:p w:rsidR="000D1D35" w:rsidRDefault="000D1D35" w:rsidP="000D1D35">
      <w:pPr>
        <w:pStyle w:val="T"/>
        <w:rPr>
          <w:rStyle w:val="Emphasis"/>
          <w:i w:val="0"/>
          <w:iCs w:val="0"/>
          <w:w w:val="100"/>
        </w:rPr>
      </w:pPr>
      <w:r>
        <w:rPr>
          <w:w w:val="100"/>
        </w:rPr>
        <w:t xml:space="preserve">, In </w:t>
      </w:r>
      <w:r>
        <w:rPr>
          <w:w w:val="100"/>
        </w:rPr>
        <w:fldChar w:fldCharType="begin"/>
      </w:r>
      <w:r>
        <w:rPr>
          <w:w w:val="100"/>
        </w:rPr>
        <w:instrText xml:space="preserve"> REF  RTF31373134323a205461626c65 \h</w:instrText>
      </w:r>
      <w:r>
        <w:rPr>
          <w:w w:val="100"/>
        </w:rPr>
      </w:r>
      <w:r>
        <w:rPr>
          <w:w w:val="100"/>
        </w:rPr>
        <w:fldChar w:fldCharType="separate"/>
      </w:r>
      <w:r>
        <w:rPr>
          <w:w w:val="100"/>
        </w:rPr>
        <w:t>Table 18-4</w:t>
      </w:r>
      <w:r>
        <w:rPr>
          <w:w w:val="100"/>
        </w:rPr>
        <w:fldChar w:fldCharType="end"/>
      </w:r>
      <w:r>
        <w:rPr>
          <w:w w:val="100"/>
        </w:rPr>
        <w:t xml:space="preserve">, </w:t>
      </w:r>
      <w:r>
        <w:rPr>
          <w:i/>
          <w:iCs/>
          <w:w w:val="100"/>
        </w:rPr>
        <w:t>f</w:t>
      </w:r>
      <w:r>
        <w:rPr>
          <w:i/>
          <w:iCs/>
          <w:w w:val="100"/>
          <w:vertAlign w:val="subscript"/>
        </w:rPr>
        <w:t>c</w:t>
      </w:r>
      <w:r>
        <w:rPr>
          <w:w w:val="100"/>
        </w:rPr>
        <w:t xml:space="preserve"> is the channel center frequency as </w:t>
      </w:r>
      <w:r>
        <w:rPr>
          <w:w w:val="100"/>
          <w:sz w:val="18"/>
          <w:szCs w:val="18"/>
        </w:rPr>
        <w:t>defined in Table 10-7 and Table 10-8</w:t>
      </w:r>
      <w:r>
        <w:rPr>
          <w:rStyle w:val="Emphasis"/>
          <w:i w:val="0"/>
          <w:iCs w:val="0"/>
          <w:w w:val="100"/>
        </w:rPr>
        <w:t xml:space="preserve"> and </w:t>
      </w:r>
      <w:r>
        <w:rPr>
          <w:rStyle w:val="Emphasis"/>
          <w:rFonts w:ascii="Symbol" w:hAnsi="Symbol" w:cs="Symbol"/>
          <w:i w:val="0"/>
          <w:iCs w:val="0"/>
          <w:w w:val="100"/>
        </w:rPr>
        <w:t></w:t>
      </w:r>
      <w:r>
        <w:rPr>
          <w:rStyle w:val="Emphasis"/>
          <w:w w:val="100"/>
        </w:rPr>
        <w:t>f</w:t>
      </w:r>
      <w:r>
        <w:rPr>
          <w:rStyle w:val="Emphasis"/>
          <w:i w:val="0"/>
          <w:iCs w:val="0"/>
          <w:w w:val="100"/>
        </w:rPr>
        <w:t xml:space="preserve"> is given by:</w:t>
      </w:r>
    </w:p>
    <w:p w:rsidR="000D1D35" w:rsidRDefault="00BD1674" w:rsidP="000D1D35">
      <w:pPr>
        <w:pStyle w:val="EU"/>
        <w:rPr>
          <w:w w:val="100"/>
        </w:rPr>
      </w:pPr>
      <w:r>
        <w:rPr>
          <w:noProof/>
          <w:w w:val="100"/>
        </w:rPr>
        <w:pict>
          <v:shape id="_x0000_s1026" type="#_x0000_t75" style="position:absolute;left:0;text-align:left;margin-left:38pt;margin-top:6.75pt;width:28pt;height:25pt;z-index:1;mso-position-horizontal-relative:margin">
            <v:imagedata r:id="rId16" o:title=""/>
            <w10:wrap type="square" anchorx="margin"/>
          </v:shape>
        </w:pict>
      </w:r>
      <w:r w:rsidR="000D1D35">
        <w:rPr>
          <w:rFonts w:ascii="Symbol" w:hAnsi="Symbol" w:cs="Symbol"/>
          <w:w w:val="100"/>
        </w:rPr>
        <w:t></w:t>
      </w:r>
      <w:r w:rsidR="000D1D35">
        <w:rPr>
          <w:i/>
          <w:iCs/>
          <w:w w:val="100"/>
        </w:rPr>
        <w:t>f</w:t>
      </w:r>
      <w:r w:rsidR="000D1D35">
        <w:rPr>
          <w:w w:val="100"/>
        </w:rPr>
        <w:t xml:space="preserve"> = </w:t>
      </w:r>
    </w:p>
    <w:p w:rsidR="000D1D35" w:rsidRDefault="000D1D35" w:rsidP="000D1D35">
      <w:pPr>
        <w:pStyle w:val="T"/>
        <w:rPr>
          <w:w w:val="100"/>
        </w:rPr>
      </w:pPr>
      <w:proofErr w:type="gramStart"/>
      <w:r>
        <w:rPr>
          <w:w w:val="100"/>
        </w:rPr>
        <w:t>where</w:t>
      </w:r>
      <w:proofErr w:type="gramEnd"/>
    </w:p>
    <w:p w:rsidR="000D1D35" w:rsidRDefault="000D1D35" w:rsidP="000D1D35">
      <w:pPr>
        <w:pStyle w:val="VariableList"/>
        <w:rPr>
          <w:w w:val="100"/>
        </w:rPr>
      </w:pPr>
      <w:proofErr w:type="spellStart"/>
      <w:r>
        <w:rPr>
          <w:i/>
          <w:iCs/>
          <w:w w:val="100"/>
        </w:rPr>
        <w:t>Ts</w:t>
      </w:r>
      <w:proofErr w:type="spellEnd"/>
      <w:r>
        <w:rPr>
          <w:w w:val="100"/>
        </w:rPr>
        <w:tab/>
        <w:t>is the symbol rate</w:t>
      </w:r>
    </w:p>
    <w:p w:rsidR="000D1D35" w:rsidRDefault="000D1D35" w:rsidP="000D1D35">
      <w:pPr>
        <w:pStyle w:val="H3"/>
        <w:numPr>
          <w:ilvl w:val="0"/>
          <w:numId w:val="20"/>
        </w:numPr>
        <w:rPr>
          <w:w w:val="100"/>
        </w:rPr>
      </w:pPr>
      <w:r>
        <w:rPr>
          <w:w w:val="100"/>
        </w:rPr>
        <w:t>Signal modulation</w:t>
      </w:r>
    </w:p>
    <w:p w:rsidR="000D1D35" w:rsidRDefault="000D1D35" w:rsidP="000D1D35">
      <w:pPr>
        <w:pStyle w:val="T"/>
        <w:rPr>
          <w:w w:val="100"/>
        </w:rPr>
      </w:pPr>
      <w:r>
        <w:rPr>
          <w:w w:val="100"/>
        </w:rPr>
        <w:t xml:space="preserve">The </w:t>
      </w:r>
      <w:r>
        <w:rPr>
          <w:color w:val="FF0000"/>
          <w:w w:val="100"/>
          <w:u w:val="single"/>
        </w:rPr>
        <w:t xml:space="preserve">2450 MHz, 2000 kb/s MSK modulation shall be GMSK modulation with BT = 0.5. The MSK modulation of all other band and data rate combinations </w:t>
      </w:r>
      <w:r w:rsidRPr="002412AA">
        <w:rPr>
          <w:strike/>
          <w:color w:val="FF0000"/>
          <w:w w:val="100"/>
        </w:rPr>
        <w:t>MSK modulation</w:t>
      </w:r>
      <w:r>
        <w:rPr>
          <w:w w:val="100"/>
        </w:rPr>
        <w:t xml:space="preserve"> shall be FSK with modulation index h = 0.5. This modulation index corresponds to minimum frequency spacing that allows two FSK signals to be coherently orthogonal. </w:t>
      </w:r>
    </w:p>
    <w:p w:rsidR="000D1D35" w:rsidRDefault="000D1D35" w:rsidP="000D1D35">
      <w:pPr>
        <w:pStyle w:val="T"/>
        <w:rPr>
          <w:w w:val="100"/>
        </w:rPr>
      </w:pPr>
      <w:r>
        <w:rPr>
          <w:w w:val="100"/>
        </w:rPr>
        <w:t xml:space="preserve">As shown in </w:t>
      </w:r>
      <w:r>
        <w:rPr>
          <w:w w:val="100"/>
        </w:rPr>
        <w:fldChar w:fldCharType="begin"/>
      </w:r>
      <w:r>
        <w:rPr>
          <w:w w:val="100"/>
        </w:rPr>
        <w:instrText xml:space="preserve"> REF  RTF32383433333a204669675469 \h</w:instrText>
      </w:r>
      <w:r>
        <w:rPr>
          <w:w w:val="100"/>
        </w:rPr>
      </w:r>
      <w:r>
        <w:rPr>
          <w:w w:val="100"/>
        </w:rPr>
        <w:fldChar w:fldCharType="separate"/>
      </w:r>
      <w:r>
        <w:rPr>
          <w:w w:val="100"/>
        </w:rPr>
        <w:t>Figure 18-2</w:t>
      </w:r>
      <w:r>
        <w:rPr>
          <w:w w:val="100"/>
        </w:rPr>
        <w:fldChar w:fldCharType="end"/>
      </w:r>
      <w:r>
        <w:rPr>
          <w:w w:val="100"/>
        </w:rPr>
        <w:t>, MSK modulation has two possible frequencies over any symbol interval, which differs in frequency by half the bit rate as follows:</w:t>
      </w:r>
    </w:p>
    <w:p w:rsidR="000D1D35" w:rsidRDefault="000D1D35" w:rsidP="000D1D35">
      <w:pPr>
        <w:pStyle w:val="T"/>
        <w:rPr>
          <w:i/>
          <w:iCs/>
          <w:w w:val="100"/>
        </w:rPr>
      </w:pPr>
      <w:r>
        <w:rPr>
          <w:i/>
          <w:iCs/>
          <w:w w:val="100"/>
        </w:rPr>
        <w:t>f</w:t>
      </w:r>
      <w:r>
        <w:rPr>
          <w:w w:val="100"/>
          <w:vertAlign w:val="subscript"/>
        </w:rPr>
        <w:t>2</w:t>
      </w:r>
      <w:r>
        <w:rPr>
          <w:w w:val="100"/>
        </w:rPr>
        <w:t xml:space="preserve"> –</w:t>
      </w:r>
      <w:r>
        <w:rPr>
          <w:i/>
          <w:iCs/>
          <w:w w:val="100"/>
        </w:rPr>
        <w:t xml:space="preserve"> f</w:t>
      </w:r>
      <w:r>
        <w:rPr>
          <w:w w:val="100"/>
          <w:vertAlign w:val="subscript"/>
        </w:rPr>
        <w:t>1</w:t>
      </w:r>
      <w:r>
        <w:rPr>
          <w:w w:val="100"/>
        </w:rPr>
        <w:t xml:space="preserve"> = ½ </w:t>
      </w:r>
      <w:r>
        <w:rPr>
          <w:i/>
          <w:iCs/>
          <w:w w:val="100"/>
        </w:rPr>
        <w:t>Tb</w:t>
      </w:r>
    </w:p>
    <w:p w:rsidR="000D1D35" w:rsidRDefault="000D1D35" w:rsidP="000D1D35">
      <w:pPr>
        <w:pStyle w:val="T"/>
        <w:rPr>
          <w:w w:val="100"/>
        </w:rPr>
      </w:pPr>
      <w:r>
        <w:rPr>
          <w:w w:val="100"/>
        </w:rPr>
        <w:lastRenderedPageBreak/>
        <w:t>This is the smallest frequency difference that allows two signals to be orthogonal.</w:t>
      </w:r>
      <w:r w:rsidR="00BD1674">
        <w:rPr>
          <w:w w:val="100"/>
        </w:rPr>
        <w:pict>
          <v:shape id="_x0000_i1034" type="#_x0000_t75" style="width:6in;height:183pt">
            <v:imagedata r:id="rId17" o:title=""/>
          </v:shape>
        </w:pict>
      </w:r>
    </w:p>
    <w:p w:rsidR="000D1D35" w:rsidRDefault="000D1D35" w:rsidP="000D1D35">
      <w:pPr>
        <w:pStyle w:val="H2"/>
        <w:numPr>
          <w:ilvl w:val="0"/>
          <w:numId w:val="21"/>
        </w:numPr>
        <w:rPr>
          <w:w w:val="100"/>
        </w:rPr>
      </w:pPr>
      <w:r>
        <w:rPr>
          <w:w w:val="100"/>
        </w:rPr>
        <w:t>MSK PHY requirements</w:t>
      </w:r>
    </w:p>
    <w:p w:rsidR="000D1D35" w:rsidRDefault="000D1D35" w:rsidP="000D1D35">
      <w:pPr>
        <w:pStyle w:val="H3"/>
        <w:numPr>
          <w:ilvl w:val="0"/>
          <w:numId w:val="22"/>
        </w:numPr>
        <w:rPr>
          <w:w w:val="100"/>
        </w:rPr>
      </w:pPr>
      <w:r>
        <w:rPr>
          <w:w w:val="100"/>
        </w:rPr>
        <w:t>Operating frequency range</w:t>
      </w:r>
    </w:p>
    <w:p w:rsidR="000D1D35" w:rsidRDefault="000D1D35" w:rsidP="000D1D35">
      <w:pPr>
        <w:pStyle w:val="T"/>
        <w:rPr>
          <w:w w:val="100"/>
        </w:rPr>
      </w:pPr>
      <w:r>
        <w:rPr>
          <w:w w:val="100"/>
        </w:rPr>
        <w:t>The MSK PHY specifies the following two optional frequency bands:</w:t>
      </w:r>
    </w:p>
    <w:p w:rsidR="000D1D35" w:rsidRDefault="000D1D35" w:rsidP="000D1D35">
      <w:pPr>
        <w:pStyle w:val="D"/>
        <w:numPr>
          <w:ilvl w:val="0"/>
          <w:numId w:val="2"/>
        </w:numPr>
        <w:ind w:left="600"/>
        <w:rPr>
          <w:w w:val="100"/>
        </w:rPr>
      </w:pPr>
      <w:r>
        <w:rPr>
          <w:w w:val="100"/>
        </w:rPr>
        <w:t>433.05 MHz to 434.79 MHz</w:t>
      </w:r>
    </w:p>
    <w:p w:rsidR="000D1D35" w:rsidRDefault="000D1D35" w:rsidP="000D1D35">
      <w:pPr>
        <w:pStyle w:val="D"/>
        <w:numPr>
          <w:ilvl w:val="0"/>
          <w:numId w:val="2"/>
        </w:numPr>
        <w:ind w:left="600"/>
        <w:rPr>
          <w:w w:val="100"/>
        </w:rPr>
      </w:pPr>
      <w:r>
        <w:rPr>
          <w:w w:val="100"/>
        </w:rPr>
        <w:t>2400 MHz to 2483 MHz</w:t>
      </w:r>
    </w:p>
    <w:p w:rsidR="000D1D35" w:rsidRDefault="000D1D35" w:rsidP="000D1D35">
      <w:pPr>
        <w:pStyle w:val="H3"/>
        <w:numPr>
          <w:ilvl w:val="0"/>
          <w:numId w:val="23"/>
        </w:numPr>
        <w:rPr>
          <w:w w:val="100"/>
        </w:rPr>
      </w:pPr>
      <w:bookmarkStart w:id="11" w:name="RTF5f546f633330343330323936"/>
      <w:r>
        <w:rPr>
          <w:w w:val="100"/>
        </w:rPr>
        <w:t>Tra</w:t>
      </w:r>
      <w:bookmarkEnd w:id="11"/>
      <w:r>
        <w:rPr>
          <w:w w:val="100"/>
        </w:rPr>
        <w:t>nsmit PSD mask</w:t>
      </w:r>
    </w:p>
    <w:p w:rsidR="000D1D35" w:rsidRDefault="000D1D35" w:rsidP="000D1D35">
      <w:pPr>
        <w:pStyle w:val="T"/>
        <w:rPr>
          <w:w w:val="100"/>
        </w:rPr>
      </w:pPr>
      <w:r>
        <w:rPr>
          <w:w w:val="100"/>
        </w:rPr>
        <w:t xml:space="preserve">The PSD mask for the MSK PHY is shown in </w:t>
      </w:r>
      <w:r>
        <w:rPr>
          <w:w w:val="100"/>
        </w:rPr>
        <w:fldChar w:fldCharType="begin"/>
      </w:r>
      <w:r>
        <w:rPr>
          <w:w w:val="100"/>
        </w:rPr>
        <w:instrText xml:space="preserve"> REF  RTF33353036313a205461626c65 \h</w:instrText>
      </w:r>
      <w:r>
        <w:rPr>
          <w:w w:val="100"/>
        </w:rPr>
      </w:r>
      <w:r>
        <w:rPr>
          <w:w w:val="100"/>
        </w:rPr>
        <w:fldChar w:fldCharType="separate"/>
      </w:r>
      <w:r>
        <w:rPr>
          <w:w w:val="100"/>
        </w:rPr>
        <w:t>Table 18-5</w:t>
      </w:r>
      <w:r>
        <w:rPr>
          <w:w w:val="100"/>
        </w:rPr>
        <w:fldChar w:fldCharType="end"/>
      </w:r>
      <w:r>
        <w:rPr>
          <w:w w:val="100"/>
        </w:rPr>
        <w:t>.</w:t>
      </w:r>
    </w:p>
    <w:p w:rsidR="000D1D35" w:rsidRDefault="000D1D35" w:rsidP="000D1D35">
      <w:pPr>
        <w:pStyle w:val="T"/>
        <w:rPr>
          <w:w w:val="100"/>
        </w:rPr>
      </w:pPr>
      <w:r>
        <w:rPr>
          <w:w w:val="100"/>
        </w:rPr>
        <w:t xml:space="preserve">The transmitted spectral products shall be less than the limits specified in </w:t>
      </w:r>
      <w:r>
        <w:rPr>
          <w:w w:val="100"/>
        </w:rPr>
        <w:fldChar w:fldCharType="begin"/>
      </w:r>
      <w:r>
        <w:rPr>
          <w:w w:val="100"/>
        </w:rPr>
        <w:instrText xml:space="preserve"> REF  RTF33353036313a205461626c65 \h</w:instrText>
      </w:r>
      <w:r>
        <w:rPr>
          <w:w w:val="100"/>
        </w:rPr>
      </w:r>
      <w:r>
        <w:rPr>
          <w:w w:val="100"/>
        </w:rPr>
        <w:fldChar w:fldCharType="separate"/>
      </w:r>
      <w:r>
        <w:rPr>
          <w:w w:val="100"/>
        </w:rPr>
        <w:t>Table 18-5</w:t>
      </w:r>
      <w:r>
        <w:rPr>
          <w:w w:val="100"/>
        </w:rPr>
        <w:fldChar w:fldCharType="end"/>
      </w:r>
      <w:r>
        <w:rPr>
          <w:w w:val="100"/>
        </w:rPr>
        <w:t>. For both relative and absolute limits, average spectral power shall be measured using a 100 </w:t>
      </w:r>
      <w:proofErr w:type="gramStart"/>
      <w:r>
        <w:rPr>
          <w:w w:val="100"/>
        </w:rPr>
        <w:t>kHz</w:t>
      </w:r>
      <w:proofErr w:type="gramEnd"/>
      <w:r>
        <w:rPr>
          <w:w w:val="100"/>
        </w:rPr>
        <w:t xml:space="preserve"> resolution bandwidth. For the relative limit, the reference level shall be the highest average spectral power measured within </w:t>
      </w:r>
      <w:r w:rsidRPr="0025516A">
        <w:rPr>
          <w:color w:val="FF0000"/>
          <w:w w:val="100"/>
          <w:sz w:val="24"/>
          <w:szCs w:val="24"/>
          <w:u w:val="single"/>
        </w:rPr>
        <w:t>±</w:t>
      </w:r>
      <w:r w:rsidRPr="0025516A">
        <w:rPr>
          <w:color w:val="FF0000"/>
          <w:w w:val="100"/>
          <w:u w:val="single"/>
        </w:rPr>
        <w:t>1</w:t>
      </w:r>
      <w:r>
        <w:rPr>
          <w:color w:val="FF0000"/>
          <w:w w:val="100"/>
          <w:u w:val="single"/>
        </w:rPr>
        <w:t xml:space="preserve"> M</w:t>
      </w:r>
      <w:r w:rsidRPr="0025516A">
        <w:rPr>
          <w:color w:val="FF0000"/>
          <w:w w:val="100"/>
          <w:u w:val="single"/>
        </w:rPr>
        <w:t>Hz,</w:t>
      </w:r>
      <w:r>
        <w:rPr>
          <w:w w:val="100"/>
        </w:rPr>
        <w:t xml:space="preserve"> </w:t>
      </w:r>
      <w:r>
        <w:rPr>
          <w:w w:val="100"/>
          <w:sz w:val="24"/>
          <w:szCs w:val="24"/>
        </w:rPr>
        <w:t>±</w:t>
      </w:r>
      <w:r>
        <w:rPr>
          <w:w w:val="100"/>
        </w:rPr>
        <w:t xml:space="preserve">600 kHz, </w:t>
      </w:r>
      <w:r>
        <w:rPr>
          <w:w w:val="100"/>
          <w:sz w:val="24"/>
          <w:szCs w:val="24"/>
        </w:rPr>
        <w:t>±</w:t>
      </w:r>
      <w:r>
        <w:rPr>
          <w:w w:val="100"/>
        </w:rPr>
        <w:t xml:space="preserve">300 kHz, or </w:t>
      </w:r>
      <w:r>
        <w:rPr>
          <w:w w:val="100"/>
          <w:sz w:val="24"/>
          <w:szCs w:val="24"/>
        </w:rPr>
        <w:t>±</w:t>
      </w:r>
      <w:r>
        <w:rPr>
          <w:w w:val="100"/>
        </w:rPr>
        <w:t>100 kHz of the carrier frequency (respective to data rate).</w:t>
      </w:r>
    </w:p>
    <w:p w:rsidR="000D1D35" w:rsidRDefault="000D1D35" w:rsidP="000D1D35">
      <w:pPr>
        <w:pStyle w:val="T"/>
        <w:rPr>
          <w:w w:val="100"/>
        </w:rPr>
      </w:pPr>
    </w:p>
    <w:p w:rsidR="000D1D35" w:rsidRDefault="000D1D35" w:rsidP="000D1D3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400"/>
        <w:gridCol w:w="2100"/>
        <w:gridCol w:w="1400"/>
        <w:gridCol w:w="1340"/>
      </w:tblGrid>
      <w:tr w:rsidR="000D1D35" w:rsidTr="00D800B7">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
              <w:numPr>
                <w:ilvl w:val="0"/>
                <w:numId w:val="24"/>
              </w:numPr>
            </w:pPr>
            <w:bookmarkStart w:id="12" w:name="RTF33353036313a205461626c65"/>
            <w:r w:rsidRPr="0074633F">
              <w:rPr>
                <w:w w:val="100"/>
              </w:rPr>
              <w:lastRenderedPageBreak/>
              <w:t>MSK PHY transmit PSD limit</w:t>
            </w:r>
            <w:bookmarkEnd w:id="12"/>
          </w:p>
        </w:tc>
      </w:tr>
      <w:tr w:rsidR="000D1D35" w:rsidTr="00D800B7">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Frequency band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Data rate</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Frequency</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Relative limit</w:t>
            </w:r>
          </w:p>
        </w:tc>
        <w:tc>
          <w:tcPr>
            <w:tcW w:w="1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Absolute limit</w:t>
            </w:r>
          </w:p>
        </w:tc>
      </w:tr>
      <w:tr w:rsidR="000D1D35" w:rsidTr="00D800B7">
        <w:trPr>
          <w:trHeight w:val="360"/>
          <w:jc w:val="center"/>
        </w:trPr>
        <w:tc>
          <w:tcPr>
            <w:tcW w:w="13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D1D35" w:rsidRPr="0074633F" w:rsidRDefault="000D1D35" w:rsidP="00D800B7">
            <w:pPr>
              <w:pStyle w:val="CellBody"/>
            </w:pPr>
            <w:r w:rsidRPr="0074633F">
              <w:rPr>
                <w:w w:val="100"/>
              </w:rPr>
              <w:t>433 MHz</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31.25 </w:t>
            </w:r>
            <w:proofErr w:type="spellStart"/>
            <w:r w:rsidRPr="0074633F">
              <w:rPr>
                <w:w w:val="100"/>
              </w:rPr>
              <w:t>ksymbols</w:t>
            </w:r>
            <w:proofErr w:type="spellEnd"/>
            <w:r w:rsidRPr="0074633F">
              <w:rPr>
                <w:w w:val="100"/>
              </w:rPr>
              <w:t>/s</w:t>
            </w:r>
          </w:p>
        </w:tc>
        <w:tc>
          <w:tcPr>
            <w:tcW w:w="2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w:t>
            </w:r>
            <w:r w:rsidRPr="0074633F">
              <w:rPr>
                <w:i/>
                <w:iCs/>
                <w:w w:val="100"/>
              </w:rPr>
              <w:t>f</w:t>
            </w:r>
            <w:r w:rsidRPr="0074633F">
              <w:rPr>
                <w:w w:val="100"/>
              </w:rPr>
              <w:t xml:space="preserve"> – </w:t>
            </w:r>
            <w:r w:rsidRPr="0074633F">
              <w:rPr>
                <w:i/>
                <w:iCs/>
                <w:w w:val="100"/>
              </w:rPr>
              <w:t>fc</w:t>
            </w:r>
            <w:r w:rsidRPr="0074633F">
              <w:rPr>
                <w:w w:val="100"/>
              </w:rPr>
              <w:t>| &gt; 200 kHz</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dBm</w:t>
            </w:r>
          </w:p>
        </w:tc>
      </w:tr>
      <w:tr w:rsidR="000D1D35" w:rsidTr="00D800B7">
        <w:trPr>
          <w:trHeight w:val="360"/>
          <w:jc w:val="center"/>
        </w:trPr>
        <w:tc>
          <w:tcPr>
            <w:tcW w:w="1360" w:type="dxa"/>
            <w:vMerge/>
            <w:tcBorders>
              <w:top w:val="single" w:sz="2" w:space="0" w:color="000000"/>
              <w:left w:val="single" w:sz="10" w:space="0" w:color="000000"/>
              <w:bottom w:val="single" w:sz="2" w:space="0" w:color="000000"/>
              <w:right w:val="single" w:sz="2" w:space="0" w:color="000000"/>
            </w:tcBorders>
          </w:tcPr>
          <w:p w:rsidR="000D1D35" w:rsidRPr="0074633F" w:rsidRDefault="000D1D35" w:rsidP="00D800B7">
            <w:pPr>
              <w:pStyle w:val="Definitions"/>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line="240" w:lineRule="auto"/>
              <w:jc w:val="left"/>
              <w:rPr>
                <w:rFonts w:ascii="Goudy" w:hAnsi="Goudy"/>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100 </w:t>
            </w:r>
            <w:proofErr w:type="spellStart"/>
            <w:r w:rsidRPr="0074633F">
              <w:rPr>
                <w:w w:val="100"/>
              </w:rPr>
              <w:t>ksymbols</w:t>
            </w:r>
            <w:proofErr w:type="spellEnd"/>
            <w:r w:rsidRPr="0074633F">
              <w:rPr>
                <w:w w:val="100"/>
              </w:rPr>
              <w:t>/s</w:t>
            </w:r>
          </w:p>
        </w:tc>
        <w:tc>
          <w:tcPr>
            <w:tcW w:w="2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w:t>
            </w:r>
            <w:r w:rsidRPr="0074633F">
              <w:rPr>
                <w:i/>
                <w:iCs/>
                <w:w w:val="100"/>
              </w:rPr>
              <w:t>f</w:t>
            </w:r>
            <w:r w:rsidRPr="0074633F">
              <w:rPr>
                <w:w w:val="100"/>
              </w:rPr>
              <w:t xml:space="preserve"> – </w:t>
            </w:r>
            <w:r w:rsidRPr="0074633F">
              <w:rPr>
                <w:i/>
                <w:iCs/>
                <w:w w:val="100"/>
              </w:rPr>
              <w:t>fc</w:t>
            </w:r>
            <w:r w:rsidRPr="0074633F">
              <w:rPr>
                <w:w w:val="100"/>
              </w:rPr>
              <w:t>| &gt; 600 kHz</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dBm</w:t>
            </w:r>
          </w:p>
        </w:tc>
      </w:tr>
      <w:tr w:rsidR="000D1D35" w:rsidTr="00D800B7">
        <w:trPr>
          <w:trHeight w:val="360"/>
          <w:jc w:val="center"/>
        </w:trPr>
        <w:tc>
          <w:tcPr>
            <w:tcW w:w="1360" w:type="dxa"/>
            <w:vMerge/>
            <w:tcBorders>
              <w:top w:val="single" w:sz="2" w:space="0" w:color="000000"/>
              <w:left w:val="single" w:sz="10" w:space="0" w:color="000000"/>
              <w:bottom w:val="single" w:sz="2" w:space="0" w:color="000000"/>
              <w:right w:val="single" w:sz="2" w:space="0" w:color="000000"/>
            </w:tcBorders>
          </w:tcPr>
          <w:p w:rsidR="000D1D35" w:rsidRPr="0074633F" w:rsidRDefault="000D1D35" w:rsidP="00D800B7">
            <w:pPr>
              <w:pStyle w:val="Definitions"/>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line="240" w:lineRule="auto"/>
              <w:jc w:val="left"/>
              <w:rPr>
                <w:rFonts w:ascii="Goudy" w:hAnsi="Goudy"/>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250 </w:t>
            </w:r>
            <w:proofErr w:type="spellStart"/>
            <w:r w:rsidRPr="0074633F">
              <w:rPr>
                <w:w w:val="100"/>
              </w:rPr>
              <w:t>ksymbols</w:t>
            </w:r>
            <w:proofErr w:type="spellEnd"/>
            <w:r w:rsidRPr="0074633F">
              <w:rPr>
                <w:w w:val="100"/>
              </w:rPr>
              <w:t>/s</w:t>
            </w:r>
          </w:p>
        </w:tc>
        <w:tc>
          <w:tcPr>
            <w:tcW w:w="2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w:t>
            </w:r>
            <w:r w:rsidRPr="0074633F">
              <w:rPr>
                <w:i/>
                <w:iCs/>
                <w:w w:val="100"/>
              </w:rPr>
              <w:t>f</w:t>
            </w:r>
            <w:r w:rsidRPr="0074633F">
              <w:rPr>
                <w:w w:val="100"/>
              </w:rPr>
              <w:t xml:space="preserve"> – </w:t>
            </w:r>
            <w:r w:rsidRPr="0074633F">
              <w:rPr>
                <w:i/>
                <w:iCs/>
                <w:w w:val="100"/>
              </w:rPr>
              <w:t>fc</w:t>
            </w:r>
            <w:r w:rsidRPr="0074633F">
              <w:rPr>
                <w:w w:val="100"/>
              </w:rPr>
              <w:t>| &gt; 1.2 MHz</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dBm</w:t>
            </w:r>
          </w:p>
        </w:tc>
      </w:tr>
      <w:tr w:rsidR="000D1D35" w:rsidTr="00D800B7">
        <w:trPr>
          <w:trHeight w:val="360"/>
          <w:jc w:val="center"/>
        </w:trPr>
        <w:tc>
          <w:tcPr>
            <w:tcW w:w="136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vAlign w:val="center"/>
          </w:tcPr>
          <w:p w:rsidR="000D1D35" w:rsidRPr="0074633F" w:rsidRDefault="000D1D35" w:rsidP="00D800B7">
            <w:pPr>
              <w:pStyle w:val="CellBody"/>
            </w:pPr>
            <w:r w:rsidRPr="0074633F">
              <w:rPr>
                <w:w w:val="100"/>
              </w:rPr>
              <w:t>2450 MHz</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250 </w:t>
            </w:r>
            <w:proofErr w:type="spellStart"/>
            <w:r w:rsidRPr="0074633F">
              <w:rPr>
                <w:w w:val="100"/>
              </w:rPr>
              <w:t>ksymbols</w:t>
            </w:r>
            <w:proofErr w:type="spellEnd"/>
            <w:r w:rsidRPr="0074633F">
              <w:rPr>
                <w:w w:val="100"/>
              </w:rPr>
              <w:t>/s</w:t>
            </w:r>
          </w:p>
        </w:tc>
        <w:tc>
          <w:tcPr>
            <w:tcW w:w="2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w:t>
            </w:r>
            <w:r w:rsidRPr="0074633F">
              <w:rPr>
                <w:i/>
                <w:iCs/>
                <w:w w:val="100"/>
              </w:rPr>
              <w:t>f</w:t>
            </w:r>
            <w:r w:rsidRPr="0074633F">
              <w:rPr>
                <w:w w:val="100"/>
              </w:rPr>
              <w:t xml:space="preserve"> – </w:t>
            </w:r>
            <w:r w:rsidRPr="0074633F">
              <w:rPr>
                <w:i/>
                <w:iCs/>
                <w:w w:val="100"/>
              </w:rPr>
              <w:t>fc</w:t>
            </w:r>
            <w:r w:rsidRPr="0074633F">
              <w:rPr>
                <w:w w:val="100"/>
              </w:rPr>
              <w:t>| &gt; 1.2 MHz</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dBm</w:t>
            </w:r>
          </w:p>
        </w:tc>
      </w:tr>
      <w:tr w:rsidR="000D1D35" w:rsidTr="00D800B7">
        <w:trPr>
          <w:trHeight w:val="360"/>
          <w:jc w:val="center"/>
        </w:trPr>
        <w:tc>
          <w:tcPr>
            <w:tcW w:w="1360" w:type="dxa"/>
            <w:vMerge/>
            <w:tcBorders>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w w:val="100"/>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color w:val="FF0000"/>
                <w:u w:val="single"/>
              </w:rPr>
            </w:pPr>
            <w:r w:rsidRPr="0074633F">
              <w:rPr>
                <w:color w:val="FF0000"/>
                <w:w w:val="100"/>
                <w:u w:val="single"/>
              </w:rPr>
              <w:t xml:space="preserve">2000 </w:t>
            </w:r>
            <w:proofErr w:type="spellStart"/>
            <w:r w:rsidRPr="0074633F">
              <w:rPr>
                <w:color w:val="FF0000"/>
                <w:w w:val="100"/>
                <w:u w:val="single"/>
              </w:rPr>
              <w:t>ksymbols</w:t>
            </w:r>
            <w:proofErr w:type="spellEnd"/>
            <w:r w:rsidRPr="0074633F">
              <w:rPr>
                <w:color w:val="FF0000"/>
                <w:w w:val="100"/>
                <w:u w:val="single"/>
              </w:rPr>
              <w:t>/s</w:t>
            </w:r>
          </w:p>
        </w:tc>
        <w:tc>
          <w:tcPr>
            <w:tcW w:w="2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color w:val="FF0000"/>
                <w:u w:val="single"/>
              </w:rPr>
            </w:pPr>
            <w:r w:rsidRPr="0074633F">
              <w:rPr>
                <w:color w:val="FF0000"/>
                <w:w w:val="100"/>
                <w:u w:val="single"/>
              </w:rPr>
              <w:t>|</w:t>
            </w:r>
            <w:r w:rsidRPr="0074633F">
              <w:rPr>
                <w:i/>
                <w:iCs/>
                <w:color w:val="FF0000"/>
                <w:w w:val="100"/>
                <w:u w:val="single"/>
              </w:rPr>
              <w:t>f</w:t>
            </w:r>
            <w:r w:rsidRPr="0074633F">
              <w:rPr>
                <w:color w:val="FF0000"/>
                <w:w w:val="100"/>
                <w:u w:val="single"/>
              </w:rPr>
              <w:t xml:space="preserve"> – </w:t>
            </w:r>
            <w:r w:rsidRPr="0074633F">
              <w:rPr>
                <w:i/>
                <w:iCs/>
                <w:color w:val="FF0000"/>
                <w:w w:val="100"/>
                <w:u w:val="single"/>
              </w:rPr>
              <w:t>fc</w:t>
            </w:r>
            <w:r w:rsidRPr="0074633F">
              <w:rPr>
                <w:color w:val="FF0000"/>
                <w:w w:val="100"/>
                <w:u w:val="single"/>
              </w:rPr>
              <w:t>| &gt; 3.5 MHz</w: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color w:val="FF0000"/>
                <w:u w:val="single"/>
              </w:rPr>
            </w:pPr>
            <w:r w:rsidRPr="0074633F">
              <w:rPr>
                <w:color w:val="FF0000"/>
                <w:w w:val="100"/>
                <w:u w:val="single"/>
              </w:rPr>
              <w:t>–20 dB</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rPr>
                <w:color w:val="FF0000"/>
                <w:u w:val="single"/>
              </w:rPr>
            </w:pPr>
            <w:r w:rsidRPr="0074633F">
              <w:rPr>
                <w:color w:val="FF0000"/>
                <w:w w:val="100"/>
                <w:u w:val="single"/>
              </w:rPr>
              <w:t>–30 dBm</w:t>
            </w:r>
          </w:p>
        </w:tc>
      </w:tr>
    </w:tbl>
    <w:p w:rsidR="000D1D35" w:rsidRDefault="000D1D35" w:rsidP="000D1D35">
      <w:pPr>
        <w:pStyle w:val="T"/>
        <w:rPr>
          <w:w w:val="100"/>
        </w:rPr>
      </w:pPr>
    </w:p>
    <w:p w:rsidR="000D1D35" w:rsidRDefault="000D1D35" w:rsidP="000D1D35">
      <w:pPr>
        <w:pStyle w:val="H3"/>
        <w:numPr>
          <w:ilvl w:val="0"/>
          <w:numId w:val="25"/>
        </w:numPr>
        <w:rPr>
          <w:w w:val="100"/>
        </w:rPr>
      </w:pPr>
      <w:r>
        <w:rPr>
          <w:w w:val="100"/>
        </w:rPr>
        <w:t>Symbol rate</w:t>
      </w:r>
    </w:p>
    <w:p w:rsidR="000D1D35" w:rsidRDefault="000D1D35" w:rsidP="000D1D35">
      <w:pPr>
        <w:pStyle w:val="T"/>
        <w:rPr>
          <w:w w:val="100"/>
        </w:rPr>
      </w:pPr>
      <w:r>
        <w:rPr>
          <w:w w:val="100"/>
        </w:rPr>
        <w:t>Transmission of the symbol rate for 433 MHz band shall be either 31.25 </w:t>
      </w:r>
      <w:proofErr w:type="spellStart"/>
      <w:r>
        <w:rPr>
          <w:w w:val="100"/>
        </w:rPr>
        <w:t>ksymbol</w:t>
      </w:r>
      <w:proofErr w:type="spellEnd"/>
      <w:r>
        <w:rPr>
          <w:w w:val="100"/>
        </w:rPr>
        <w:t>/s, 100</w:t>
      </w:r>
      <w:r>
        <w:rPr>
          <w:w w:val="30"/>
        </w:rPr>
        <w:t> </w:t>
      </w:r>
      <w:proofErr w:type="spellStart"/>
      <w:r>
        <w:rPr>
          <w:w w:val="100"/>
        </w:rPr>
        <w:t>ksymbol</w:t>
      </w:r>
      <w:proofErr w:type="spellEnd"/>
      <w:r>
        <w:rPr>
          <w:w w:val="10"/>
        </w:rPr>
        <w:t> </w:t>
      </w:r>
      <w:r>
        <w:rPr>
          <w:w w:val="100"/>
        </w:rPr>
        <w:t>/s, or 250 </w:t>
      </w:r>
      <w:proofErr w:type="spellStart"/>
      <w:r>
        <w:rPr>
          <w:w w:val="100"/>
        </w:rPr>
        <w:t>ksymbol</w:t>
      </w:r>
      <w:proofErr w:type="spellEnd"/>
      <w:r>
        <w:rPr>
          <w:w w:val="100"/>
        </w:rPr>
        <w:t>/s with an accuracy of ±300 × 10</w:t>
      </w:r>
      <w:r>
        <w:rPr>
          <w:w w:val="100"/>
          <w:vertAlign w:val="superscript"/>
        </w:rPr>
        <w:t>-6</w:t>
      </w:r>
      <w:r>
        <w:rPr>
          <w:w w:val="100"/>
        </w:rPr>
        <w:t>.</w:t>
      </w:r>
    </w:p>
    <w:p w:rsidR="000D1D35" w:rsidRDefault="000D1D35" w:rsidP="000D1D35">
      <w:pPr>
        <w:pStyle w:val="T"/>
        <w:rPr>
          <w:w w:val="100"/>
        </w:rPr>
      </w:pPr>
      <w:r>
        <w:rPr>
          <w:w w:val="100"/>
        </w:rPr>
        <w:t xml:space="preserve">The transmitted symbol rate for 2450 MHz band shall be </w:t>
      </w:r>
      <w:r>
        <w:rPr>
          <w:color w:val="FF0000"/>
          <w:w w:val="100"/>
          <w:u w:val="single"/>
        </w:rPr>
        <w:t xml:space="preserve">either </w:t>
      </w:r>
      <w:r>
        <w:rPr>
          <w:w w:val="100"/>
        </w:rPr>
        <w:t>250 </w:t>
      </w:r>
      <w:proofErr w:type="spellStart"/>
      <w:r>
        <w:rPr>
          <w:w w:val="100"/>
        </w:rPr>
        <w:t>ksymbol</w:t>
      </w:r>
      <w:proofErr w:type="spellEnd"/>
      <w:r>
        <w:rPr>
          <w:w w:val="100"/>
        </w:rPr>
        <w:t>/s with an accuracy of ±300 × 10</w:t>
      </w:r>
      <w:r>
        <w:rPr>
          <w:w w:val="100"/>
          <w:vertAlign w:val="superscript"/>
        </w:rPr>
        <w:t>-6</w:t>
      </w:r>
      <w:r>
        <w:rPr>
          <w:color w:val="FF0000"/>
          <w:w w:val="100"/>
          <w:u w:val="single"/>
        </w:rPr>
        <w:t xml:space="preserve">, or 2000 </w:t>
      </w:r>
      <w:proofErr w:type="spellStart"/>
      <w:r>
        <w:rPr>
          <w:color w:val="FF0000"/>
          <w:w w:val="100"/>
          <w:u w:val="single"/>
        </w:rPr>
        <w:t>ksymbol</w:t>
      </w:r>
      <w:proofErr w:type="spellEnd"/>
      <w:r>
        <w:rPr>
          <w:color w:val="FF0000"/>
          <w:w w:val="100"/>
          <w:u w:val="single"/>
        </w:rPr>
        <w:t>/s with an accuracy of ±4</w:t>
      </w:r>
      <w:r w:rsidRPr="00E5165A">
        <w:rPr>
          <w:color w:val="FF0000"/>
          <w:w w:val="100"/>
          <w:u w:val="single"/>
        </w:rPr>
        <w:t>0 × 10</w:t>
      </w:r>
      <w:r w:rsidRPr="00E5165A">
        <w:rPr>
          <w:color w:val="FF0000"/>
          <w:w w:val="100"/>
          <w:u w:val="single"/>
          <w:vertAlign w:val="superscript"/>
        </w:rPr>
        <w:t>-6</w:t>
      </w:r>
      <w:r>
        <w:rPr>
          <w:color w:val="FF0000"/>
          <w:w w:val="100"/>
          <w:u w:val="single"/>
        </w:rPr>
        <w:t>.</w:t>
      </w:r>
    </w:p>
    <w:p w:rsidR="000D1D35" w:rsidRDefault="000D1D35" w:rsidP="000D1D35">
      <w:pPr>
        <w:pStyle w:val="H3"/>
        <w:numPr>
          <w:ilvl w:val="0"/>
          <w:numId w:val="26"/>
        </w:numPr>
        <w:rPr>
          <w:w w:val="100"/>
        </w:rPr>
      </w:pPr>
      <w:r>
        <w:rPr>
          <w:w w:val="100"/>
        </w:rPr>
        <w:t>Transmit center frequency tolerance</w:t>
      </w:r>
    </w:p>
    <w:p w:rsidR="000D1D35" w:rsidRDefault="000D1D35" w:rsidP="000D1D35">
      <w:pPr>
        <w:pStyle w:val="T"/>
        <w:rPr>
          <w:w w:val="100"/>
        </w:rPr>
      </w:pPr>
      <w:r>
        <w:rPr>
          <w:w w:val="100"/>
        </w:rPr>
        <w:t>The MSK PHY shall have a transmit center frequency tolerance of ±40 × 10</w:t>
      </w:r>
      <w:r>
        <w:rPr>
          <w:w w:val="100"/>
          <w:vertAlign w:val="superscript"/>
        </w:rPr>
        <w:t>-6</w:t>
      </w:r>
      <w:r>
        <w:rPr>
          <w:w w:val="100"/>
        </w:rPr>
        <w:t>.</w:t>
      </w:r>
    </w:p>
    <w:p w:rsidR="000D1D35" w:rsidRDefault="000D1D35" w:rsidP="000D1D35">
      <w:pPr>
        <w:pStyle w:val="H3"/>
        <w:numPr>
          <w:ilvl w:val="0"/>
          <w:numId w:val="27"/>
        </w:numPr>
        <w:rPr>
          <w:w w:val="100"/>
        </w:rPr>
      </w:pPr>
      <w:r>
        <w:rPr>
          <w:w w:val="100"/>
        </w:rPr>
        <w:t>Transmit power</w:t>
      </w:r>
    </w:p>
    <w:p w:rsidR="000D1D35" w:rsidRDefault="000D1D35" w:rsidP="000D1D35">
      <w:pPr>
        <w:pStyle w:val="T"/>
        <w:rPr>
          <w:w w:val="100"/>
        </w:rPr>
      </w:pPr>
      <w:r>
        <w:rPr>
          <w:w w:val="100"/>
        </w:rPr>
        <w:t xml:space="preserve">The MSK PHY in the 433 MHz band shall be capable of transmitting at a power level of at least </w:t>
      </w:r>
      <w:r>
        <w:rPr>
          <w:w w:val="100"/>
          <w:sz w:val="18"/>
          <w:szCs w:val="18"/>
        </w:rPr>
        <w:t>–</w:t>
      </w:r>
      <w:r>
        <w:rPr>
          <w:w w:val="100"/>
        </w:rPr>
        <w:t>3 dBm.</w:t>
      </w:r>
    </w:p>
    <w:p w:rsidR="000D1D35" w:rsidRDefault="000D1D35" w:rsidP="000D1D35">
      <w:pPr>
        <w:pStyle w:val="T"/>
        <w:rPr>
          <w:w w:val="100"/>
        </w:rPr>
      </w:pPr>
      <w:r>
        <w:rPr>
          <w:w w:val="100"/>
        </w:rPr>
        <w:t xml:space="preserve">The MSK PHY in the 2450 MHz band shall be capable of transmitting at a power level of at least </w:t>
      </w:r>
      <w:r>
        <w:rPr>
          <w:w w:val="100"/>
          <w:sz w:val="18"/>
          <w:szCs w:val="18"/>
        </w:rPr>
        <w:t>–</w:t>
      </w:r>
      <w:r>
        <w:rPr>
          <w:w w:val="100"/>
        </w:rPr>
        <w:t>13 dBm.</w:t>
      </w:r>
    </w:p>
    <w:p w:rsidR="000D1D35" w:rsidRDefault="000D1D35" w:rsidP="000D1D35">
      <w:pPr>
        <w:pStyle w:val="H3"/>
        <w:numPr>
          <w:ilvl w:val="0"/>
          <w:numId w:val="28"/>
        </w:numPr>
        <w:rPr>
          <w:w w:val="100"/>
        </w:rPr>
      </w:pPr>
      <w:r>
        <w:rPr>
          <w:w w:val="100"/>
        </w:rPr>
        <w:lastRenderedPageBreak/>
        <w:t>Receiver maximum input level of desired signal</w:t>
      </w:r>
    </w:p>
    <w:p w:rsidR="000D1D35" w:rsidRDefault="000D1D35" w:rsidP="000D1D35">
      <w:pPr>
        <w:pStyle w:val="T"/>
        <w:rPr>
          <w:w w:val="100"/>
        </w:rPr>
      </w:pPr>
      <w:r>
        <w:rPr>
          <w:w w:val="100"/>
        </w:rPr>
        <w:t xml:space="preserve">The MSK PHY shall have a receiver maximum input level greater than or equal to </w:t>
      </w:r>
      <w:r>
        <w:rPr>
          <w:w w:val="100"/>
          <w:sz w:val="18"/>
          <w:szCs w:val="18"/>
        </w:rPr>
        <w:t>–</w:t>
      </w:r>
      <w:r>
        <w:rPr>
          <w:w w:val="100"/>
        </w:rPr>
        <w:t>20 dBm using the measurement as described in 10.1.7.</w:t>
      </w:r>
    </w:p>
    <w:p w:rsidR="000D1D35" w:rsidRDefault="000D1D35" w:rsidP="000D1D35">
      <w:pPr>
        <w:pStyle w:val="H3"/>
        <w:numPr>
          <w:ilvl w:val="0"/>
          <w:numId w:val="29"/>
        </w:numPr>
        <w:rPr>
          <w:w w:val="100"/>
        </w:rPr>
      </w:pPr>
      <w:r>
        <w:rPr>
          <w:w w:val="100"/>
        </w:rPr>
        <w:t>Modulation frequency deviation tolerance</w:t>
      </w:r>
    </w:p>
    <w:p w:rsidR="000D1D35" w:rsidRDefault="000D1D35" w:rsidP="000D1D35">
      <w:pPr>
        <w:pStyle w:val="T"/>
        <w:rPr>
          <w:w w:val="100"/>
        </w:rPr>
      </w:pPr>
      <w:r>
        <w:rPr>
          <w:w w:val="100"/>
        </w:rPr>
        <w:t xml:space="preserve">Modulation frequency tolerance is measured as a percentage of maximum frequency deviation </w:t>
      </w:r>
      <w:r>
        <w:rPr>
          <w:rFonts w:ascii="Symbol" w:hAnsi="Symbol" w:cs="Symbol"/>
          <w:w w:val="100"/>
        </w:rPr>
        <w:t></w:t>
      </w:r>
      <w:r>
        <w:rPr>
          <w:i/>
          <w:iCs/>
          <w:w w:val="100"/>
        </w:rPr>
        <w:t>f</w:t>
      </w:r>
      <w:r>
        <w:rPr>
          <w:w w:val="100"/>
        </w:rPr>
        <w:t>.</w:t>
      </w:r>
    </w:p>
    <w:p w:rsidR="000D1D35" w:rsidRDefault="000D1D35" w:rsidP="000D1D35">
      <w:pPr>
        <w:pStyle w:val="T"/>
        <w:rPr>
          <w:w w:val="100"/>
        </w:rPr>
      </w:pPr>
      <w:r>
        <w:rPr>
          <w:w w:val="100"/>
        </w:rPr>
        <w:t xml:space="preserve">Modulation frequency deviation shall be constrained within ±30% of maximum frequency deviation </w:t>
      </w:r>
      <w:r>
        <w:rPr>
          <w:rFonts w:ascii="Symbol" w:hAnsi="Symbol" w:cs="Symbol"/>
          <w:w w:val="100"/>
        </w:rPr>
        <w:t></w:t>
      </w:r>
      <w:r>
        <w:rPr>
          <w:i/>
          <w:iCs/>
          <w:w w:val="100"/>
        </w:rPr>
        <w:t>f</w:t>
      </w:r>
      <w:r>
        <w:rPr>
          <w:w w:val="100"/>
        </w:rPr>
        <w:t xml:space="preserve"> as defined in </w:t>
      </w:r>
      <w:r>
        <w:rPr>
          <w:w w:val="100"/>
        </w:rPr>
        <w:fldChar w:fldCharType="begin"/>
      </w:r>
      <w:r>
        <w:rPr>
          <w:w w:val="100"/>
        </w:rPr>
        <w:instrText xml:space="preserve"> REF  RTF5f546f633237373233323138 \h</w:instrText>
      </w:r>
      <w:r>
        <w:rPr>
          <w:w w:val="100"/>
        </w:rPr>
      </w:r>
      <w:r>
        <w:rPr>
          <w:w w:val="100"/>
        </w:rPr>
        <w:fldChar w:fldCharType="separate"/>
      </w:r>
      <w:r>
        <w:rPr>
          <w:w w:val="100"/>
        </w:rPr>
        <w:t>18.4.3</w:t>
      </w:r>
      <w:r>
        <w:rPr>
          <w:w w:val="100"/>
        </w:rPr>
        <w:fldChar w:fldCharType="end"/>
      </w:r>
      <w:r>
        <w:rPr>
          <w:w w:val="100"/>
        </w:rPr>
        <w:t>.</w:t>
      </w:r>
    </w:p>
    <w:p w:rsidR="000D1D35" w:rsidRDefault="000D1D35" w:rsidP="000D1D35">
      <w:pPr>
        <w:pStyle w:val="H3"/>
        <w:numPr>
          <w:ilvl w:val="0"/>
          <w:numId w:val="30"/>
        </w:numPr>
        <w:rPr>
          <w:w w:val="100"/>
        </w:rPr>
      </w:pPr>
      <w:r>
        <w:rPr>
          <w:w w:val="100"/>
        </w:rPr>
        <w:t>Zero crossing tolerance</w:t>
      </w:r>
    </w:p>
    <w:p w:rsidR="000D1D35" w:rsidRDefault="000D1D35" w:rsidP="000D1D35">
      <w:pPr>
        <w:pStyle w:val="T"/>
        <w:rPr>
          <w:w w:val="100"/>
        </w:rPr>
      </w:pPr>
      <w:r>
        <w:rPr>
          <w:w w:val="100"/>
        </w:rPr>
        <w:t>All zero crossing shall be constrained within ±12.5% of symbol time.</w:t>
      </w:r>
    </w:p>
    <w:p w:rsidR="000D1D35" w:rsidRDefault="000D1D35" w:rsidP="000D1D35">
      <w:pPr>
        <w:pStyle w:val="T"/>
        <w:rPr>
          <w:rFonts w:ascii="Arial" w:hAnsi="Arial" w:cs="Arial"/>
          <w:b/>
          <w:bCs/>
          <w:w w:val="100"/>
        </w:rPr>
      </w:pPr>
    </w:p>
    <w:p w:rsidR="00E2686E" w:rsidRDefault="00E2686E">
      <w:pPr>
        <w:widowControl w:val="0"/>
        <w:spacing w:before="120"/>
      </w:pPr>
    </w:p>
    <w:sectPr w:rsidR="00E2686E" w:rsidSect="00E45088">
      <w:headerReference w:type="default" r:id="rId18"/>
      <w:footerReference w:type="default" r:id="rId19"/>
      <w:headerReference w:type="first" r:id="rId20"/>
      <w:footerReference w:type="first" r:id="rId2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74" w:rsidRDefault="00BD1674">
      <w:r>
        <w:separator/>
      </w:r>
    </w:p>
  </w:endnote>
  <w:endnote w:type="continuationSeparator" w:id="0">
    <w:p w:rsidR="00BD1674" w:rsidRDefault="00BD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auto"/>
    <w:notTrueType/>
    <w:pitch w:val="default"/>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oud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38" w:rsidRDefault="0074633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2686E">
        <w:rPr>
          <w:noProof/>
        </w:rPr>
        <w:t>Ed Callaway</w:t>
      </w:r>
    </w:fldSimple>
    <w:r>
      <w:t xml:space="preserve">, </w:t>
    </w:r>
    <w:fldSimple w:instr=" DOCPROPERTY &quot;Company&quot;  \* MERGEFORMAT ">
      <w:r w:rsidR="00E2686E">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38" w:rsidRDefault="0074633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74" w:rsidRDefault="00BD1674">
      <w:r>
        <w:separator/>
      </w:r>
    </w:p>
  </w:footnote>
  <w:footnote w:type="continuationSeparator" w:id="0">
    <w:p w:rsidR="00BD1674" w:rsidRDefault="00BD1674">
      <w:r>
        <w:continuationSeparator/>
      </w:r>
    </w:p>
  </w:footnote>
  <w:footnote w:id="1">
    <w:p w:rsidR="000D1D35" w:rsidRDefault="000D1D35" w:rsidP="000D1D35">
      <w:pPr>
        <w:pStyle w:val="TableFootnote"/>
        <w:rPr>
          <w:w w:val="100"/>
        </w:rPr>
      </w:pPr>
      <w:r>
        <w:rPr>
          <w:vertAlign w:val="superscript"/>
        </w:rPr>
        <w:footnoteRef/>
      </w:r>
      <w:r>
        <w:rPr>
          <w:w w:val="100"/>
        </w:rPr>
        <w:t xml:space="preserve">The function </w:t>
      </w:r>
      <w:proofErr w:type="gramStart"/>
      <w:r>
        <w:rPr>
          <w:w w:val="100"/>
        </w:rPr>
        <w:t>ceiling(</w:t>
      </w:r>
      <w:proofErr w:type="gramEnd"/>
      <w:r>
        <w:rPr>
          <w:w w:val="100"/>
        </w:rPr>
        <w:t>) returns the smallest integer value greater than or equal to its argument value.</w:t>
      </w:r>
    </w:p>
    <w:p w:rsidR="000D1D35" w:rsidRDefault="000D1D35" w:rsidP="000D1D35">
      <w:pPr>
        <w:pStyle w:val="Table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38" w:rsidRDefault="007463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45088">
      <w:rPr>
        <w:b/>
        <w:noProof/>
        <w:sz w:val="28"/>
      </w:rPr>
      <w:t>March,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E2686E">
      <w:rPr>
        <w:b/>
        <w:sz w:val="28"/>
      </w:rPr>
      <w:t>&lt;doc#&gt;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38" w:rsidRDefault="0074633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3D02966"/>
    <w:lvl w:ilvl="0">
      <w:numFmt w:val="bullet"/>
      <w:lvlText w:val="*"/>
      <w:lvlJc w:val="left"/>
    </w:lvl>
  </w:abstractNum>
  <w:abstractNum w:abstractNumId="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7.2.10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11.2 "/>
        <w:legacy w:legacy="1" w:legacySpace="0" w:legacyIndent="0"/>
        <w:lvlJc w:val="left"/>
        <w:rPr>
          <w:rFonts w:ascii="Arial" w:hAnsi="Arial" w:hint="default"/>
          <w:b/>
          <w:i w:val="0"/>
          <w:strike w:val="0"/>
          <w:color w:val="000000"/>
          <w:sz w:val="22"/>
          <w:u w:val="none"/>
        </w:rPr>
      </w:lvl>
    </w:lvlOverride>
  </w:num>
  <w:num w:numId="7">
    <w:abstractNumId w:val="0"/>
    <w:lvlOverride w:ilvl="0">
      <w:lvl w:ilvl="0">
        <w:start w:val="1"/>
        <w:numFmt w:val="bullet"/>
        <w:lvlText w:val="Table 11-1—"/>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18. "/>
        <w:legacy w:legacy="1" w:legacySpace="0" w:legacyIndent="0"/>
        <w:lvlJc w:val="left"/>
        <w:rPr>
          <w:rFonts w:ascii="Arial" w:hAnsi="Arial" w:hint="default"/>
          <w:b/>
          <w:i w:val="0"/>
          <w:strike w:val="0"/>
          <w:color w:val="000000"/>
          <w:sz w:val="24"/>
          <w:u w:val="none"/>
        </w:rPr>
      </w:lvl>
    </w:lvlOverride>
  </w:num>
  <w:num w:numId="9">
    <w:abstractNumId w:val="0"/>
    <w:lvlOverride w:ilvl="0">
      <w:lvl w:ilvl="0">
        <w:start w:val="1"/>
        <w:numFmt w:val="bullet"/>
        <w:lvlText w:val="18.1 "/>
        <w:legacy w:legacy="1" w:legacySpace="0" w:legacyIndent="0"/>
        <w:lvlJc w:val="left"/>
        <w:rPr>
          <w:rFonts w:ascii="Arial" w:hAnsi="Arial" w:hint="default"/>
          <w:b/>
          <w:i w:val="0"/>
          <w:strike w:val="0"/>
          <w:color w:val="000000"/>
          <w:sz w:val="22"/>
          <w:u w:val="none"/>
        </w:rPr>
      </w:lvl>
    </w:lvlOverride>
  </w:num>
  <w:num w:numId="10">
    <w:abstractNumId w:val="0"/>
    <w:lvlOverride w:ilvl="0">
      <w:lvl w:ilvl="0">
        <w:start w:val="1"/>
        <w:numFmt w:val="bullet"/>
        <w:lvlText w:val="18.2 "/>
        <w:legacy w:legacy="1" w:legacySpace="0" w:legacyIndent="0"/>
        <w:lvlJc w:val="left"/>
        <w:rPr>
          <w:rFonts w:ascii="Arial" w:hAnsi="Arial" w:hint="default"/>
          <w:b/>
          <w:i w:val="0"/>
          <w:strike w:val="0"/>
          <w:color w:val="000000"/>
          <w:sz w:val="22"/>
          <w:u w:val="none"/>
        </w:rPr>
      </w:lvl>
    </w:lvlOverride>
  </w:num>
  <w:num w:numId="11">
    <w:abstractNumId w:val="0"/>
    <w:lvlOverride w:ilvl="0">
      <w:lvl w:ilvl="0">
        <w:start w:val="1"/>
        <w:numFmt w:val="bullet"/>
        <w:lvlText w:val="Table 18-1—"/>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18-2—"/>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18.3 "/>
        <w:legacy w:legacy="1" w:legacySpace="0" w:legacyIndent="0"/>
        <w:lvlJc w:val="left"/>
        <w:rPr>
          <w:rFonts w:ascii="Arial" w:hAnsi="Arial" w:hint="default"/>
          <w:b/>
          <w:i w:val="0"/>
          <w:strike w:val="0"/>
          <w:color w:val="000000"/>
          <w:sz w:val="22"/>
          <w:u w:val="none"/>
        </w:rPr>
      </w:lvl>
    </w:lvlOverride>
  </w:num>
  <w:num w:numId="14">
    <w:abstractNumId w:val="0"/>
    <w:lvlOverride w:ilvl="0">
      <w:lvl w:ilvl="0">
        <w:start w:val="1"/>
        <w:numFmt w:val="bullet"/>
        <w:lvlText w:val="Table 18-3—"/>
        <w:legacy w:legacy="1" w:legacySpace="0" w:legacyIndent="0"/>
        <w:lvlJc w:val="center"/>
        <w:rPr>
          <w:rFonts w:ascii="Arial" w:hAnsi="Arial" w:hint="default"/>
          <w:b/>
          <w:i w:val="0"/>
          <w:strike w:val="0"/>
          <w:color w:val="000000"/>
          <w:sz w:val="20"/>
          <w:u w:val="none"/>
        </w:rPr>
      </w:lvl>
    </w:lvlOverride>
  </w:num>
  <w:num w:numId="15">
    <w:abstractNumId w:val="0"/>
    <w:lvlOverride w:ilvl="0">
      <w:lvl w:ilvl="0">
        <w:start w:val="1"/>
        <w:numFmt w:val="bullet"/>
        <w:lvlText w:val="18.4 "/>
        <w:legacy w:legacy="1" w:legacySpace="0" w:legacyIndent="0"/>
        <w:lvlJc w:val="left"/>
        <w:rPr>
          <w:rFonts w:ascii="Arial" w:hAnsi="Arial" w:hint="default"/>
          <w:b/>
          <w:i w:val="0"/>
          <w:strike w:val="0"/>
          <w:color w:val="000000"/>
          <w:sz w:val="22"/>
          <w:u w:val="none"/>
        </w:rPr>
      </w:lvl>
    </w:lvlOverride>
  </w:num>
  <w:num w:numId="16">
    <w:abstractNumId w:val="0"/>
    <w:lvlOverride w:ilvl="0">
      <w:lvl w:ilvl="0">
        <w:start w:val="1"/>
        <w:numFmt w:val="bullet"/>
        <w:lvlText w:val="18.4.1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8.4.2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8.4.3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Table 18-4—"/>
        <w:legacy w:legacy="1" w:legacySpace="0" w:legacyIndent="0"/>
        <w:lvlJc w:val="center"/>
        <w:rPr>
          <w:rFonts w:ascii="Arial" w:hAnsi="Arial" w:hint="default"/>
          <w:b/>
          <w:i w:val="0"/>
          <w:strike w:val="0"/>
          <w:color w:val="000000"/>
          <w:sz w:val="20"/>
          <w:u w:val="none"/>
        </w:rPr>
      </w:lvl>
    </w:lvlOverride>
  </w:num>
  <w:num w:numId="20">
    <w:abstractNumId w:val="0"/>
    <w:lvlOverride w:ilvl="0">
      <w:lvl w:ilvl="0">
        <w:start w:val="1"/>
        <w:numFmt w:val="bullet"/>
        <w:lvlText w:val="18.4.4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18.5 "/>
        <w:legacy w:legacy="1" w:legacySpace="0" w:legacyIndent="0"/>
        <w:lvlJc w:val="left"/>
        <w:rPr>
          <w:rFonts w:ascii="Arial" w:hAnsi="Arial" w:hint="default"/>
          <w:b/>
          <w:i w:val="0"/>
          <w:strike w:val="0"/>
          <w:color w:val="000000"/>
          <w:sz w:val="22"/>
          <w:u w:val="none"/>
        </w:rPr>
      </w:lvl>
    </w:lvlOverride>
  </w:num>
  <w:num w:numId="22">
    <w:abstractNumId w:val="0"/>
    <w:lvlOverride w:ilvl="0">
      <w:lvl w:ilvl="0">
        <w:start w:val="1"/>
        <w:numFmt w:val="bullet"/>
        <w:lvlText w:val="18.5.1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18.5.2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Table 18-5—"/>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18.5.3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18.5.4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18.5.5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18.5.6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18.5.7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8.5.8 "/>
        <w:legacy w:legacy="1" w:legacySpace="0" w:legacyIndent="0"/>
        <w:lvlJc w:val="left"/>
        <w:rPr>
          <w:rFonts w:ascii="Arial" w:hAnsi="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86E"/>
    <w:rsid w:val="000D1D35"/>
    <w:rsid w:val="003F60E8"/>
    <w:rsid w:val="00697838"/>
    <w:rsid w:val="0074633F"/>
    <w:rsid w:val="008476C8"/>
    <w:rsid w:val="00A6679F"/>
    <w:rsid w:val="00BD1674"/>
    <w:rsid w:val="00DC30D1"/>
    <w:rsid w:val="00E2686E"/>
    <w:rsid w:val="00E45088"/>
    <w:rsid w:val="00F9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99B65C3-B47E-4E59-B861-53D62497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T">
    <w:name w:val="T"/>
    <w:aliases w:val="Text"/>
    <w:uiPriority w:val="99"/>
    <w:rsid w:val="00A667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pPr>
    <w:rPr>
      <w:rFonts w:ascii="Times New Roman" w:hAnsi="Times New Roman"/>
      <w:color w:val="000000"/>
      <w:w w:val="0"/>
    </w:rPr>
  </w:style>
  <w:style w:type="paragraph" w:customStyle="1" w:styleId="EU">
    <w:name w:val="EU"/>
    <w:aliases w:val="EquationUnnumbered"/>
    <w:uiPriority w:val="99"/>
    <w:rsid w:val="00A6679F"/>
    <w:pPr>
      <w:tabs>
        <w:tab w:val="left" w:pos="400"/>
      </w:tabs>
      <w:suppressAutoHyphens/>
      <w:autoSpaceDE w:val="0"/>
      <w:autoSpaceDN w:val="0"/>
      <w:adjustRightInd w:val="0"/>
      <w:spacing w:before="240" w:after="240" w:line="240" w:lineRule="atLeast"/>
      <w:ind w:left="200"/>
    </w:pPr>
    <w:rPr>
      <w:rFonts w:ascii="Times New Roman" w:hAnsi="Times New Roman"/>
      <w:color w:val="000000"/>
      <w:w w:val="0"/>
    </w:rPr>
  </w:style>
  <w:style w:type="paragraph" w:customStyle="1" w:styleId="D">
    <w:name w:val="D"/>
    <w:aliases w:val="DashedList1"/>
    <w:uiPriority w:val="99"/>
    <w:rsid w:val="00A667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rPr>
  </w:style>
  <w:style w:type="paragraph" w:customStyle="1" w:styleId="H3">
    <w:name w:val="H3"/>
    <w:aliases w:val="1.1.1"/>
    <w:next w:val="T"/>
    <w:uiPriority w:val="99"/>
    <w:rsid w:val="00A66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2">
    <w:name w:val="L2"/>
    <w:aliases w:val="LetteredList"/>
    <w:uiPriority w:val="99"/>
    <w:rsid w:val="00A6679F"/>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1">
    <w:name w:val="L11"/>
    <w:aliases w:val="LetteredList1"/>
    <w:next w:val="L2"/>
    <w:uiPriority w:val="99"/>
    <w:rsid w:val="00A6679F"/>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TableTitle1">
    <w:name w:val="TableTitle1"/>
    <w:next w:val="Normal"/>
    <w:uiPriority w:val="99"/>
    <w:rsid w:val="000D1D3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0D1D35"/>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CellBody">
    <w:name w:val="CellBody"/>
    <w:uiPriority w:val="99"/>
    <w:rsid w:val="000D1D35"/>
    <w:pPr>
      <w:widowControl w:val="0"/>
      <w:autoSpaceDE w:val="0"/>
      <w:autoSpaceDN w:val="0"/>
      <w:adjustRightInd w:val="0"/>
      <w:spacing w:line="200" w:lineRule="atLeast"/>
    </w:pPr>
    <w:rPr>
      <w:rFonts w:ascii="Times New Roman" w:hAnsi="Times New Roman"/>
      <w:color w:val="000000"/>
      <w:w w:val="0"/>
      <w:sz w:val="18"/>
      <w:szCs w:val="18"/>
    </w:rPr>
  </w:style>
  <w:style w:type="paragraph" w:customStyle="1" w:styleId="TableFootnote">
    <w:name w:val="TableFootnote"/>
    <w:uiPriority w:val="99"/>
    <w:rsid w:val="000D1D35"/>
    <w:pPr>
      <w:widowControl w:val="0"/>
      <w:autoSpaceDE w:val="0"/>
      <w:autoSpaceDN w:val="0"/>
      <w:adjustRightInd w:val="0"/>
      <w:spacing w:line="200" w:lineRule="atLeast"/>
      <w:ind w:left="200" w:right="200" w:hanging="200"/>
      <w:jc w:val="both"/>
    </w:pPr>
    <w:rPr>
      <w:rFonts w:ascii="Times New Roman" w:hAnsi="Times New Roman"/>
      <w:color w:val="000000"/>
      <w:w w:val="0"/>
      <w:sz w:val="18"/>
      <w:szCs w:val="18"/>
    </w:rPr>
  </w:style>
  <w:style w:type="paragraph" w:customStyle="1" w:styleId="H2">
    <w:name w:val="H2"/>
    <w:aliases w:val="1.1"/>
    <w:next w:val="T"/>
    <w:uiPriority w:val="99"/>
    <w:rsid w:val="000D1D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styleId="Emphasis">
    <w:name w:val="Emphasis"/>
    <w:uiPriority w:val="99"/>
    <w:qFormat/>
    <w:rsid w:val="000D1D35"/>
    <w:rPr>
      <w:rFonts w:cs="Times New Roman"/>
      <w:i/>
      <w:iCs/>
    </w:rPr>
  </w:style>
  <w:style w:type="paragraph" w:customStyle="1" w:styleId="Definitions">
    <w:name w:val="Definitions"/>
    <w:rsid w:val="000D1D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olor w:val="000000"/>
      <w:w w:val="0"/>
    </w:rPr>
  </w:style>
  <w:style w:type="paragraph" w:customStyle="1" w:styleId="TableTitle">
    <w:name w:val="TableTitle"/>
    <w:next w:val="Normal"/>
    <w:uiPriority w:val="99"/>
    <w:rsid w:val="000D1D35"/>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0D1D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CellBodyCenter">
    <w:name w:val="CellBodyCenter"/>
    <w:uiPriority w:val="99"/>
    <w:rsid w:val="000D1D35"/>
    <w:pPr>
      <w:widowControl w:val="0"/>
      <w:autoSpaceDE w:val="0"/>
      <w:autoSpaceDN w:val="0"/>
      <w:adjustRightInd w:val="0"/>
      <w:spacing w:line="200" w:lineRule="atLeast"/>
      <w:jc w:val="center"/>
    </w:pPr>
    <w:rPr>
      <w:rFonts w:ascii="Times New Roman" w:hAnsi="Times New Roman"/>
      <w:color w:val="000000"/>
      <w:w w:val="0"/>
      <w:sz w:val="18"/>
      <w:szCs w:val="18"/>
    </w:rPr>
  </w:style>
  <w:style w:type="paragraph" w:customStyle="1" w:styleId="H1">
    <w:name w:val="H1"/>
    <w:aliases w:val="1stLevelHead"/>
    <w:next w:val="T"/>
    <w:uiPriority w:val="99"/>
    <w:rsid w:val="000D1D3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VariableList">
    <w:name w:val="VariableList"/>
    <w:uiPriority w:val="99"/>
    <w:rsid w:val="000D1D3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olor w:val="000000"/>
      <w:w w:val="0"/>
    </w:rPr>
  </w:style>
  <w:style w:type="paragraph" w:styleId="Caption">
    <w:name w:val="caption"/>
    <w:basedOn w:val="Normal"/>
    <w:next w:val="Normal"/>
    <w:uiPriority w:val="35"/>
    <w:semiHidden/>
    <w:unhideWhenUsed/>
    <w:qFormat/>
    <w:rsid w:val="000D1D35"/>
    <w:pPr>
      <w:spacing w:after="160" w:line="259" w:lineRule="auto"/>
    </w:pPr>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gcal01\Documents\Documents\IEEE\IEEE%20802\IEEE%20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0</TotalTime>
  <Pages>12</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15.4t Draft Text</vt:lpstr>
    </vt:vector>
  </TitlesOfParts>
  <Company>ARM, Inc.</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15.4t Draft Text</dc:title>
  <dc:subject>Draft text for 15.4t proposal</dc:subject>
  <dc:creator>Ed Callaway</dc:creator>
  <cp:keywords/>
  <dc:description>350 Fairway Drive, Suite 200
Deerfield Beach, Florida 33441-1834
USA
TELEPHONE: +1-954-608-7537
FAX: +1-954-333-0193
EMAIL: ed.callaway@arm.com</dc:description>
  <cp:lastModifiedBy>Ed Callaway</cp:lastModifiedBy>
  <cp:revision>2</cp:revision>
  <cp:lastPrinted>2016-03-07T21:00:00Z</cp:lastPrinted>
  <dcterms:created xsi:type="dcterms:W3CDTF">2016-03-07T22:43:00Z</dcterms:created>
  <dcterms:modified xsi:type="dcterms:W3CDTF">2016-03-07T22:43:00Z</dcterms:modified>
  <cp:category>15-16-0179-00-004t</cp:category>
</cp:coreProperties>
</file>