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77777777" w:rsidR="00D34515" w:rsidRDefault="00D34515" w:rsidP="00D34515">
      <w:pPr>
        <w:jc w:val="center"/>
        <w:rPr>
          <w:b/>
          <w:sz w:val="28"/>
        </w:rPr>
      </w:pPr>
      <w:r>
        <w:rPr>
          <w:b/>
          <w:sz w:val="28"/>
        </w:rPr>
        <w:t>Wireless Personal Area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D34515" w14:paraId="40AFEE8F" w14:textId="77777777" w:rsidTr="00931615">
        <w:tc>
          <w:tcPr>
            <w:tcW w:w="1260" w:type="dxa"/>
            <w:tcBorders>
              <w:top w:val="single" w:sz="6" w:space="0" w:color="auto"/>
            </w:tcBorders>
          </w:tcPr>
          <w:p w14:paraId="6AAF6C88" w14:textId="77777777" w:rsidR="00D34515" w:rsidRDefault="00D34515" w:rsidP="00931615">
            <w:pPr>
              <w:pStyle w:val="covertext"/>
            </w:pPr>
            <w:r>
              <w:t>Project</w:t>
            </w:r>
          </w:p>
        </w:tc>
        <w:tc>
          <w:tcPr>
            <w:tcW w:w="6930" w:type="dxa"/>
            <w:gridSpan w:val="2"/>
            <w:tcBorders>
              <w:top w:val="single" w:sz="6" w:space="0" w:color="auto"/>
            </w:tcBorders>
          </w:tcPr>
          <w:p w14:paraId="66E37FEF" w14:textId="77777777" w:rsidR="00D34515" w:rsidRDefault="00D34515" w:rsidP="00931615">
            <w:pPr>
              <w:pStyle w:val="covertext"/>
            </w:pPr>
            <w:r>
              <w:t>IEEE P802.15 Working Group for Wireless Personal Area Networks (WPANs)</w:t>
            </w:r>
          </w:p>
        </w:tc>
      </w:tr>
      <w:tr w:rsidR="00D34515" w14:paraId="154498F0" w14:textId="77777777" w:rsidTr="00931615">
        <w:tc>
          <w:tcPr>
            <w:tcW w:w="1260" w:type="dxa"/>
            <w:tcBorders>
              <w:top w:val="single" w:sz="6" w:space="0" w:color="auto"/>
            </w:tcBorders>
          </w:tcPr>
          <w:p w14:paraId="385FABA8" w14:textId="77777777" w:rsidR="00D34515" w:rsidRDefault="00D34515" w:rsidP="00931615">
            <w:pPr>
              <w:pStyle w:val="covertext"/>
            </w:pPr>
            <w:r>
              <w:t>Title</w:t>
            </w:r>
          </w:p>
        </w:tc>
        <w:tc>
          <w:tcPr>
            <w:tcW w:w="6930" w:type="dxa"/>
            <w:gridSpan w:val="2"/>
            <w:tcBorders>
              <w:top w:val="single" w:sz="6" w:space="0" w:color="auto"/>
            </w:tcBorders>
          </w:tcPr>
          <w:p w14:paraId="49491F5A" w14:textId="77777777" w:rsidR="00D34515" w:rsidRDefault="00D34515" w:rsidP="00931615">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931615">
        <w:tc>
          <w:tcPr>
            <w:tcW w:w="1260" w:type="dxa"/>
            <w:tcBorders>
              <w:top w:val="single" w:sz="6" w:space="0" w:color="auto"/>
            </w:tcBorders>
          </w:tcPr>
          <w:p w14:paraId="03ABEF7B" w14:textId="77777777" w:rsidR="00D34515" w:rsidRDefault="00D34515" w:rsidP="00931615">
            <w:pPr>
              <w:pStyle w:val="covertext"/>
            </w:pPr>
            <w:r>
              <w:t>Date Submitted</w:t>
            </w:r>
          </w:p>
        </w:tc>
        <w:tc>
          <w:tcPr>
            <w:tcW w:w="6930" w:type="dxa"/>
            <w:gridSpan w:val="2"/>
            <w:tcBorders>
              <w:top w:val="single" w:sz="6" w:space="0" w:color="auto"/>
            </w:tcBorders>
          </w:tcPr>
          <w:p w14:paraId="760EEF50" w14:textId="77777777" w:rsidR="00D34515" w:rsidRDefault="00D34515" w:rsidP="00931615">
            <w:pPr>
              <w:pStyle w:val="covertext"/>
            </w:pPr>
            <w:r>
              <w:t>[21 January 2016]</w:t>
            </w:r>
          </w:p>
        </w:tc>
      </w:tr>
      <w:tr w:rsidR="00D34515" w14:paraId="20F4A543" w14:textId="77777777" w:rsidTr="00931615">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4050" w:type="dxa"/>
            <w:tcBorders>
              <w:top w:val="single" w:sz="4" w:space="0" w:color="auto"/>
              <w:bottom w:val="single" w:sz="4" w:space="0" w:color="auto"/>
            </w:tcBorders>
          </w:tcPr>
          <w:p w14:paraId="4F8A9D96" w14:textId="77777777" w:rsidR="00D34515" w:rsidRDefault="00D34515" w:rsidP="00931615">
            <w:pPr>
              <w:pStyle w:val="covertext"/>
              <w:spacing w:before="0" w:after="0"/>
            </w:pPr>
            <w:r>
              <w:t>[</w:t>
            </w:r>
            <w:fldSimple w:instr=" AUTHOR  \* MERGEFORMAT ">
              <w:r>
                <w:rPr>
                  <w:noProof/>
                </w:rPr>
                <w:t>Kunal Shah</w:t>
              </w:r>
            </w:fldSimple>
            <w:r>
              <w:t>]</w:t>
            </w:r>
            <w:r>
              <w:br/>
              <w:t>[</w:t>
            </w:r>
            <w:r>
              <w:fldChar w:fldCharType="begin"/>
            </w:r>
            <w:r>
              <w:instrText xml:space="preserve"> DOCPROPERTY "Company"  \* MERGEFORMAT </w:instrText>
            </w:r>
            <w:r>
              <w:fldChar w:fldCharType="end"/>
            </w:r>
            <w:r>
              <w:t>]</w:t>
            </w:r>
            <w:r>
              <w:br/>
              <w:t>[address]</w:t>
            </w:r>
          </w:p>
        </w:tc>
        <w:tc>
          <w:tcPr>
            <w:tcW w:w="2880" w:type="dxa"/>
            <w:tcBorders>
              <w:top w:val="single" w:sz="4" w:space="0" w:color="auto"/>
              <w:bottom w:val="single" w:sz="4" w:space="0" w:color="auto"/>
            </w:tcBorders>
          </w:tcPr>
          <w:p w14:paraId="364F4E59" w14:textId="77777777" w:rsidR="008329FB" w:rsidRDefault="008329FB" w:rsidP="00931615">
            <w:pPr>
              <w:pStyle w:val="covertext"/>
              <w:tabs>
                <w:tab w:val="left" w:pos="1152"/>
              </w:tabs>
              <w:spacing w:before="0" w:after="0"/>
            </w:pPr>
            <w:r>
              <w:t>Voice:</w:t>
            </w:r>
            <w:r>
              <w:tab/>
              <w:t>[   ]</w:t>
            </w:r>
            <w:r>
              <w:br/>
              <w:t>Fax:</w:t>
            </w:r>
            <w:r>
              <w:tab/>
              <w:t>[   ]</w:t>
            </w:r>
          </w:p>
          <w:p w14:paraId="13CC5564" w14:textId="68B89972" w:rsidR="00D34515" w:rsidRDefault="008329FB" w:rsidP="00931615">
            <w:pPr>
              <w:pStyle w:val="covertext"/>
              <w:tabs>
                <w:tab w:val="left" w:pos="1152"/>
              </w:tabs>
              <w:spacing w:before="0" w:after="0"/>
              <w:rPr>
                <w:sz w:val="18"/>
              </w:rPr>
            </w:pPr>
            <w:r>
              <w:t>E-mail:[</w:t>
            </w:r>
            <w:proofErr w:type="spellStart"/>
            <w:r w:rsidRPr="008329FB">
              <w:t>kshah</w:t>
            </w:r>
            <w:proofErr w:type="spellEnd"/>
            <w:r w:rsidRPr="008329FB">
              <w:t xml:space="preserve"> @ silverspringnet.com</w:t>
            </w:r>
            <w:r w:rsidR="00D34515" w:rsidRPr="008329FB">
              <w:t xml:space="preserve"> </w:t>
            </w:r>
            <w:r w:rsidR="00D34515">
              <w:t>]</w:t>
            </w:r>
          </w:p>
        </w:tc>
      </w:tr>
      <w:tr w:rsidR="00D34515" w14:paraId="124086FB" w14:textId="77777777" w:rsidTr="00931615">
        <w:tc>
          <w:tcPr>
            <w:tcW w:w="1260" w:type="dxa"/>
            <w:tcBorders>
              <w:top w:val="single" w:sz="6" w:space="0" w:color="auto"/>
            </w:tcBorders>
          </w:tcPr>
          <w:p w14:paraId="6474BD33" w14:textId="1B7D81D5" w:rsidR="00D34515" w:rsidRDefault="00D34515" w:rsidP="00931615">
            <w:pPr>
              <w:pStyle w:val="covertext"/>
            </w:pPr>
            <w:r>
              <w:t>Re:</w:t>
            </w:r>
          </w:p>
        </w:tc>
        <w:tc>
          <w:tcPr>
            <w:tcW w:w="6930" w:type="dxa"/>
            <w:gridSpan w:val="2"/>
            <w:tcBorders>
              <w:top w:val="single" w:sz="6" w:space="0" w:color="auto"/>
            </w:tcBorders>
          </w:tcPr>
          <w:p w14:paraId="6D8B40C4" w14:textId="77777777" w:rsidR="00D34515" w:rsidRDefault="00D34515" w:rsidP="00931615">
            <w:pPr>
              <w:pStyle w:val="covertext"/>
            </w:pPr>
          </w:p>
        </w:tc>
      </w:tr>
      <w:tr w:rsidR="00D34515" w14:paraId="7AB35883" w14:textId="77777777" w:rsidTr="00931615">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30" w:type="dxa"/>
            <w:gridSpan w:val="2"/>
            <w:tcBorders>
              <w:top w:val="single" w:sz="6" w:space="0" w:color="auto"/>
            </w:tcBorders>
          </w:tcPr>
          <w:p w14:paraId="6931850B" w14:textId="197B0B3E" w:rsidR="00D34515" w:rsidRDefault="00D34515" w:rsidP="00931615">
            <w:pPr>
              <w:pStyle w:val="covertext"/>
            </w:pPr>
            <w:r>
              <w:t>[CSD for 802.15.4v Regional Sub-GHz]</w:t>
            </w:r>
          </w:p>
          <w:p w14:paraId="2BC9E06C" w14:textId="77777777" w:rsidR="00D34515" w:rsidRDefault="00D34515" w:rsidP="00931615">
            <w:pPr>
              <w:pStyle w:val="covertext"/>
            </w:pPr>
          </w:p>
        </w:tc>
      </w:tr>
      <w:tr w:rsidR="00D34515" w14:paraId="0B8FC409" w14:textId="77777777" w:rsidTr="00931615">
        <w:tc>
          <w:tcPr>
            <w:tcW w:w="1260" w:type="dxa"/>
            <w:tcBorders>
              <w:top w:val="single" w:sz="6" w:space="0" w:color="auto"/>
            </w:tcBorders>
          </w:tcPr>
          <w:p w14:paraId="4D578C28" w14:textId="77777777" w:rsidR="00D34515" w:rsidRDefault="00D34515" w:rsidP="00931615">
            <w:pPr>
              <w:pStyle w:val="covertext"/>
            </w:pPr>
            <w:r>
              <w:t>Purpose</w:t>
            </w:r>
          </w:p>
        </w:tc>
        <w:tc>
          <w:tcPr>
            <w:tcW w:w="6930" w:type="dxa"/>
            <w:gridSpan w:val="2"/>
            <w:tcBorders>
              <w:top w:val="single" w:sz="6" w:space="0" w:color="auto"/>
            </w:tcBorders>
          </w:tcPr>
          <w:p w14:paraId="32A8AA08" w14:textId="0237828A" w:rsidR="00D34515" w:rsidRDefault="00D34515" w:rsidP="00D34515">
            <w:pPr>
              <w:pStyle w:val="covertext"/>
            </w:pPr>
            <w:r>
              <w:t>[CSD for 802.15.4v Regional Sub-GHz]</w:t>
            </w:r>
          </w:p>
        </w:tc>
      </w:tr>
      <w:tr w:rsidR="00D34515" w14:paraId="6D4DB055" w14:textId="77777777" w:rsidTr="00931615">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30" w:type="dxa"/>
            <w:gridSpan w:val="2"/>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1615">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30" w:type="dxa"/>
            <w:gridSpan w:val="2"/>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709E9B08" w:rsidR="00FD0CA2" w:rsidRPr="00455E21" w:rsidRDefault="00FD0CA2" w:rsidP="00FD0CA2">
      <w:pPr>
        <w:ind w:left="720" w:right="720"/>
        <w:jc w:val="center"/>
        <w:rPr>
          <w:b/>
          <w:szCs w:val="24"/>
          <w:lang w:eastAsia="ja-JP"/>
        </w:rPr>
      </w:pPr>
      <w:r>
        <w:rPr>
          <w:b/>
          <w:szCs w:val="24"/>
          <w:lang w:eastAsia="ja-JP"/>
        </w:rPr>
        <w:t>Amendment</w:t>
      </w:r>
      <w:r w:rsidRPr="00455E21">
        <w:rPr>
          <w:b/>
          <w:szCs w:val="24"/>
          <w:lang w:eastAsia="ja-JP"/>
        </w:rPr>
        <w:t xml:space="preserve"> to IEEE </w:t>
      </w:r>
      <w:proofErr w:type="spellStart"/>
      <w:r w:rsidR="00F5589E">
        <w:rPr>
          <w:b/>
          <w:szCs w:val="24"/>
          <w:lang w:eastAsia="ja-JP"/>
        </w:rPr>
        <w:t>Std</w:t>
      </w:r>
      <w:proofErr w:type="spellEnd"/>
      <w:r w:rsidR="00F5589E">
        <w:rPr>
          <w:b/>
          <w:szCs w:val="24"/>
          <w:lang w:eastAsia="ja-JP"/>
        </w:rPr>
        <w:t xml:space="preserve"> </w:t>
      </w:r>
      <w:r>
        <w:rPr>
          <w:b/>
          <w:szCs w:val="24"/>
          <w:lang w:eastAsia="ja-JP"/>
        </w:rPr>
        <w:t>802.15.4</w:t>
      </w:r>
      <w:r w:rsidRPr="00455E21">
        <w:rPr>
          <w:b/>
          <w:szCs w:val="24"/>
          <w:lang w:eastAsia="ja-JP"/>
        </w:rPr>
        <w:t xml:space="preserve">: </w:t>
      </w:r>
    </w:p>
    <w:p w14:paraId="4C862B9D" w14:textId="41AA50EA" w:rsidR="00FD0CA2" w:rsidRPr="00D30BBF" w:rsidRDefault="00D30BBF" w:rsidP="00FD0CA2">
      <w:pPr>
        <w:ind w:left="720" w:right="720"/>
        <w:jc w:val="center"/>
        <w:rPr>
          <w:b/>
          <w:color w:val="FF0000"/>
          <w:szCs w:val="24"/>
        </w:rPr>
      </w:pPr>
      <w:r w:rsidRPr="00D30BBF">
        <w:rPr>
          <w:b/>
          <w:color w:val="FF0000"/>
          <w:szCs w:val="24"/>
        </w:rPr>
        <w:t>Amendment for usage of Regional Sub-GHz bands</w:t>
      </w:r>
    </w:p>
    <w:p w14:paraId="5243F2D6" w14:textId="77777777" w:rsidR="00FD0CA2" w:rsidRPr="00455E21" w:rsidRDefault="00FD0CA2" w:rsidP="00FD0CA2">
      <w:pPr>
        <w:jc w:val="center"/>
        <w:rPr>
          <w:b/>
          <w:i/>
          <w:sz w:val="23"/>
          <w:szCs w:val="23"/>
        </w:rPr>
      </w:pP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77860463" w14:textId="77777777" w:rsidR="003D0CA5" w:rsidRPr="00DB5AF5" w:rsidRDefault="00FD0CA2" w:rsidP="003D0CA5">
      <w:pPr>
        <w:pStyle w:val="LetteredList1"/>
        <w:numPr>
          <w:ilvl w:val="0"/>
          <w:numId w:val="2"/>
        </w:numPr>
        <w:autoSpaceDE w:val="0"/>
        <w:autoSpaceDN w:val="0"/>
        <w:adjustRightInd w:val="0"/>
        <w:rPr>
          <w:iCs/>
          <w:color w:val="0070C0"/>
          <w:sz w:val="23"/>
          <w:szCs w:val="23"/>
        </w:rPr>
      </w:pPr>
      <w:r w:rsidRPr="003D0CA5">
        <w:rPr>
          <w:sz w:val="23"/>
          <w:szCs w:val="23"/>
        </w:rPr>
        <w:t xml:space="preserve">The definitions will be part of this project. </w:t>
      </w:r>
    </w:p>
    <w:p w14:paraId="0DF12786" w14:textId="77777777" w:rsidR="003D0CA5" w:rsidRPr="00DB5AF5" w:rsidRDefault="003D0CA5" w:rsidP="00CE5E24">
      <w:pPr>
        <w:pStyle w:val="LetteredList1"/>
        <w:tabs>
          <w:tab w:val="clear" w:pos="720"/>
        </w:tabs>
        <w:suppressAutoHyphens w:val="0"/>
        <w:autoSpaceDE w:val="0"/>
        <w:autoSpaceDN w:val="0"/>
        <w:adjustRightInd w:val="0"/>
        <w:ind w:firstLine="0"/>
        <w:rPr>
          <w:color w:val="0070C0"/>
          <w:sz w:val="23"/>
          <w:szCs w:val="23"/>
        </w:rPr>
      </w:pPr>
      <w:r w:rsidRPr="00DB5AF5">
        <w:rPr>
          <w:iCs/>
          <w:color w:val="0070C0"/>
          <w:sz w:val="23"/>
          <w:szCs w:val="23"/>
        </w:rPr>
        <w:t>While no new managed objects are anticipated, any managed objects that are required will be defined as part of the project.</w:t>
      </w:r>
    </w:p>
    <w:p w14:paraId="676B6290" w14:textId="77777777" w:rsidR="00FD0CA2" w:rsidRPr="003D0CA5" w:rsidRDefault="00FD0CA2" w:rsidP="00FD0CA2">
      <w:pPr>
        <w:pStyle w:val="LetteredList1"/>
        <w:numPr>
          <w:ilvl w:val="0"/>
          <w:numId w:val="2"/>
        </w:numPr>
        <w:suppressAutoHyphens w:val="0"/>
        <w:autoSpaceDE w:val="0"/>
        <w:autoSpaceDN w:val="0"/>
        <w:adjustRightInd w:val="0"/>
        <w:rPr>
          <w:sz w:val="23"/>
          <w:szCs w:val="23"/>
        </w:rPr>
      </w:pPr>
      <w:r w:rsidRPr="003D0CA5">
        <w:rPr>
          <w:sz w:val="23"/>
          <w:szCs w:val="23"/>
        </w:rPr>
        <w:t>The definitions will be part of a different project and provide the plan for that project or anticipated future project</w:t>
      </w:r>
      <w:r w:rsidRPr="003D0CA5">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77777777" w:rsidR="00FD0CA2" w:rsidRDefault="00FD0CA2" w:rsidP="00FD0CA2">
      <w:pPr>
        <w:pStyle w:val="LetteredList1"/>
        <w:tabs>
          <w:tab w:val="clear" w:pos="720"/>
        </w:tabs>
        <w:ind w:left="360" w:firstLine="0"/>
      </w:pPr>
    </w:p>
    <w:p w14:paraId="3F293C1F" w14:textId="7822C7C1" w:rsidR="00FD0CA2" w:rsidRPr="00FD0CA2" w:rsidRDefault="00FD0CA2" w:rsidP="00FD0CA2">
      <w:pPr>
        <w:ind w:left="720"/>
        <w:rPr>
          <w:color w:val="FF0000"/>
        </w:rPr>
      </w:pPr>
      <w:r w:rsidRPr="00FD0CA2">
        <w:rPr>
          <w:color w:val="FF0000"/>
        </w:rPr>
        <w:t>The base standard was originally developed to service the needs of wireless sensor networks</w:t>
      </w:r>
      <w:r>
        <w:rPr>
          <w:color w:val="FF0000"/>
        </w:rPr>
        <w:t xml:space="preserve"> on available spectrum by regions</w:t>
      </w:r>
      <w:r w:rsidRPr="00FD0CA2">
        <w:rPr>
          <w:color w:val="FF0000"/>
        </w:rPr>
        <w:t xml:space="preserve">. </w:t>
      </w:r>
      <w:r>
        <w:rPr>
          <w:color w:val="FF0000"/>
        </w:rPr>
        <w:t>However, w</w:t>
      </w:r>
      <w:r w:rsidRPr="00FD0CA2">
        <w:rPr>
          <w:color w:val="FF0000"/>
        </w:rPr>
        <w:t xml:space="preserve">ith the rapid growth in </w:t>
      </w:r>
      <w:r w:rsidRPr="00FD0CA2">
        <w:rPr>
          <w:color w:val="FF0000"/>
        </w:rPr>
        <w:lastRenderedPageBreak/>
        <w:t>applications for Short Range Devices</w:t>
      </w:r>
      <w:r>
        <w:rPr>
          <w:color w:val="FF0000"/>
        </w:rPr>
        <w:t xml:space="preserve"> (SRDs)</w:t>
      </w:r>
      <w:r w:rsidRPr="00FD0CA2">
        <w:rPr>
          <w:color w:val="FF0000"/>
        </w:rPr>
        <w:t xml:space="preserve"> in Europe, Conference of Postal and Telecommunications Administrations (CEPT)</w:t>
      </w:r>
      <w:r w:rsidR="004170B0" w:rsidRPr="00FD0CA2">
        <w:rPr>
          <w:color w:val="FF0000"/>
        </w:rPr>
        <w:t xml:space="preserve"> Electronic Communications Committee (ECC) has </w:t>
      </w:r>
      <w:r>
        <w:rPr>
          <w:color w:val="FF0000"/>
        </w:rPr>
        <w:t>announced to open up a new spectrum,</w:t>
      </w:r>
      <w:r w:rsidRPr="00FD0CA2">
        <w:rPr>
          <w:color w:val="FF0000"/>
        </w:rPr>
        <w:t xml:space="preserve"> 870-876 MHz and 915-921 MHz spectrum</w:t>
      </w:r>
      <w:r>
        <w:rPr>
          <w:color w:val="FF0000"/>
        </w:rPr>
        <w:t xml:space="preserve"> for SRDs</w:t>
      </w:r>
      <w:r w:rsidRPr="00FD0CA2">
        <w:rPr>
          <w:color w:val="FF0000"/>
        </w:rPr>
        <w:t xml:space="preserve">. The new spectrum </w:t>
      </w:r>
      <w:r>
        <w:rPr>
          <w:color w:val="FF0000"/>
        </w:rPr>
        <w:t xml:space="preserve">also opened </w:t>
      </w:r>
      <w:r w:rsidRPr="00FD0CA2">
        <w:rPr>
          <w:color w:val="FF0000"/>
        </w:rPr>
        <w:t xml:space="preserve">in various other regions, including </w:t>
      </w:r>
      <w:r w:rsidR="00ED5AF2">
        <w:rPr>
          <w:color w:val="FF0000"/>
        </w:rPr>
        <w:t xml:space="preserve">the </w:t>
      </w:r>
      <w:r w:rsidRPr="00FD0CA2">
        <w:rPr>
          <w:color w:val="FF0000"/>
        </w:rPr>
        <w:t xml:space="preserve">902-928 MHz band in Mexico, </w:t>
      </w:r>
      <w:r w:rsidR="00ED5AF2">
        <w:rPr>
          <w:color w:val="FF0000"/>
        </w:rPr>
        <w:t xml:space="preserve">the </w:t>
      </w:r>
      <w:r w:rsidRPr="00FD0CA2">
        <w:rPr>
          <w:color w:val="FF0000"/>
        </w:rPr>
        <w:t xml:space="preserve">902-907.5 MHz &amp; 915-928 MHz band in Brazil, </w:t>
      </w:r>
      <w:r w:rsidR="00ED5AF2">
        <w:rPr>
          <w:color w:val="FF0000"/>
        </w:rPr>
        <w:t xml:space="preserve">the </w:t>
      </w:r>
      <w:r w:rsidRPr="00FD0CA2">
        <w:rPr>
          <w:color w:val="FF0000"/>
        </w:rPr>
        <w:t>915-928 MHz band in Australia/ New Zealand and Asian regional frequency bands</w:t>
      </w:r>
      <w:r>
        <w:rPr>
          <w:color w:val="FF0000"/>
        </w:rPr>
        <w:t xml:space="preserve">. </w:t>
      </w:r>
      <w:r w:rsidRPr="00FD0CA2">
        <w:rPr>
          <w:color w:val="FF0000"/>
        </w:rPr>
        <w:t>The availability of this additional spectrum bring</w:t>
      </w:r>
      <w:r w:rsidR="00F5589E">
        <w:rPr>
          <w:color w:val="FF0000"/>
        </w:rPr>
        <w:t>s</w:t>
      </w:r>
      <w:r w:rsidRPr="00FD0CA2">
        <w:rPr>
          <w:color w:val="FF0000"/>
        </w:rPr>
        <w:t xml:space="preserve"> considerable benefits</w:t>
      </w:r>
      <w:r>
        <w:rPr>
          <w:color w:val="FF0000"/>
        </w:rPr>
        <w:t xml:space="preserve"> </w:t>
      </w:r>
      <w:r w:rsidR="00F5589E">
        <w:rPr>
          <w:color w:val="FF0000"/>
        </w:rPr>
        <w:t xml:space="preserve">of the standard </w:t>
      </w:r>
      <w:r>
        <w:rPr>
          <w:color w:val="FF0000"/>
        </w:rPr>
        <w:t xml:space="preserve">in new regions and </w:t>
      </w:r>
      <w:r w:rsidRPr="00FD0CA2">
        <w:rPr>
          <w:color w:val="FF0000"/>
        </w:rPr>
        <w:t>will provide an opportunity to some important applications such as smart metering and new uses in the automotive industry.</w:t>
      </w:r>
      <w:r w:rsidR="004170B0" w:rsidRPr="00FD0CA2">
        <w:rPr>
          <w:color w:val="FF0000"/>
        </w:rPr>
        <w:t xml:space="preserve"> </w:t>
      </w:r>
    </w:p>
    <w:p w14:paraId="2BF45332" w14:textId="77777777" w:rsidR="00FD0CA2" w:rsidRPr="00FD0CA2" w:rsidRDefault="00FD0CA2" w:rsidP="00FD0CA2">
      <w:pPr>
        <w:ind w:left="720"/>
        <w:rPr>
          <w:color w:val="FF0000"/>
        </w:rPr>
      </w:pPr>
    </w:p>
    <w:p w14:paraId="1D67B5B9" w14:textId="00B304CE" w:rsidR="00ED5AF2" w:rsidRDefault="00FD0CA2" w:rsidP="00FD0CA2">
      <w:pPr>
        <w:ind w:left="720"/>
        <w:rPr>
          <w:color w:val="FF0000"/>
        </w:rPr>
      </w:pPr>
      <w:r>
        <w:rPr>
          <w:color w:val="FF0000"/>
        </w:rPr>
        <w:t xml:space="preserve">Also in some regions, including </w:t>
      </w:r>
      <w:r w:rsidRPr="00FD0CA2">
        <w:rPr>
          <w:color w:val="FF0000"/>
        </w:rPr>
        <w:t>470-510 MHz band in China and 863-870 MHz band in Europe</w:t>
      </w:r>
      <w:r>
        <w:rPr>
          <w:color w:val="FF0000"/>
        </w:rPr>
        <w:t xml:space="preserve">, the regional requirements have </w:t>
      </w:r>
      <w:r w:rsidR="00F5589E">
        <w:rPr>
          <w:color w:val="FF0000"/>
        </w:rPr>
        <w:t>been updated</w:t>
      </w:r>
      <w:r>
        <w:rPr>
          <w:color w:val="FF0000"/>
        </w:rPr>
        <w:t xml:space="preserve">, which </w:t>
      </w:r>
      <w:r w:rsidR="00ED5AF2">
        <w:rPr>
          <w:color w:val="FF0000"/>
        </w:rPr>
        <w:t xml:space="preserve">makes channel parameters in the standard conflict </w:t>
      </w:r>
      <w:r w:rsidR="00F5589E">
        <w:rPr>
          <w:color w:val="FF0000"/>
        </w:rPr>
        <w:t>with</w:t>
      </w:r>
      <w:r w:rsidR="00ED5AF2">
        <w:rPr>
          <w:color w:val="FF0000"/>
        </w:rPr>
        <w:t xml:space="preserve"> regional requirements</w:t>
      </w:r>
      <w:r>
        <w:rPr>
          <w:color w:val="FF0000"/>
        </w:rPr>
        <w:t>.</w:t>
      </w:r>
      <w:r w:rsidRPr="00FD0CA2">
        <w:rPr>
          <w:color w:val="FF0000"/>
        </w:rPr>
        <w:t xml:space="preserve"> </w:t>
      </w:r>
    </w:p>
    <w:p w14:paraId="2C3135A2" w14:textId="77777777" w:rsidR="00ED5AF2" w:rsidRDefault="00ED5AF2" w:rsidP="00FD0CA2">
      <w:pPr>
        <w:ind w:left="720"/>
        <w:rPr>
          <w:color w:val="FF0000"/>
        </w:rPr>
      </w:pPr>
    </w:p>
    <w:p w14:paraId="57286826" w14:textId="1E7701A0" w:rsidR="00FD0CA2" w:rsidRPr="00FD0CA2" w:rsidRDefault="001D7930" w:rsidP="00FD0CA2">
      <w:pPr>
        <w:ind w:left="720"/>
        <w:rPr>
          <w:color w:val="FF0000"/>
        </w:rPr>
      </w:pPr>
      <w:r>
        <w:rPr>
          <w:color w:val="FF0000"/>
        </w:rPr>
        <w:t>To</w:t>
      </w:r>
      <w:r w:rsidR="00FD0CA2">
        <w:rPr>
          <w:color w:val="FF0000"/>
        </w:rPr>
        <w:t xml:space="preserve"> make use of the existing regional frequency bands in the approved standard, the </w:t>
      </w:r>
      <w:r w:rsidR="00FD0CA2" w:rsidRPr="00FD0CA2">
        <w:rPr>
          <w:color w:val="FF0000"/>
        </w:rPr>
        <w:t xml:space="preserve">channel parameters need to be aligned with the regional requirements.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3F37C019" w:rsidR="00FD0CA2" w:rsidRPr="00CE5E24" w:rsidRDefault="00FD0CA2" w:rsidP="00FD0CA2">
      <w:pPr>
        <w:pStyle w:val="LetteredList1"/>
        <w:tabs>
          <w:tab w:val="clear" w:pos="720"/>
        </w:tabs>
        <w:ind w:firstLine="0"/>
        <w:rPr>
          <w:color w:val="2E74B5" w:themeColor="accent1" w:themeShade="BF"/>
          <w:sz w:val="23"/>
          <w:szCs w:val="23"/>
        </w:rPr>
      </w:pPr>
      <w:r w:rsidRPr="00CE5E24">
        <w:rPr>
          <w:color w:val="2E74B5" w:themeColor="accent1" w:themeShade="BF"/>
        </w:rPr>
        <w:t xml:space="preserve">There are many silicon and system vendors already producing devices and systems based on IEEE 802.15.4 for use in </w:t>
      </w:r>
      <w:r w:rsidR="001D7930" w:rsidRPr="00CE5E24">
        <w:rPr>
          <w:color w:val="2E74B5" w:themeColor="accent1" w:themeShade="BF"/>
        </w:rPr>
        <w:t>Internet of Things (</w:t>
      </w:r>
      <w:proofErr w:type="spellStart"/>
      <w:r w:rsidRPr="00CE5E24">
        <w:rPr>
          <w:color w:val="2E74B5" w:themeColor="accent1" w:themeShade="BF"/>
        </w:rPr>
        <w:t>IoT</w:t>
      </w:r>
      <w:proofErr w:type="spellEnd"/>
      <w:r w:rsidR="001D7930" w:rsidRPr="00CE5E24">
        <w:rPr>
          <w:color w:val="2E74B5" w:themeColor="accent1" w:themeShade="BF"/>
        </w:rPr>
        <w:t>)</w:t>
      </w:r>
      <w:r w:rsidRPr="00CE5E24">
        <w:rPr>
          <w:color w:val="2E74B5" w:themeColor="accent1" w:themeShade="BF"/>
        </w:rPr>
        <w:t xml:space="preserve"> applications which </w:t>
      </w:r>
      <w:r w:rsidRPr="00CE5E24">
        <w:rPr>
          <w:color w:val="2E74B5" w:themeColor="accent1" w:themeShade="BF"/>
          <w:szCs w:val="24"/>
          <w:lang w:eastAsia="ja-JP"/>
        </w:rPr>
        <w:t xml:space="preserve">includes things like consumer electronics, mobile devices, building automation, medical applications, </w:t>
      </w:r>
      <w:proofErr w:type="spellStart"/>
      <w:r w:rsidRPr="00CE5E24">
        <w:rPr>
          <w:color w:val="2E74B5" w:themeColor="accent1" w:themeShade="BF"/>
          <w:szCs w:val="24"/>
          <w:lang w:eastAsia="ja-JP"/>
        </w:rPr>
        <w:t>SmartGrid</w:t>
      </w:r>
      <w:proofErr w:type="spellEnd"/>
      <w:r w:rsidRPr="00CE5E24">
        <w:rPr>
          <w:color w:val="2E74B5" w:themeColor="accent1" w:themeShade="BF"/>
          <w:szCs w:val="24"/>
          <w:lang w:eastAsia="ja-JP"/>
        </w:rPr>
        <w:t xml:space="preserve">, </w:t>
      </w:r>
      <w:r w:rsidR="003D0CA5" w:rsidRPr="00CE5E24">
        <w:rPr>
          <w:color w:val="2E74B5" w:themeColor="accent1" w:themeShade="BF"/>
          <w:szCs w:val="24"/>
          <w:lang w:eastAsia="ja-JP"/>
        </w:rPr>
        <w:t xml:space="preserve">and </w:t>
      </w:r>
      <w:r w:rsidRPr="00CE5E24">
        <w:rPr>
          <w:color w:val="2E74B5" w:themeColor="accent1" w:themeShade="BF"/>
          <w:szCs w:val="24"/>
          <w:lang w:eastAsia="ja-JP"/>
        </w:rPr>
        <w:t>industrial control and therefore has a very large end user community.</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7" w:name="__RefHeading__9708_1012863564"/>
      <w:bookmarkEnd w:id="7"/>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202B35AC" w:rsidR="00FD0CA2" w:rsidRPr="00455E21" w:rsidRDefault="00FD0CA2" w:rsidP="00FD0CA2">
      <w:pPr>
        <w:pStyle w:val="BodyText"/>
        <w:ind w:leftChars="200" w:left="480"/>
        <w:rPr>
          <w:iCs/>
          <w:color w:val="auto"/>
          <w:sz w:val="23"/>
          <w:szCs w:val="23"/>
          <w:lang w:val="en-GB" w:eastAsia="ja-JP"/>
        </w:rPr>
      </w:pPr>
      <w:r>
        <w:rPr>
          <w:iCs/>
          <w:color w:val="FF0000"/>
          <w:sz w:val="23"/>
          <w:szCs w:val="23"/>
          <w:lang w:val="en-GB"/>
        </w:rPr>
        <w:t xml:space="preserve">This amendment uniquely addresses </w:t>
      </w:r>
      <w:r w:rsidR="001D7930">
        <w:rPr>
          <w:iCs/>
          <w:color w:val="FF0000"/>
          <w:sz w:val="23"/>
          <w:szCs w:val="23"/>
          <w:lang w:val="en-GB"/>
        </w:rPr>
        <w:t>IEEE 802.</w:t>
      </w:r>
      <w:r>
        <w:rPr>
          <w:iCs/>
          <w:color w:val="FF0000"/>
          <w:sz w:val="23"/>
          <w:szCs w:val="23"/>
          <w:lang w:val="en-GB"/>
        </w:rPr>
        <w:t xml:space="preserve">15.4 operation in </w:t>
      </w:r>
      <w:r w:rsidRPr="00FD0CA2">
        <w:rPr>
          <w:iCs/>
          <w:color w:val="FF0000"/>
          <w:sz w:val="23"/>
          <w:szCs w:val="23"/>
          <w:lang w:val="en-GB"/>
        </w:rPr>
        <w:t>870-87</w:t>
      </w:r>
      <w:r w:rsidR="001D7930">
        <w:rPr>
          <w:iCs/>
          <w:color w:val="FF0000"/>
          <w:sz w:val="23"/>
          <w:szCs w:val="23"/>
          <w:lang w:val="en-GB"/>
        </w:rPr>
        <w:t xml:space="preserve">6 MHz and 915-921 MHz spectrum, as well as </w:t>
      </w:r>
      <w:r w:rsidRPr="00FD0CA2">
        <w:rPr>
          <w:iCs/>
          <w:color w:val="FF0000"/>
          <w:sz w:val="23"/>
          <w:szCs w:val="23"/>
          <w:lang w:val="en-GB"/>
        </w:rPr>
        <w:t xml:space="preserve">new spectrum in various other regions, including 902-928 MHz band </w:t>
      </w:r>
      <w:r w:rsidRPr="00FD0CA2">
        <w:rPr>
          <w:iCs/>
          <w:color w:val="FF0000"/>
          <w:sz w:val="23"/>
          <w:szCs w:val="23"/>
          <w:lang w:val="en-GB"/>
        </w:rPr>
        <w:lastRenderedPageBreak/>
        <w:t>in Mexico, 902-907.5 MHz &amp; 915-928 MHz band in Brazil, 915-928 MHz band in Australia/ New Zealand and Asian regional frequency bands</w:t>
      </w:r>
      <w:r>
        <w:rPr>
          <w:iCs/>
          <w:color w:val="FF0000"/>
          <w:sz w:val="23"/>
          <w:szCs w:val="23"/>
          <w:lang w:val="en-GB"/>
        </w:rPr>
        <w:t>.</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0CD69B6E"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575118FD"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Pr>
          <w:color w:val="FF0000"/>
          <w:sz w:val="23"/>
          <w:szCs w:val="23"/>
          <w:lang w:eastAsia="ja-JP"/>
        </w:rPr>
        <w:t xml:space="preserve"> shipped devices, to be suitable to effectively address </w:t>
      </w:r>
      <w:proofErr w:type="spellStart"/>
      <w:r>
        <w:rPr>
          <w:color w:val="FF0000"/>
          <w:sz w:val="23"/>
          <w:szCs w:val="23"/>
          <w:lang w:eastAsia="ja-JP"/>
        </w:rPr>
        <w:t>IoT</w:t>
      </w:r>
      <w:proofErr w:type="spellEnd"/>
      <w:r>
        <w:rPr>
          <w:color w:val="FF0000"/>
          <w:sz w:val="23"/>
          <w:szCs w:val="23"/>
          <w:lang w:eastAsia="ja-JP"/>
        </w:rPr>
        <w:t xml:space="preserve"> networking needs.</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bookmarkStart w:id="9" w:name="_GoBack"/>
      <w:bookmarkEnd w:id="9"/>
    </w:p>
    <w:p w14:paraId="0DF85134" w14:textId="77777777" w:rsidR="00FD0CA2" w:rsidRPr="00455E21" w:rsidRDefault="00FD0CA2" w:rsidP="00FD0CA2">
      <w:pPr>
        <w:pStyle w:val="Plain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36648EBD" w:rsidR="00FD0CA2" w:rsidRPr="00CE5E24" w:rsidRDefault="00FA3337" w:rsidP="00D30BBF">
      <w:pPr>
        <w:pStyle w:val="PlainText"/>
        <w:tabs>
          <w:tab w:val="left" w:pos="360"/>
        </w:tabs>
        <w:ind w:left="720"/>
        <w:rPr>
          <w:color w:val="2E74B5" w:themeColor="accent1" w:themeShade="BF"/>
          <w:sz w:val="23"/>
          <w:szCs w:val="23"/>
        </w:rPr>
      </w:pPr>
      <w:r w:rsidRPr="00CE5E24">
        <w:rPr>
          <w:rFonts w:ascii="Times New Roman" w:hAnsi="Times New Roman"/>
          <w:color w:val="2E74B5" w:themeColor="accent1" w:themeShade="BF"/>
          <w:sz w:val="23"/>
          <w:szCs w:val="23"/>
        </w:rPr>
        <w:t>Installation costs are not affected by this amendment</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0211B4E4"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15.4 devices in volume shipment operating in nearby frequency bands. Complying with the regulatory requirements of this band has zero 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AF6D6A"/>
    <w:sectPr w:rsidR="00B90140"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41B92" w14:textId="77777777" w:rsidR="00AF6D6A" w:rsidRDefault="00AF6D6A" w:rsidP="00FD0CA2">
      <w:r>
        <w:separator/>
      </w:r>
    </w:p>
  </w:endnote>
  <w:endnote w:type="continuationSeparator" w:id="0">
    <w:p w14:paraId="573CE7C2" w14:textId="77777777" w:rsidR="00AF6D6A" w:rsidRDefault="00AF6D6A"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77777777" w:rsidR="001E47E8" w:rsidRPr="00EF1459" w:rsidRDefault="004170B0">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FD0CA2">
      <w:rPr>
        <w:lang w:val="de-DE"/>
      </w:rPr>
      <w:t>Kunal Shah, Silver Spring Networks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03370" w14:textId="77777777" w:rsidR="00AF6D6A" w:rsidRDefault="00AF6D6A" w:rsidP="00FD0CA2">
      <w:r>
        <w:separator/>
      </w:r>
    </w:p>
  </w:footnote>
  <w:footnote w:type="continuationSeparator" w:id="0">
    <w:p w14:paraId="3108E232" w14:textId="77777777" w:rsidR="00AF6D6A" w:rsidRDefault="00AF6D6A"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5E7A8262"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3D0CA5">
      <w:rPr>
        <w:b/>
        <w:noProof/>
        <w:sz w:val="28"/>
        <w:lang w:eastAsia="ja-JP"/>
      </w:rPr>
      <w:t>January</w:t>
    </w:r>
    <w:r w:rsidR="003D0CA5">
      <w:rPr>
        <w:b/>
        <w:noProof/>
        <w:sz w:val="28"/>
      </w:rPr>
      <w:t>, 2016</w:t>
    </w:r>
    <w:r>
      <w:rPr>
        <w:b/>
        <w:sz w:val="28"/>
      </w:rPr>
      <w:fldChar w:fldCharType="end"/>
    </w:r>
    <w:r w:rsidRPr="00793EEA">
      <w:rPr>
        <w:b/>
        <w:sz w:val="28"/>
        <w:lang w:val="de-DE"/>
      </w:rPr>
      <w:tab/>
      <w:t xml:space="preserve">doc. </w:t>
    </w:r>
    <w:r w:rsidR="00D34515">
      <w:rPr>
        <w:b/>
        <w:sz w:val="28"/>
        <w:lang w:val="de-DE"/>
      </w:rPr>
      <w:t>15-16-0131</w:t>
    </w:r>
    <w:r w:rsidRPr="00793EEA">
      <w:rPr>
        <w:b/>
        <w:sz w:val="28"/>
        <w:lang w:val="de-DE"/>
      </w:rPr>
      <w:t>-0</w:t>
    </w:r>
    <w:r>
      <w:rPr>
        <w:b/>
        <w:sz w:val="28"/>
        <w:lang w:val="de-DE"/>
      </w:rPr>
      <w:t>0-0000</w:t>
    </w:r>
    <w:r w:rsidR="00FD0CA2">
      <w:rPr>
        <w:b/>
        <w:sz w:val="28"/>
        <w:lang w:val="de-DE"/>
      </w:rPr>
      <w:t>_</w:t>
    </w:r>
    <w:r>
      <w:rPr>
        <w:b/>
        <w:sz w:val="28"/>
        <w:lang w:val="de-DE"/>
      </w:rPr>
      <w:t>15.</w:t>
    </w:r>
    <w:r w:rsidR="00FD0CA2">
      <w:rPr>
        <w:b/>
        <w:sz w:val="28"/>
        <w:lang w:val="de-DE"/>
      </w:rPr>
      <w:t>4v</w:t>
    </w:r>
    <w:r w:rsidR="00D34515" w:rsidRPr="00793EEA">
      <w:rPr>
        <w:b/>
        <w:sz w:val="28"/>
        <w:lang w:val="de-DE"/>
      </w:rPr>
      <w:t xml:space="preserve"> </w:t>
    </w:r>
    <w:r w:rsidRPr="00793EEA">
      <w:rPr>
        <w:b/>
        <w:sz w:val="28"/>
        <w:lang w:val="de-DE"/>
      </w:rPr>
      <w: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66ED3"/>
    <w:rsid w:val="00121EB0"/>
    <w:rsid w:val="00122F0C"/>
    <w:rsid w:val="001D7930"/>
    <w:rsid w:val="00310FA7"/>
    <w:rsid w:val="003D0CA5"/>
    <w:rsid w:val="003E7EDB"/>
    <w:rsid w:val="004170B0"/>
    <w:rsid w:val="006B0E92"/>
    <w:rsid w:val="008329FB"/>
    <w:rsid w:val="009B3448"/>
    <w:rsid w:val="00A358BE"/>
    <w:rsid w:val="00AD3900"/>
    <w:rsid w:val="00AF6D6A"/>
    <w:rsid w:val="00CE5E24"/>
    <w:rsid w:val="00D30BBF"/>
    <w:rsid w:val="00D34515"/>
    <w:rsid w:val="00E05D00"/>
    <w:rsid w:val="00ED5AF2"/>
    <w:rsid w:val="00F5589E"/>
    <w:rsid w:val="00FA3337"/>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paragraph" w:styleId="BalloonText">
    <w:name w:val="Balloon Text"/>
    <w:basedOn w:val="Normal"/>
    <w:link w:val="BalloonTextChar"/>
    <w:uiPriority w:val="99"/>
    <w:semiHidden/>
    <w:unhideWhenUsed/>
    <w:rsid w:val="00CE5E24"/>
    <w:rPr>
      <w:rFonts w:ascii="Tahoma" w:hAnsi="Tahoma" w:cs="Tahoma"/>
      <w:sz w:val="16"/>
      <w:szCs w:val="16"/>
    </w:rPr>
  </w:style>
  <w:style w:type="character" w:customStyle="1" w:styleId="BalloonTextChar">
    <w:name w:val="Balloon Text Char"/>
    <w:basedOn w:val="DefaultParagraphFont"/>
    <w:link w:val="BalloonText"/>
    <w:uiPriority w:val="99"/>
    <w:semiHidden/>
    <w:rsid w:val="00CE5E2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paragraph" w:styleId="BalloonText">
    <w:name w:val="Balloon Text"/>
    <w:basedOn w:val="Normal"/>
    <w:link w:val="BalloonTextChar"/>
    <w:uiPriority w:val="99"/>
    <w:semiHidden/>
    <w:unhideWhenUsed/>
    <w:rsid w:val="00CE5E24"/>
    <w:rPr>
      <w:rFonts w:ascii="Tahoma" w:hAnsi="Tahoma" w:cs="Tahoma"/>
      <w:sz w:val="16"/>
      <w:szCs w:val="16"/>
    </w:rPr>
  </w:style>
  <w:style w:type="character" w:customStyle="1" w:styleId="BalloonTextChar">
    <w:name w:val="Balloon Text Char"/>
    <w:basedOn w:val="DefaultParagraphFont"/>
    <w:link w:val="BalloonText"/>
    <w:uiPriority w:val="99"/>
    <w:semiHidden/>
    <w:rsid w:val="00CE5E2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1053</Words>
  <Characters>6003</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IEEE 802 criteria for standards development (CSD)</vt:lpstr>
      <vt:lpstr>    Project process requirements</vt:lpstr>
      <vt:lpstr>        Managed objects</vt:lpstr>
      <vt:lpstr>        Coexistence</vt:lpstr>
      <vt:lpstr>    5C requirements</vt:lpstr>
      <vt:lpstr>        Broad market potential</vt:lpstr>
      <vt:lpstr>        Compatibility</vt:lpstr>
      <vt:lpstr>        Technical Feasibility</vt:lpstr>
      <vt:lpstr>        Economic Feasibility</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4</cp:revision>
  <dcterms:created xsi:type="dcterms:W3CDTF">2016-03-15T08:36:00Z</dcterms:created>
  <dcterms:modified xsi:type="dcterms:W3CDTF">2016-03-16T06:25:00Z</dcterms:modified>
</cp:coreProperties>
</file>