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337" w:rsidRPr="00FC5337" w:rsidRDefault="00FC5337" w:rsidP="00FC5337">
      <w:pPr>
        <w:kinsoku w:val="0"/>
        <w:overflowPunct w:val="0"/>
        <w:spacing w:after="0" w:line="240" w:lineRule="auto"/>
        <w:jc w:val="center"/>
        <w:textAlignment w:val="baseline"/>
        <w:rPr>
          <w:rFonts w:ascii="Times New Roman" w:hAnsi="Times New Roman"/>
          <w:kern w:val="0"/>
          <w:sz w:val="24"/>
          <w:lang w:val="en-US"/>
        </w:rPr>
      </w:pPr>
      <w:bookmarkStart w:id="0" w:name="_Ref435444534"/>
      <w:r w:rsidRPr="00FC5337">
        <w:rPr>
          <w:rFonts w:ascii="Times New Roman" w:eastAsia="+mn-ea" w:hAnsi="Times New Roman" w:cs="+mn-cs"/>
          <w:b/>
          <w:bCs/>
          <w:shadow/>
          <w:color w:val="000000"/>
          <w:kern w:val="24"/>
          <w:sz w:val="36"/>
          <w:szCs w:val="36"/>
          <w:u w:val="single"/>
          <w:lang w:val="en-US"/>
        </w:rPr>
        <w:t>Project: IEEE P802.15 Working Group for Wireless Personal Area Networks (WPANs)</w:t>
      </w:r>
      <w:r w:rsidRPr="00FC5337">
        <w:rPr>
          <w:rFonts w:ascii="Times New Roman" w:eastAsia="+mn-ea" w:hAnsi="Times New Roman" w:cs="+mn-cs"/>
          <w:b/>
          <w:bCs/>
          <w:color w:val="000000"/>
          <w:kern w:val="24"/>
          <w:sz w:val="32"/>
          <w:szCs w:val="32"/>
          <w:lang w:val="en-US"/>
        </w:rPr>
        <w:t xml:space="preserve"> </w:t>
      </w:r>
    </w:p>
    <w:p w:rsidR="00FC5337" w:rsidRDefault="00FC5337" w:rsidP="00FC5337">
      <w:pPr>
        <w:kinsoku w:val="0"/>
        <w:overflowPunct w:val="0"/>
        <w:spacing w:after="0" w:line="240" w:lineRule="auto"/>
        <w:textAlignment w:val="baseline"/>
        <w:rPr>
          <w:rFonts w:ascii="Times New Roman" w:eastAsia="+mn-ea" w:hAnsi="Times New Roman" w:cs="+mn-cs"/>
          <w:color w:val="000000"/>
          <w:kern w:val="24"/>
          <w:sz w:val="32"/>
          <w:szCs w:val="32"/>
          <w:lang w:val="en-US"/>
        </w:rPr>
      </w:pPr>
      <w:r w:rsidRPr="00FC5337">
        <w:rPr>
          <w:rFonts w:ascii="Times New Roman" w:eastAsia="+mn-ea" w:hAnsi="Times New Roman" w:cs="+mn-cs"/>
          <w:b/>
          <w:bCs/>
          <w:color w:val="000000"/>
          <w:kern w:val="24"/>
          <w:sz w:val="32"/>
          <w:szCs w:val="32"/>
          <w:lang w:val="en-US"/>
        </w:rPr>
        <w:t>Submission Title:</w:t>
      </w:r>
      <w:r w:rsidRPr="00FC5337">
        <w:rPr>
          <w:rFonts w:ascii="Times New Roman" w:eastAsia="+mn-ea" w:hAnsi="Times New Roman" w:cs="+mn-cs"/>
          <w:color w:val="000000"/>
          <w:kern w:val="24"/>
          <w:sz w:val="32"/>
          <w:szCs w:val="32"/>
          <w:lang w:val="en-US"/>
        </w:rPr>
        <w:t xml:space="preserve"> Channel Model for Intra-Device Communications</w:t>
      </w:r>
      <w:r>
        <w:rPr>
          <w:rFonts w:ascii="Times New Roman" w:eastAsia="+mn-ea" w:hAnsi="Times New Roman" w:cs="+mn-cs"/>
          <w:color w:val="000000"/>
          <w:kern w:val="24"/>
          <w:sz w:val="32"/>
          <w:szCs w:val="32"/>
          <w:lang w:val="en-US"/>
        </w:rPr>
        <w:t xml:space="preserve"> </w:t>
      </w:r>
    </w:p>
    <w:p w:rsidR="00FC5337" w:rsidRPr="00FC5337" w:rsidRDefault="00FC5337" w:rsidP="00FC5337">
      <w:pPr>
        <w:kinsoku w:val="0"/>
        <w:overflowPunct w:val="0"/>
        <w:spacing w:after="0" w:line="240" w:lineRule="auto"/>
        <w:textAlignment w:val="baseline"/>
        <w:rPr>
          <w:rFonts w:ascii="Times New Roman" w:hAnsi="Times New Roman"/>
          <w:kern w:val="0"/>
          <w:sz w:val="24"/>
          <w:lang w:val="en-US"/>
        </w:rPr>
      </w:pPr>
      <w:r>
        <w:rPr>
          <w:rFonts w:ascii="Times New Roman" w:eastAsia="+mn-ea" w:hAnsi="Times New Roman" w:cs="+mn-cs"/>
          <w:color w:val="000000"/>
          <w:kern w:val="24"/>
          <w:sz w:val="32"/>
          <w:szCs w:val="32"/>
          <w:lang w:val="en-US"/>
        </w:rPr>
        <w:tab/>
      </w:r>
      <w:r>
        <w:rPr>
          <w:rFonts w:ascii="Times New Roman" w:eastAsia="+mn-ea" w:hAnsi="Times New Roman" w:cs="+mn-cs"/>
          <w:color w:val="000000"/>
          <w:kern w:val="24"/>
          <w:sz w:val="32"/>
          <w:szCs w:val="32"/>
          <w:lang w:val="en-US"/>
        </w:rPr>
        <w:tab/>
      </w:r>
      <w:r>
        <w:rPr>
          <w:rFonts w:ascii="Times New Roman" w:eastAsia="+mn-ea" w:hAnsi="Times New Roman" w:cs="+mn-cs"/>
          <w:color w:val="000000"/>
          <w:kern w:val="24"/>
          <w:sz w:val="32"/>
          <w:szCs w:val="32"/>
          <w:lang w:val="en-US"/>
        </w:rPr>
        <w:tab/>
      </w:r>
      <w:r>
        <w:rPr>
          <w:rFonts w:ascii="Times New Roman" w:eastAsia="+mn-ea" w:hAnsi="Times New Roman" w:cs="+mn-cs"/>
          <w:color w:val="000000"/>
          <w:kern w:val="24"/>
          <w:sz w:val="32"/>
          <w:szCs w:val="32"/>
          <w:lang w:val="en-US"/>
        </w:rPr>
        <w:tab/>
        <w:t>Text Proposal</w:t>
      </w:r>
    </w:p>
    <w:p w:rsidR="00FC5337" w:rsidRPr="00FC5337" w:rsidRDefault="00FC5337" w:rsidP="00FC5337">
      <w:pPr>
        <w:kinsoku w:val="0"/>
        <w:overflowPunct w:val="0"/>
        <w:spacing w:after="0" w:line="240" w:lineRule="auto"/>
        <w:textAlignment w:val="baseline"/>
        <w:rPr>
          <w:rFonts w:ascii="Times New Roman" w:hAnsi="Times New Roman"/>
          <w:kern w:val="0"/>
          <w:sz w:val="24"/>
          <w:lang w:val="en-US"/>
        </w:rPr>
      </w:pPr>
      <w:r w:rsidRPr="00FC5337">
        <w:rPr>
          <w:rFonts w:ascii="Times New Roman" w:eastAsia="+mn-ea" w:hAnsi="Times New Roman" w:cs="+mn-cs"/>
          <w:color w:val="000000"/>
          <w:kern w:val="24"/>
          <w:sz w:val="32"/>
          <w:szCs w:val="32"/>
          <w:lang w:val="en-US"/>
        </w:rPr>
        <w:tab/>
      </w:r>
    </w:p>
    <w:p w:rsidR="00FC5337" w:rsidRPr="00FC5337" w:rsidRDefault="00FC5337" w:rsidP="00FC5337">
      <w:pPr>
        <w:kinsoku w:val="0"/>
        <w:overflowPunct w:val="0"/>
        <w:spacing w:after="0" w:line="240" w:lineRule="auto"/>
        <w:textAlignment w:val="baseline"/>
        <w:rPr>
          <w:rFonts w:ascii="Times New Roman" w:hAnsi="Times New Roman"/>
          <w:kern w:val="0"/>
          <w:sz w:val="24"/>
          <w:lang w:val="en-US"/>
        </w:rPr>
      </w:pPr>
      <w:r w:rsidRPr="00FC5337">
        <w:rPr>
          <w:rFonts w:ascii="Times New Roman" w:eastAsia="+mn-ea" w:hAnsi="Times New Roman" w:cs="+mn-cs"/>
          <w:b/>
          <w:bCs/>
          <w:color w:val="000000"/>
          <w:kern w:val="24"/>
          <w:sz w:val="32"/>
          <w:szCs w:val="32"/>
          <w:lang w:val="en-US"/>
        </w:rPr>
        <w:t xml:space="preserve">Date Submitted: </w:t>
      </w:r>
      <w:r w:rsidRPr="00FC5337">
        <w:rPr>
          <w:rFonts w:ascii="Times New Roman" w:eastAsia="+mn-ea" w:hAnsi="Times New Roman" w:cs="+mn-cs"/>
          <w:color w:val="000000"/>
          <w:kern w:val="24"/>
          <w:sz w:val="32"/>
          <w:szCs w:val="32"/>
          <w:lang w:val="en-US"/>
        </w:rPr>
        <w:t xml:space="preserve"> </w:t>
      </w:r>
      <w:r>
        <w:rPr>
          <w:rFonts w:ascii="Times New Roman" w:eastAsia="+mn-ea" w:hAnsi="Times New Roman" w:cs="+mn-cs"/>
          <w:color w:val="000000"/>
          <w:kern w:val="24"/>
          <w:sz w:val="32"/>
          <w:szCs w:val="32"/>
          <w:lang w:val="en-US"/>
        </w:rPr>
        <w:t>19</w:t>
      </w:r>
      <w:r w:rsidRPr="00FC5337">
        <w:rPr>
          <w:rFonts w:ascii="Times New Roman" w:eastAsia="+mn-ea" w:hAnsi="Times New Roman" w:cs="+mn-cs"/>
          <w:color w:val="000000"/>
          <w:kern w:val="24"/>
          <w:sz w:val="32"/>
          <w:szCs w:val="32"/>
          <w:lang w:val="en-US"/>
        </w:rPr>
        <w:t xml:space="preserve"> January 2016 </w:t>
      </w:r>
    </w:p>
    <w:p w:rsidR="00FC5337" w:rsidRPr="00FC5337" w:rsidRDefault="00FC5337" w:rsidP="00FC5337">
      <w:pPr>
        <w:kinsoku w:val="0"/>
        <w:overflowPunct w:val="0"/>
        <w:spacing w:after="0" w:line="240" w:lineRule="auto"/>
        <w:textAlignment w:val="baseline"/>
        <w:rPr>
          <w:rFonts w:ascii="Times New Roman" w:hAnsi="Times New Roman"/>
          <w:kern w:val="0"/>
          <w:sz w:val="24"/>
          <w:lang w:val="en-US"/>
        </w:rPr>
      </w:pPr>
      <w:r w:rsidRPr="00FC5337">
        <w:rPr>
          <w:rFonts w:ascii="Times New Roman" w:eastAsia="+mn-ea" w:hAnsi="Times New Roman" w:cs="+mn-cs"/>
          <w:b/>
          <w:bCs/>
          <w:color w:val="000000"/>
          <w:kern w:val="24"/>
          <w:sz w:val="32"/>
          <w:szCs w:val="32"/>
          <w:lang w:val="en-US"/>
        </w:rPr>
        <w:t>Source:</w:t>
      </w:r>
      <w:r w:rsidRPr="00FC5337">
        <w:rPr>
          <w:rFonts w:ascii="Times New Roman" w:eastAsia="+mn-ea" w:hAnsi="Times New Roman" w:cs="+mn-cs"/>
          <w:color w:val="000000"/>
          <w:kern w:val="24"/>
          <w:sz w:val="32"/>
          <w:szCs w:val="32"/>
          <w:lang w:val="en-US"/>
        </w:rPr>
        <w:t xml:space="preserve"> </w:t>
      </w:r>
      <w:r w:rsidRPr="00FC5337">
        <w:rPr>
          <w:rFonts w:ascii="Times New Roman" w:eastAsia="+mn-ea" w:hAnsi="Times New Roman" w:cs="+mn-cs"/>
          <w:color w:val="000000"/>
          <w:kern w:val="24"/>
          <w:sz w:val="32"/>
          <w:szCs w:val="32"/>
          <w:lang w:val="en-US"/>
        </w:rPr>
        <w:tab/>
        <w:t xml:space="preserve">Alexander Fricke, Thomas </w:t>
      </w:r>
      <w:proofErr w:type="spellStart"/>
      <w:r w:rsidRPr="00FC5337">
        <w:rPr>
          <w:rFonts w:ascii="Times New Roman" w:eastAsia="+mn-ea" w:hAnsi="Times New Roman" w:cs="+mn-cs"/>
          <w:color w:val="000000"/>
          <w:kern w:val="24"/>
          <w:sz w:val="32"/>
          <w:szCs w:val="32"/>
          <w:lang w:val="en-US"/>
        </w:rPr>
        <w:t>Kürner</w:t>
      </w:r>
      <w:proofErr w:type="spellEnd"/>
      <w:r w:rsidRPr="00FC5337">
        <w:rPr>
          <w:rFonts w:ascii="Times New Roman" w:eastAsia="+mn-ea" w:hAnsi="Times New Roman" w:cs="+mn-cs"/>
          <w:color w:val="000000"/>
          <w:kern w:val="24"/>
          <w:sz w:val="32"/>
          <w:szCs w:val="32"/>
          <w:lang w:val="en-US"/>
        </w:rPr>
        <w:t xml:space="preserve">, TU </w:t>
      </w:r>
      <w:proofErr w:type="spellStart"/>
      <w:r w:rsidRPr="00FC5337">
        <w:rPr>
          <w:rFonts w:ascii="Times New Roman" w:eastAsia="+mn-ea" w:hAnsi="Times New Roman" w:cs="+mn-cs"/>
          <w:color w:val="000000"/>
          <w:kern w:val="24"/>
          <w:sz w:val="32"/>
          <w:szCs w:val="32"/>
          <w:lang w:val="en-US"/>
        </w:rPr>
        <w:t>Braunschweig</w:t>
      </w:r>
      <w:proofErr w:type="spellEnd"/>
      <w:r w:rsidRPr="00FC5337">
        <w:rPr>
          <w:rFonts w:ascii="Times New Roman" w:eastAsia="+mn-ea" w:hAnsi="Times New Roman" w:cs="+mn-cs"/>
          <w:color w:val="000000"/>
          <w:kern w:val="24"/>
          <w:sz w:val="32"/>
          <w:szCs w:val="32"/>
          <w:lang w:val="en-US"/>
        </w:rPr>
        <w:t xml:space="preserve"> </w:t>
      </w:r>
    </w:p>
    <w:p w:rsidR="00FC5337" w:rsidRPr="00FC5337" w:rsidRDefault="00FC5337" w:rsidP="00FC5337">
      <w:pPr>
        <w:kinsoku w:val="0"/>
        <w:overflowPunct w:val="0"/>
        <w:spacing w:after="0" w:line="240" w:lineRule="auto"/>
        <w:textAlignment w:val="baseline"/>
        <w:rPr>
          <w:rFonts w:ascii="Times New Roman" w:hAnsi="Times New Roman"/>
          <w:kern w:val="0"/>
          <w:sz w:val="24"/>
          <w:lang w:val="en-US"/>
        </w:rPr>
      </w:pPr>
      <w:r w:rsidRPr="00FC5337">
        <w:rPr>
          <w:rFonts w:ascii="Times New Roman" w:eastAsia="+mn-ea" w:hAnsi="Times New Roman" w:cs="+mn-cs"/>
          <w:color w:val="000000"/>
          <w:kern w:val="24"/>
          <w:sz w:val="32"/>
          <w:szCs w:val="32"/>
          <w:lang w:val="fr-FR"/>
        </w:rPr>
        <w:tab/>
        <w:t xml:space="preserve">Mounir </w:t>
      </w:r>
      <w:proofErr w:type="spellStart"/>
      <w:r w:rsidRPr="00FC5337">
        <w:rPr>
          <w:rFonts w:ascii="Times New Roman" w:eastAsia="+mn-ea" w:hAnsi="Times New Roman" w:cs="+mn-cs"/>
          <w:color w:val="000000"/>
          <w:kern w:val="24"/>
          <w:sz w:val="32"/>
          <w:szCs w:val="32"/>
          <w:lang w:val="fr-FR"/>
        </w:rPr>
        <w:t>Achir</w:t>
      </w:r>
      <w:proofErr w:type="spellEnd"/>
      <w:r w:rsidRPr="00FC5337">
        <w:rPr>
          <w:rFonts w:ascii="Times New Roman" w:eastAsia="+mn-ea" w:hAnsi="Times New Roman" w:cs="+mn-cs"/>
          <w:color w:val="000000"/>
          <w:kern w:val="24"/>
          <w:sz w:val="32"/>
          <w:szCs w:val="32"/>
          <w:lang w:val="fr-FR"/>
        </w:rPr>
        <w:t xml:space="preserve">, Philippe </w:t>
      </w:r>
      <w:proofErr w:type="spellStart"/>
      <w:r w:rsidRPr="00FC5337">
        <w:rPr>
          <w:rFonts w:ascii="Times New Roman" w:eastAsia="+mn-ea" w:hAnsi="Times New Roman" w:cs="+mn-cs"/>
          <w:color w:val="000000"/>
          <w:kern w:val="24"/>
          <w:sz w:val="32"/>
          <w:szCs w:val="32"/>
          <w:lang w:val="fr-FR"/>
        </w:rPr>
        <w:t>LeBars</w:t>
      </w:r>
      <w:proofErr w:type="spellEnd"/>
      <w:r w:rsidRPr="00FC5337">
        <w:rPr>
          <w:rFonts w:ascii="Times New Roman" w:eastAsia="+mn-ea" w:hAnsi="Times New Roman" w:cs="+mn-cs"/>
          <w:color w:val="000000"/>
          <w:kern w:val="24"/>
          <w:sz w:val="32"/>
          <w:szCs w:val="32"/>
          <w:lang w:val="fr-FR"/>
        </w:rPr>
        <w:t>, CANON</w:t>
      </w:r>
      <w:r w:rsidRPr="00FC5337">
        <w:rPr>
          <w:rFonts w:ascii="Times New Roman" w:eastAsia="+mn-ea" w:hAnsi="Times New Roman" w:cs="+mn-cs"/>
          <w:color w:val="000000"/>
          <w:kern w:val="24"/>
          <w:sz w:val="32"/>
          <w:szCs w:val="32"/>
          <w:lang w:val="en-US"/>
        </w:rPr>
        <w:t xml:space="preserve"> </w:t>
      </w:r>
    </w:p>
    <w:p w:rsidR="00FC5337" w:rsidRPr="00FC5337" w:rsidRDefault="00FC5337" w:rsidP="00FC5337">
      <w:pPr>
        <w:kinsoku w:val="0"/>
        <w:overflowPunct w:val="0"/>
        <w:spacing w:after="0" w:line="240" w:lineRule="auto"/>
        <w:textAlignment w:val="baseline"/>
        <w:rPr>
          <w:rFonts w:ascii="Times New Roman" w:hAnsi="Times New Roman"/>
          <w:kern w:val="0"/>
          <w:sz w:val="24"/>
          <w:lang w:val="en-US"/>
        </w:rPr>
      </w:pPr>
      <w:r w:rsidRPr="00FC5337">
        <w:rPr>
          <w:rFonts w:ascii="Times New Roman" w:eastAsia="+mn-ea" w:hAnsi="Times New Roman" w:cs="+mn-cs"/>
          <w:color w:val="000000"/>
          <w:kern w:val="24"/>
          <w:sz w:val="32"/>
          <w:szCs w:val="32"/>
          <w:lang w:val="en-US"/>
        </w:rPr>
        <w:t xml:space="preserve">E-Mail: </w:t>
      </w:r>
      <w:r w:rsidRPr="00FC5337">
        <w:rPr>
          <w:rFonts w:ascii="Times New Roman" w:eastAsia="+mn-ea" w:hAnsi="Times New Roman" w:cs="+mn-cs"/>
          <w:color w:val="000000"/>
          <w:kern w:val="24"/>
          <w:sz w:val="32"/>
          <w:szCs w:val="32"/>
          <w:lang w:val="en-US"/>
        </w:rPr>
        <w:tab/>
        <w:t>fricke@ifn.ing.tu-bs.de/t.kuerner@tu-bs.de</w:t>
      </w:r>
      <w:r w:rsidRPr="00FC5337">
        <w:rPr>
          <w:rFonts w:ascii="Times New Roman" w:eastAsia="+mn-ea" w:hAnsi="Times New Roman" w:cs="+mn-cs"/>
          <w:color w:val="000000"/>
          <w:kern w:val="24"/>
          <w:sz w:val="32"/>
          <w:szCs w:val="32"/>
          <w:lang w:val="en-US"/>
        </w:rPr>
        <w:tab/>
        <w:t xml:space="preserve"> </w:t>
      </w:r>
    </w:p>
    <w:p w:rsidR="00FC5337" w:rsidRPr="00FC5337" w:rsidRDefault="00FC5337" w:rsidP="00FC5337">
      <w:pPr>
        <w:kinsoku w:val="0"/>
        <w:overflowPunct w:val="0"/>
        <w:spacing w:after="0" w:line="240" w:lineRule="auto"/>
        <w:textAlignment w:val="baseline"/>
        <w:rPr>
          <w:rFonts w:ascii="Times New Roman" w:hAnsi="Times New Roman"/>
          <w:kern w:val="0"/>
          <w:sz w:val="24"/>
          <w:lang w:val="fr-FR"/>
        </w:rPr>
      </w:pPr>
      <w:r w:rsidRPr="00FC5337">
        <w:rPr>
          <w:rFonts w:ascii="Times New Roman" w:eastAsia="+mn-ea" w:hAnsi="Times New Roman" w:cs="+mn-cs"/>
          <w:color w:val="000000"/>
          <w:kern w:val="24"/>
          <w:sz w:val="32"/>
          <w:szCs w:val="32"/>
          <w:lang w:val="fr-FR"/>
        </w:rPr>
        <w:tab/>
        <w:t xml:space="preserve">mounir.achir@crf.canon.fr / philippe.lebars@crf.canon.fr </w:t>
      </w:r>
    </w:p>
    <w:p w:rsidR="00FC5337" w:rsidRPr="00FC5337" w:rsidRDefault="00FC5337" w:rsidP="00FC5337">
      <w:pPr>
        <w:kinsoku w:val="0"/>
        <w:overflowPunct w:val="0"/>
        <w:spacing w:before="120" w:after="120" w:line="240" w:lineRule="auto"/>
        <w:textAlignment w:val="baseline"/>
        <w:rPr>
          <w:rFonts w:ascii="Times New Roman" w:hAnsi="Times New Roman"/>
          <w:kern w:val="0"/>
          <w:sz w:val="24"/>
          <w:lang w:val="en-US"/>
        </w:rPr>
      </w:pPr>
      <w:r w:rsidRPr="00FC5337">
        <w:rPr>
          <w:rFonts w:ascii="Times New Roman" w:eastAsia="+mn-ea" w:hAnsi="Times New Roman" w:cs="+mn-cs"/>
          <w:b/>
          <w:bCs/>
          <w:color w:val="000000"/>
          <w:kern w:val="24"/>
          <w:sz w:val="32"/>
          <w:szCs w:val="32"/>
          <w:lang w:val="en-US"/>
        </w:rPr>
        <w:t>Re:</w:t>
      </w:r>
      <w:r w:rsidRPr="00FC5337">
        <w:rPr>
          <w:rFonts w:ascii="Times New Roman" w:eastAsia="+mn-ea" w:hAnsi="Times New Roman" w:cs="+mn-cs"/>
          <w:color w:val="000000"/>
          <w:kern w:val="24"/>
          <w:sz w:val="32"/>
          <w:szCs w:val="32"/>
          <w:lang w:val="en-US"/>
        </w:rPr>
        <w:t xml:space="preserve"> n/a</w:t>
      </w:r>
      <w:r w:rsidRPr="00FC5337">
        <w:rPr>
          <w:rFonts w:ascii="Times New Roman" w:eastAsia="+mn-ea" w:hAnsi="Times New Roman" w:cs="+mn-cs"/>
          <w:color w:val="000000"/>
          <w:kern w:val="24"/>
          <w:sz w:val="24"/>
          <w:lang w:val="en-US"/>
        </w:rPr>
        <w:t xml:space="preserve"> </w:t>
      </w:r>
    </w:p>
    <w:p w:rsidR="00FC5337" w:rsidRPr="00FC5337" w:rsidRDefault="00FC5337" w:rsidP="00FC5337">
      <w:pPr>
        <w:kinsoku w:val="0"/>
        <w:overflowPunct w:val="0"/>
        <w:spacing w:after="0" w:line="240" w:lineRule="auto"/>
        <w:textAlignment w:val="baseline"/>
        <w:rPr>
          <w:rFonts w:ascii="Times New Roman" w:hAnsi="Times New Roman"/>
          <w:kern w:val="0"/>
          <w:sz w:val="24"/>
          <w:lang w:val="en-US"/>
        </w:rPr>
      </w:pPr>
      <w:r w:rsidRPr="00FC5337">
        <w:rPr>
          <w:rFonts w:ascii="Times New Roman" w:eastAsia="+mn-ea" w:hAnsi="Times New Roman" w:cs="+mn-cs"/>
          <w:b/>
          <w:bCs/>
          <w:color w:val="000000"/>
          <w:kern w:val="24"/>
          <w:sz w:val="32"/>
          <w:szCs w:val="32"/>
          <w:lang w:val="en-US"/>
        </w:rPr>
        <w:t>Abstract:</w:t>
      </w:r>
      <w:r w:rsidRPr="00FC5337">
        <w:rPr>
          <w:rFonts w:ascii="Times New Roman" w:eastAsia="+mn-ea" w:hAnsi="Times New Roman" w:cs="+mn-cs"/>
          <w:color w:val="000000"/>
          <w:kern w:val="24"/>
          <w:sz w:val="32"/>
          <w:szCs w:val="32"/>
          <w:lang w:val="en-US"/>
        </w:rPr>
        <w:tab/>
        <w:t xml:space="preserve">In this contribution, </w:t>
      </w:r>
      <w:r>
        <w:rPr>
          <w:rFonts w:ascii="Times New Roman" w:eastAsia="+mn-ea" w:hAnsi="Times New Roman" w:cs="+mn-cs"/>
          <w:color w:val="000000"/>
          <w:kern w:val="24"/>
          <w:sz w:val="32"/>
          <w:szCs w:val="32"/>
          <w:lang w:val="en-US"/>
        </w:rPr>
        <w:t xml:space="preserve">a CMD text proposal for </w:t>
      </w:r>
      <w:r w:rsidRPr="00FC5337">
        <w:rPr>
          <w:rFonts w:ascii="Times New Roman" w:eastAsia="+mn-ea" w:hAnsi="Times New Roman" w:cs="+mn-cs"/>
          <w:color w:val="000000"/>
          <w:kern w:val="24"/>
          <w:sz w:val="32"/>
          <w:szCs w:val="32"/>
          <w:lang w:val="en-US"/>
        </w:rPr>
        <w:t xml:space="preserve">the modeling methodology and  results for the propagation channel encountered in the application intra-device communications </w:t>
      </w:r>
      <w:r>
        <w:rPr>
          <w:rFonts w:ascii="Times New Roman" w:eastAsia="+mn-ea" w:hAnsi="Times New Roman" w:cs="+mn-cs"/>
          <w:color w:val="000000"/>
          <w:kern w:val="24"/>
          <w:sz w:val="32"/>
          <w:szCs w:val="32"/>
          <w:lang w:val="en-US"/>
        </w:rPr>
        <w:t>is</w:t>
      </w:r>
      <w:r w:rsidRPr="00FC5337">
        <w:rPr>
          <w:rFonts w:ascii="Times New Roman" w:eastAsia="+mn-ea" w:hAnsi="Times New Roman" w:cs="+mn-cs"/>
          <w:color w:val="000000"/>
          <w:kern w:val="24"/>
          <w:sz w:val="32"/>
          <w:szCs w:val="32"/>
          <w:lang w:val="en-US"/>
        </w:rPr>
        <w:t xml:space="preserve"> presented.</w:t>
      </w:r>
    </w:p>
    <w:p w:rsidR="00FC5337" w:rsidRPr="00FC5337" w:rsidRDefault="00FC5337" w:rsidP="00FC5337">
      <w:pPr>
        <w:kinsoku w:val="0"/>
        <w:overflowPunct w:val="0"/>
        <w:spacing w:before="120" w:after="120" w:line="240" w:lineRule="auto"/>
        <w:textAlignment w:val="baseline"/>
        <w:rPr>
          <w:rFonts w:ascii="Times New Roman" w:hAnsi="Times New Roman"/>
          <w:kern w:val="0"/>
          <w:sz w:val="24"/>
          <w:lang w:val="en-US"/>
        </w:rPr>
      </w:pPr>
      <w:r w:rsidRPr="00FC5337">
        <w:rPr>
          <w:rFonts w:ascii="Times New Roman" w:eastAsia="+mn-ea" w:hAnsi="Times New Roman" w:cs="+mn-cs"/>
          <w:b/>
          <w:bCs/>
          <w:color w:val="000000"/>
          <w:kern w:val="24"/>
          <w:sz w:val="32"/>
          <w:szCs w:val="32"/>
          <w:lang w:val="en-US"/>
        </w:rPr>
        <w:t xml:space="preserve">Purpose: </w:t>
      </w:r>
      <w:r w:rsidRPr="00FC5337">
        <w:rPr>
          <w:rFonts w:ascii="Times New Roman" w:eastAsia="+mn-ea" w:hAnsi="Times New Roman" w:cs="+mn-cs"/>
          <w:color w:val="000000"/>
          <w:kern w:val="24"/>
          <w:sz w:val="32"/>
          <w:szCs w:val="32"/>
          <w:lang w:val="en-US"/>
        </w:rPr>
        <w:t xml:space="preserve">Contribution towards developing an intra-device channel model for use in TG 3d </w:t>
      </w:r>
    </w:p>
    <w:p w:rsidR="00FC5337" w:rsidRPr="00FC5337" w:rsidRDefault="00FC5337" w:rsidP="00FC5337">
      <w:pPr>
        <w:kinsoku w:val="0"/>
        <w:overflowPunct w:val="0"/>
        <w:spacing w:after="0" w:line="240" w:lineRule="auto"/>
        <w:textAlignment w:val="baseline"/>
        <w:rPr>
          <w:rFonts w:ascii="Times New Roman" w:hAnsi="Times New Roman"/>
          <w:kern w:val="0"/>
          <w:sz w:val="24"/>
          <w:lang w:val="en-US"/>
        </w:rPr>
      </w:pPr>
      <w:r w:rsidRPr="00FC5337">
        <w:rPr>
          <w:rFonts w:ascii="Times New Roman" w:eastAsia="+mn-ea" w:hAnsi="Times New Roman" w:cs="+mn-cs"/>
          <w:b/>
          <w:bCs/>
          <w:color w:val="000000"/>
          <w:kern w:val="24"/>
          <w:sz w:val="32"/>
          <w:szCs w:val="32"/>
          <w:lang w:val="en-US"/>
        </w:rPr>
        <w:t>Notice:</w:t>
      </w:r>
      <w:r w:rsidRPr="00FC5337">
        <w:rPr>
          <w:rFonts w:ascii="Times New Roman" w:eastAsia="+mn-ea" w:hAnsi="Times New Roman" w:cs="+mn-cs"/>
          <w:color w:val="000000"/>
          <w:kern w:val="24"/>
          <w:sz w:val="32"/>
          <w:szCs w:val="32"/>
          <w:lang w:val="en-US"/>
        </w:rPr>
        <w:tab/>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rsidR="00FC5337" w:rsidRPr="00FC5337" w:rsidRDefault="00FC5337" w:rsidP="00FC5337">
      <w:pPr>
        <w:kinsoku w:val="0"/>
        <w:overflowPunct w:val="0"/>
        <w:spacing w:after="0" w:line="240" w:lineRule="auto"/>
        <w:textAlignment w:val="baseline"/>
        <w:rPr>
          <w:rFonts w:ascii="Times New Roman" w:hAnsi="Times New Roman"/>
          <w:kern w:val="0"/>
          <w:sz w:val="24"/>
          <w:lang w:val="en-US"/>
        </w:rPr>
      </w:pPr>
      <w:r w:rsidRPr="00FC5337">
        <w:rPr>
          <w:rFonts w:ascii="Times New Roman" w:eastAsia="+mn-ea" w:hAnsi="Times New Roman" w:cs="+mn-cs"/>
          <w:b/>
          <w:bCs/>
          <w:color w:val="000000"/>
          <w:kern w:val="24"/>
          <w:sz w:val="32"/>
          <w:szCs w:val="32"/>
          <w:lang w:val="en-US"/>
        </w:rPr>
        <w:t>Release:</w:t>
      </w:r>
      <w:r w:rsidRPr="00FC5337">
        <w:rPr>
          <w:rFonts w:ascii="Times New Roman" w:eastAsia="+mn-ea" w:hAnsi="Times New Roman" w:cs="+mn-cs"/>
          <w:color w:val="000000"/>
          <w:kern w:val="24"/>
          <w:sz w:val="32"/>
          <w:szCs w:val="32"/>
          <w:lang w:val="en-US"/>
        </w:rPr>
        <w:tab/>
        <w:t>The contributor acknowledges and accepts that this contribution becomes the property of IEEE and may be made publicly available by P802.15.</w:t>
      </w:r>
      <w:r w:rsidRPr="00FC5337">
        <w:rPr>
          <w:rFonts w:ascii="Times New Roman" w:eastAsia="+mn-ea" w:hAnsi="Times New Roman" w:cs="+mn-cs"/>
          <w:color w:val="000000"/>
          <w:kern w:val="24"/>
          <w:sz w:val="32"/>
          <w:szCs w:val="32"/>
          <w:lang w:val="en-US"/>
        </w:rPr>
        <w:tab/>
      </w:r>
    </w:p>
    <w:p w:rsidR="00FC5337" w:rsidRDefault="00FC5337">
      <w:pPr>
        <w:spacing w:after="200" w:line="276" w:lineRule="auto"/>
        <w:rPr>
          <w:sz w:val="24"/>
          <w:lang w:val="en-US"/>
        </w:rPr>
      </w:pPr>
    </w:p>
    <w:p w:rsidR="00FC5337" w:rsidRDefault="00FC5337">
      <w:pPr>
        <w:spacing w:after="200" w:line="276" w:lineRule="auto"/>
        <w:rPr>
          <w:sz w:val="24"/>
          <w:lang w:val="en-US"/>
        </w:rPr>
      </w:pPr>
      <w:r>
        <w:rPr>
          <w:sz w:val="24"/>
          <w:lang w:val="en-US"/>
        </w:rPr>
        <w:br w:type="page"/>
      </w:r>
    </w:p>
    <w:p w:rsidR="00FC5337" w:rsidRDefault="00FC5337" w:rsidP="007F1288">
      <w:pPr>
        <w:rPr>
          <w:sz w:val="24"/>
          <w:lang w:val="en-US"/>
        </w:rPr>
      </w:pPr>
    </w:p>
    <w:p w:rsidR="00795459" w:rsidRDefault="007F1288" w:rsidP="007F1288">
      <w:pPr>
        <w:pStyle w:val="berschrift1"/>
        <w:rPr>
          <w:sz w:val="24"/>
          <w:lang w:val="en-US"/>
        </w:rPr>
      </w:pPr>
      <w:r>
        <w:rPr>
          <w:sz w:val="24"/>
          <w:lang w:val="en-US"/>
        </w:rPr>
        <w:t>General Structure of the Channel Model</w:t>
      </w:r>
      <w:bookmarkEnd w:id="0"/>
    </w:p>
    <w:p w:rsidR="00F56780" w:rsidRDefault="00F56780" w:rsidP="00F56780">
      <w:pPr>
        <w:pStyle w:val="TextStandard"/>
        <w:rPr>
          <w:lang w:val="en-US"/>
        </w:rPr>
      </w:pPr>
      <w:r>
        <w:rPr>
          <w:lang w:val="en-US"/>
        </w:rPr>
        <w:t>The channel model is realized as a set of channel transfer functions which give a complete description of the propagation channel over the whole frequency range under consideration. The Inverse Fourier Transform represents the signal that is received after a single symbol has been transmitted through the channel with respect to the employed antenna characteristics. The channel transfer function in its general structure may be written as</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F56780" w:rsidTr="00202E45">
        <w:trPr>
          <w:trHeight w:val="680"/>
        </w:trPr>
        <w:tc>
          <w:tcPr>
            <w:tcW w:w="534" w:type="dxa"/>
            <w:vAlign w:val="center"/>
          </w:tcPr>
          <w:p w:rsidR="00F56780" w:rsidRDefault="00F56780" w:rsidP="00202E45">
            <w:pPr>
              <w:contextualSpacing/>
              <w:rPr>
                <w:sz w:val="24"/>
              </w:rPr>
            </w:pPr>
          </w:p>
        </w:tc>
        <w:tc>
          <w:tcPr>
            <w:tcW w:w="7229" w:type="dxa"/>
            <w:vAlign w:val="center"/>
          </w:tcPr>
          <w:p w:rsidR="00F56780" w:rsidRDefault="00F56780" w:rsidP="00202E45">
            <w:pPr>
              <w:contextualSpacing/>
              <w:rPr>
                <w:sz w:val="24"/>
              </w:rPr>
            </w:pPr>
            <m:oMathPara>
              <m:oMath>
                <m:r>
                  <w:rPr>
                    <w:rFonts w:ascii="Cambria Math" w:hAnsi="Cambria Math"/>
                    <w:sz w:val="24"/>
                  </w:rPr>
                  <m:t>H</m:t>
                </m:r>
                <m:d>
                  <m:dPr>
                    <m:ctrlPr>
                      <w:rPr>
                        <w:rFonts w:ascii="Cambria Math" w:hAnsi="Cambria Math"/>
                        <w:i/>
                        <w:sz w:val="24"/>
                      </w:rPr>
                    </m:ctrlPr>
                  </m:dPr>
                  <m:e>
                    <m:r>
                      <w:rPr>
                        <w:rFonts w:ascii="Cambria Math" w:hAnsi="Cambria Math"/>
                        <w:sz w:val="24"/>
                      </w:rPr>
                      <m:t>f,</m:t>
                    </m:r>
                    <m:sSub>
                      <m:sSubPr>
                        <m:ctrlPr>
                          <w:rPr>
                            <w:rFonts w:ascii="Cambria Math" w:hAnsi="Cambria Math"/>
                            <w:i/>
                            <w:sz w:val="24"/>
                          </w:rPr>
                        </m:ctrlPr>
                      </m:sSubPr>
                      <m:e>
                        <m:r>
                          <w:rPr>
                            <w:rFonts w:ascii="Cambria Math" w:hAnsi="Cambria Math"/>
                            <w:sz w:val="24"/>
                          </w:rPr>
                          <m:t>ϑ</m:t>
                        </m:r>
                      </m:e>
                      <m:sub>
                        <m:r>
                          <w:rPr>
                            <w:rFonts w:ascii="Cambria Math" w:hAnsi="Cambria Math"/>
                            <w:sz w:val="24"/>
                          </w:rPr>
                          <m:t>Tx</m:t>
                        </m:r>
                      </m:sub>
                    </m:sSub>
                    <m:r>
                      <w:rPr>
                        <w:rFonts w:ascii="Cambria Math" w:hAnsi="Cambria Math"/>
                        <w:sz w:val="24"/>
                      </w:rPr>
                      <m:t>,</m:t>
                    </m:r>
                    <m:sSub>
                      <m:sSubPr>
                        <m:ctrlPr>
                          <w:rPr>
                            <w:rFonts w:ascii="Cambria Math" w:hAnsi="Cambria Math"/>
                            <w:i/>
                            <w:sz w:val="24"/>
                          </w:rPr>
                        </m:ctrlPr>
                      </m:sSubPr>
                      <m:e>
                        <m:r>
                          <w:rPr>
                            <w:rFonts w:ascii="Cambria Math" w:hAnsi="Cambria Math"/>
                            <w:sz w:val="24"/>
                          </w:rPr>
                          <m:t>φ</m:t>
                        </m:r>
                      </m:e>
                      <m:sub>
                        <m:r>
                          <w:rPr>
                            <w:rFonts w:ascii="Cambria Math" w:hAnsi="Cambria Math"/>
                            <w:sz w:val="24"/>
                          </w:rPr>
                          <m:t>Tx</m:t>
                        </m:r>
                      </m:sub>
                    </m:sSub>
                    <m:r>
                      <w:rPr>
                        <w:rFonts w:ascii="Cambria Math" w:hAnsi="Cambria Math"/>
                        <w:sz w:val="24"/>
                      </w:rPr>
                      <m:t>,</m:t>
                    </m:r>
                    <m:sSub>
                      <m:sSubPr>
                        <m:ctrlPr>
                          <w:rPr>
                            <w:rFonts w:ascii="Cambria Math" w:hAnsi="Cambria Math"/>
                            <w:i/>
                            <w:sz w:val="24"/>
                          </w:rPr>
                        </m:ctrlPr>
                      </m:sSubPr>
                      <m:e>
                        <m:r>
                          <w:rPr>
                            <w:rFonts w:ascii="Cambria Math" w:hAnsi="Cambria Math"/>
                            <w:sz w:val="24"/>
                          </w:rPr>
                          <m:t>ϑ</m:t>
                        </m:r>
                      </m:e>
                      <m:sub>
                        <m:r>
                          <w:rPr>
                            <w:rFonts w:ascii="Cambria Math" w:hAnsi="Cambria Math"/>
                            <w:sz w:val="24"/>
                          </w:rPr>
                          <m:t>Rx</m:t>
                        </m:r>
                      </m:sub>
                    </m:sSub>
                    <m:r>
                      <w:rPr>
                        <w:rFonts w:ascii="Cambria Math" w:hAnsi="Cambria Math"/>
                        <w:sz w:val="24"/>
                      </w:rPr>
                      <m:t>,</m:t>
                    </m:r>
                    <m:sSub>
                      <m:sSubPr>
                        <m:ctrlPr>
                          <w:rPr>
                            <w:rFonts w:ascii="Cambria Math" w:hAnsi="Cambria Math"/>
                            <w:i/>
                            <w:sz w:val="24"/>
                          </w:rPr>
                        </m:ctrlPr>
                      </m:sSubPr>
                      <m:e>
                        <m:r>
                          <w:rPr>
                            <w:rFonts w:ascii="Cambria Math" w:hAnsi="Cambria Math"/>
                            <w:sz w:val="24"/>
                          </w:rPr>
                          <m:t>φ</m:t>
                        </m:r>
                      </m:e>
                      <m:sub>
                        <m:r>
                          <w:rPr>
                            <w:rFonts w:ascii="Cambria Math" w:hAnsi="Cambria Math"/>
                            <w:sz w:val="24"/>
                          </w:rPr>
                          <m:t>Rx</m:t>
                        </m:r>
                      </m:sub>
                    </m:sSub>
                    <m:r>
                      <w:rPr>
                        <w:rFonts w:ascii="Cambria Math" w:hAns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Tx</m:t>
                        </m:r>
                      </m:sub>
                    </m:sSub>
                    <m:r>
                      <w:rPr>
                        <w:rFonts w:ascii="Cambria Math" w:hAns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Rx</m:t>
                        </m:r>
                      </m:sub>
                    </m:sSub>
                  </m:e>
                </m:d>
                <m:r>
                  <w:rPr>
                    <w:rFonts w:ascii="Cambria Math" w:hAnsi="Cambria Math"/>
                    <w:sz w:val="24"/>
                  </w:rPr>
                  <m:t>=</m:t>
                </m:r>
                <m:nary>
                  <m:naryPr>
                    <m:chr m:val="∑"/>
                    <m:limLoc m:val="undOvr"/>
                    <m:supHide m:val="on"/>
                    <m:ctrlPr>
                      <w:rPr>
                        <w:rFonts w:ascii="Cambria Math" w:hAnsi="Cambria Math"/>
                        <w:i/>
                        <w:sz w:val="24"/>
                      </w:rPr>
                    </m:ctrlPr>
                  </m:naryPr>
                  <m:sub>
                    <m:r>
                      <w:rPr>
                        <w:rFonts w:ascii="Cambria Math" w:hAnsi="Cambria Math"/>
                        <w:sz w:val="24"/>
                      </w:rPr>
                      <m:t>i</m:t>
                    </m:r>
                  </m:sub>
                  <m:sup/>
                  <m:e>
                    <m:sSub>
                      <m:sSubPr>
                        <m:ctrlPr>
                          <w:rPr>
                            <w:rFonts w:ascii="Cambria Math" w:hAnsi="Cambria Math"/>
                            <w:i/>
                            <w:sz w:val="24"/>
                          </w:rPr>
                        </m:ctrlPr>
                      </m:sSubPr>
                      <m:e>
                        <m:r>
                          <w:rPr>
                            <w:rFonts w:ascii="Cambria Math" w:hAnsi="Cambria Math"/>
                            <w:sz w:val="24"/>
                          </w:rPr>
                          <m:t>A</m:t>
                        </m:r>
                      </m:e>
                      <m:sub>
                        <m:r>
                          <w:rPr>
                            <w:rFonts w:ascii="Cambria Math" w:hAnsi="Cambria Math"/>
                            <w:sz w:val="24"/>
                          </w:rPr>
                          <m:t>Rx</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ϑ</m:t>
                            </m:r>
                          </m:e>
                          <m:sub>
                            <m:r>
                              <w:rPr>
                                <w:rFonts w:ascii="Cambria Math" w:hAnsi="Cambria Math"/>
                                <w:sz w:val="24"/>
                              </w:rPr>
                              <m:t>Rx</m:t>
                            </m:r>
                          </m:sub>
                        </m:sSub>
                        <m:r>
                          <w:rPr>
                            <w:rFonts w:ascii="Cambria Math" w:hAnsi="Cambria Math"/>
                            <w:sz w:val="24"/>
                          </w:rPr>
                          <m:t>-</m:t>
                        </m:r>
                        <m:sSub>
                          <m:sSubPr>
                            <m:ctrlPr>
                              <w:rPr>
                                <w:rFonts w:ascii="Cambria Math" w:hAnsi="Cambria Math"/>
                                <w:i/>
                                <w:sz w:val="24"/>
                              </w:rPr>
                            </m:ctrlPr>
                          </m:sSubPr>
                          <m:e>
                            <m:r>
                              <w:rPr>
                                <w:rFonts w:ascii="Cambria Math" w:hAnsi="Cambria Math"/>
                                <w:sz w:val="24"/>
                              </w:rPr>
                              <m:t>ϑ</m:t>
                            </m:r>
                          </m:e>
                          <m:sub>
                            <m:r>
                              <w:rPr>
                                <w:rFonts w:ascii="Cambria Math" w:hAnsi="Cambria Math"/>
                                <w:sz w:val="24"/>
                              </w:rPr>
                              <m:t>AoA,i</m:t>
                            </m:r>
                          </m:sub>
                        </m:sSub>
                        <m:r>
                          <w:rPr>
                            <w:rFonts w:ascii="Cambria Math" w:hAnsi="Cambria Math"/>
                            <w:sz w:val="24"/>
                          </w:rPr>
                          <m:t>,</m:t>
                        </m:r>
                        <m:sSub>
                          <m:sSubPr>
                            <m:ctrlPr>
                              <w:rPr>
                                <w:rFonts w:ascii="Cambria Math" w:hAnsi="Cambria Math"/>
                                <w:i/>
                                <w:sz w:val="24"/>
                              </w:rPr>
                            </m:ctrlPr>
                          </m:sSubPr>
                          <m:e>
                            <m:r>
                              <w:rPr>
                                <w:rFonts w:ascii="Cambria Math" w:hAnsi="Cambria Math"/>
                                <w:sz w:val="24"/>
                              </w:rPr>
                              <m:t>φ</m:t>
                            </m:r>
                          </m:e>
                          <m:sub>
                            <m:r>
                              <w:rPr>
                                <w:rFonts w:ascii="Cambria Math" w:hAnsi="Cambria Math"/>
                                <w:sz w:val="24"/>
                              </w:rPr>
                              <m:t>Rx</m:t>
                            </m:r>
                          </m:sub>
                        </m:sSub>
                        <m:r>
                          <w:rPr>
                            <w:rFonts w:ascii="Cambria Math" w:hAnsi="Cambria Math"/>
                            <w:sz w:val="24"/>
                          </w:rPr>
                          <m:t>-</m:t>
                        </m:r>
                        <m:sSub>
                          <m:sSubPr>
                            <m:ctrlPr>
                              <w:rPr>
                                <w:rFonts w:ascii="Cambria Math" w:hAnsi="Cambria Math"/>
                                <w:i/>
                                <w:sz w:val="24"/>
                              </w:rPr>
                            </m:ctrlPr>
                          </m:sSubPr>
                          <m:e>
                            <m:r>
                              <w:rPr>
                                <w:rFonts w:ascii="Cambria Math" w:hAnsi="Cambria Math"/>
                                <w:sz w:val="24"/>
                              </w:rPr>
                              <m:t>φ</m:t>
                            </m:r>
                          </m:e>
                          <m:sub>
                            <m:r>
                              <w:rPr>
                                <w:rFonts w:ascii="Cambria Math" w:hAnsi="Cambria Math"/>
                                <w:sz w:val="24"/>
                              </w:rPr>
                              <m:t>AoA,i</m:t>
                            </m:r>
                          </m:sub>
                        </m:sSub>
                        <m:r>
                          <w:rPr>
                            <w:rFonts w:ascii="Cambria Math" w:hAns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Rx</m:t>
                            </m:r>
                          </m:sub>
                        </m:sSub>
                      </m:e>
                    </m:d>
                    <m:r>
                      <w:rPr>
                        <w:rFonts w:ascii="Cambria Math" w:hAnsi="Cambria Math"/>
                        <w:sz w:val="24"/>
                      </w:rPr>
                      <m:t>∙</m:t>
                    </m:r>
                    <m:sSub>
                      <m:sSubPr>
                        <m:ctrlPr>
                          <w:rPr>
                            <w:rFonts w:ascii="Cambria Math" w:hAnsi="Cambria Math"/>
                            <w:i/>
                            <w:sz w:val="24"/>
                          </w:rPr>
                        </m:ctrlPr>
                      </m:sSubPr>
                      <m:e>
                        <m:r>
                          <w:rPr>
                            <w:rFonts w:ascii="Cambria Math" w:hAnsi="Cambria Math"/>
                            <w:sz w:val="24"/>
                          </w:rPr>
                          <m:t>CTF</m:t>
                        </m:r>
                      </m:e>
                      <m:sub>
                        <m:r>
                          <w:rPr>
                            <w:rFonts w:ascii="Cambria Math" w:hAnsi="Cambria Math"/>
                            <w:sz w:val="24"/>
                          </w:rPr>
                          <m:t>i</m:t>
                        </m:r>
                      </m:sub>
                    </m:sSub>
                    <m:d>
                      <m:dPr>
                        <m:ctrlPr>
                          <w:rPr>
                            <w:rFonts w:ascii="Cambria Math" w:hAnsi="Cambria Math"/>
                            <w:i/>
                            <w:sz w:val="24"/>
                          </w:rPr>
                        </m:ctrlPr>
                      </m:dPr>
                      <m:e>
                        <m:r>
                          <w:rPr>
                            <w:rFonts w:ascii="Cambria Math" w:hAnsi="Cambria Math"/>
                            <w:sz w:val="24"/>
                          </w:rPr>
                          <m:t>f,</m:t>
                        </m:r>
                        <m:sSub>
                          <m:sSubPr>
                            <m:ctrlPr>
                              <w:rPr>
                                <w:rFonts w:ascii="Cambria Math" w:hAnsi="Cambria Math"/>
                                <w:i/>
                                <w:sz w:val="24"/>
                              </w:rPr>
                            </m:ctrlPr>
                          </m:sSubPr>
                          <m:e>
                            <m:r>
                              <w:rPr>
                                <w:rFonts w:ascii="Cambria Math" w:hAnsi="Cambria Math"/>
                                <w:sz w:val="24"/>
                              </w:rPr>
                              <m:t>H</m:t>
                            </m:r>
                          </m:e>
                          <m:sub>
                            <m:r>
                              <w:rPr>
                                <w:rFonts w:ascii="Cambria Math" w:hAnsi="Cambria Math"/>
                                <w:sz w:val="24"/>
                              </w:rPr>
                              <m:t>i</m:t>
                            </m:r>
                          </m:sub>
                        </m:sSub>
                      </m:e>
                    </m:d>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Tx</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ϑ</m:t>
                            </m:r>
                          </m:e>
                          <m:sub>
                            <m:r>
                              <w:rPr>
                                <w:rFonts w:ascii="Cambria Math" w:hAnsi="Cambria Math"/>
                                <w:sz w:val="24"/>
                              </w:rPr>
                              <m:t>Tx</m:t>
                            </m:r>
                          </m:sub>
                        </m:sSub>
                        <m:r>
                          <w:rPr>
                            <w:rFonts w:ascii="Cambria Math" w:hAnsi="Cambria Math"/>
                            <w:sz w:val="24"/>
                          </w:rPr>
                          <m:t>-</m:t>
                        </m:r>
                        <m:sSub>
                          <m:sSubPr>
                            <m:ctrlPr>
                              <w:rPr>
                                <w:rFonts w:ascii="Cambria Math" w:hAnsi="Cambria Math"/>
                                <w:i/>
                                <w:sz w:val="24"/>
                              </w:rPr>
                            </m:ctrlPr>
                          </m:sSubPr>
                          <m:e>
                            <m:r>
                              <w:rPr>
                                <w:rFonts w:ascii="Cambria Math" w:hAnsi="Cambria Math"/>
                                <w:sz w:val="24"/>
                              </w:rPr>
                              <m:t>ϑ</m:t>
                            </m:r>
                          </m:e>
                          <m:sub>
                            <m:r>
                              <w:rPr>
                                <w:rFonts w:ascii="Cambria Math" w:hAnsi="Cambria Math"/>
                                <w:sz w:val="24"/>
                              </w:rPr>
                              <m:t>AoD,i</m:t>
                            </m:r>
                          </m:sub>
                        </m:sSub>
                        <m:r>
                          <w:rPr>
                            <w:rFonts w:ascii="Cambria Math" w:hAnsi="Cambria Math"/>
                            <w:sz w:val="24"/>
                          </w:rPr>
                          <m:t>,</m:t>
                        </m:r>
                        <m:sSub>
                          <m:sSubPr>
                            <m:ctrlPr>
                              <w:rPr>
                                <w:rFonts w:ascii="Cambria Math" w:hAnsi="Cambria Math"/>
                                <w:i/>
                                <w:sz w:val="24"/>
                              </w:rPr>
                            </m:ctrlPr>
                          </m:sSubPr>
                          <m:e>
                            <m:r>
                              <w:rPr>
                                <w:rFonts w:ascii="Cambria Math" w:hAnsi="Cambria Math"/>
                                <w:sz w:val="24"/>
                              </w:rPr>
                              <m:t>φ</m:t>
                            </m:r>
                          </m:e>
                          <m:sub>
                            <m:r>
                              <w:rPr>
                                <w:rFonts w:ascii="Cambria Math" w:hAnsi="Cambria Math"/>
                                <w:sz w:val="24"/>
                              </w:rPr>
                              <m:t>Tx</m:t>
                            </m:r>
                          </m:sub>
                        </m:sSub>
                        <m:r>
                          <w:rPr>
                            <w:rFonts w:ascii="Cambria Math" w:hAnsi="Cambria Math"/>
                            <w:sz w:val="24"/>
                          </w:rPr>
                          <m:t>-</m:t>
                        </m:r>
                        <m:sSub>
                          <m:sSubPr>
                            <m:ctrlPr>
                              <w:rPr>
                                <w:rFonts w:ascii="Cambria Math" w:hAnsi="Cambria Math"/>
                                <w:i/>
                                <w:sz w:val="24"/>
                              </w:rPr>
                            </m:ctrlPr>
                          </m:sSubPr>
                          <m:e>
                            <m:r>
                              <w:rPr>
                                <w:rFonts w:ascii="Cambria Math" w:hAnsi="Cambria Math"/>
                                <w:sz w:val="24"/>
                              </w:rPr>
                              <m:t>φ</m:t>
                            </m:r>
                          </m:e>
                          <m:sub>
                            <m:r>
                              <w:rPr>
                                <w:rFonts w:ascii="Cambria Math" w:hAnsi="Cambria Math"/>
                                <w:sz w:val="24"/>
                              </w:rPr>
                              <m:t>AoD,i</m:t>
                            </m:r>
                          </m:sub>
                        </m:sSub>
                        <m:r>
                          <w:rPr>
                            <w:rFonts w:ascii="Cambria Math" w:hAns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Tx</m:t>
                            </m:r>
                          </m:sub>
                        </m:sSub>
                      </m:e>
                    </m:d>
                  </m:e>
                </m:nary>
              </m:oMath>
            </m:oMathPara>
          </w:p>
        </w:tc>
        <w:tc>
          <w:tcPr>
            <w:tcW w:w="1449" w:type="dxa"/>
            <w:vAlign w:val="center"/>
          </w:tcPr>
          <w:p w:rsidR="00F56780" w:rsidRDefault="00C022B9" w:rsidP="00040F2C">
            <w:pPr>
              <w:contextualSpacing/>
              <w:jc w:val="right"/>
              <w:rPr>
                <w:sz w:val="24"/>
              </w:rPr>
            </w:pPr>
            <w:r>
              <w:rPr>
                <w:sz w:val="24"/>
              </w:rPr>
              <w:t>(1)</w:t>
            </w:r>
          </w:p>
        </w:tc>
      </w:tr>
    </w:tbl>
    <w:p w:rsidR="00F56780" w:rsidRDefault="00F56780" w:rsidP="00F56780">
      <w:pPr>
        <w:pStyle w:val="TextStandard"/>
        <w:rPr>
          <w:lang w:val="en-US"/>
        </w:rPr>
      </w:pPr>
    </w:p>
    <w:p w:rsidR="00F56780" w:rsidRDefault="00F56780" w:rsidP="00F56780">
      <w:pPr>
        <w:pStyle w:val="TextStandard"/>
        <w:rPr>
          <w:rFonts w:cs="Arial"/>
          <w:lang w:val="en-US"/>
        </w:rPr>
      </w:pPr>
      <w:r>
        <w:rPr>
          <w:lang w:val="en-US"/>
        </w:rPr>
        <w:t>In this,</w:t>
      </w:r>
      <w:r>
        <w:rPr>
          <w:rFonts w:cs="Arial"/>
          <w:lang w:val="en-US"/>
        </w:rPr>
        <w:t xml:space="preserve"> </w:t>
      </w:r>
      <w:r w:rsidRPr="00F56780">
        <w:rPr>
          <w:rFonts w:cs="Arial"/>
          <w:i/>
          <w:lang w:val="en-US"/>
        </w:rPr>
        <w:t>f</w:t>
      </w:r>
      <w:r>
        <w:rPr>
          <w:rFonts w:cs="Arial"/>
          <w:lang w:val="en-US"/>
        </w:rPr>
        <w:t xml:space="preserve"> </w:t>
      </w:r>
      <w:proofErr w:type="spellStart"/>
      <w:r>
        <w:rPr>
          <w:rFonts w:cs="Arial"/>
          <w:lang w:val="en-US"/>
        </w:rPr>
        <w:t>ist</w:t>
      </w:r>
      <w:proofErr w:type="spellEnd"/>
      <w:r>
        <w:rPr>
          <w:rFonts w:cs="Arial"/>
          <w:lang w:val="en-US"/>
        </w:rPr>
        <w:t xml:space="preserve"> the vector of frequencies under consideration, </w:t>
      </w:r>
      <w:proofErr w:type="spellStart"/>
      <w:r>
        <w:rPr>
          <w:rFonts w:cs="Arial"/>
          <w:lang w:val="en-US"/>
        </w:rPr>
        <w:t>ϑ</w:t>
      </w:r>
      <w:r w:rsidRPr="003A022A">
        <w:rPr>
          <w:rFonts w:cs="Arial"/>
          <w:vertAlign w:val="subscript"/>
          <w:lang w:val="en-US"/>
        </w:rPr>
        <w:t>Tx</w:t>
      </w:r>
      <w:proofErr w:type="spellEnd"/>
      <w:r>
        <w:rPr>
          <w:rFonts w:cs="Arial"/>
          <w:lang w:val="en-US"/>
        </w:rPr>
        <w:t xml:space="preserve"> and </w:t>
      </w:r>
      <w:proofErr w:type="spellStart"/>
      <w:r>
        <w:rPr>
          <w:rFonts w:cs="Arial"/>
          <w:lang w:val="en-US"/>
        </w:rPr>
        <w:t>φ</w:t>
      </w:r>
      <w:r w:rsidRPr="003A022A">
        <w:rPr>
          <w:rFonts w:cs="Arial"/>
          <w:vertAlign w:val="subscript"/>
          <w:lang w:val="en-US"/>
        </w:rPr>
        <w:t>Tx</w:t>
      </w:r>
      <w:proofErr w:type="spellEnd"/>
      <w:r>
        <w:rPr>
          <w:rFonts w:cs="Arial"/>
          <w:lang w:val="en-US"/>
        </w:rPr>
        <w:t xml:space="preserve"> are the elongation and azimuth coordinates of the transmitter antenna pattern, </w:t>
      </w:r>
      <w:proofErr w:type="spellStart"/>
      <w:r>
        <w:rPr>
          <w:rFonts w:cs="Arial"/>
          <w:lang w:val="en-US"/>
        </w:rPr>
        <w:t>ϑ</w:t>
      </w:r>
      <w:r w:rsidRPr="003A022A">
        <w:rPr>
          <w:rFonts w:cs="Arial"/>
          <w:vertAlign w:val="subscript"/>
          <w:lang w:val="en-US"/>
        </w:rPr>
        <w:t>Rx</w:t>
      </w:r>
      <w:proofErr w:type="spellEnd"/>
      <w:r>
        <w:rPr>
          <w:rFonts w:cs="Arial"/>
          <w:lang w:val="en-US"/>
        </w:rPr>
        <w:t xml:space="preserve"> and </w:t>
      </w:r>
      <w:proofErr w:type="spellStart"/>
      <w:r>
        <w:rPr>
          <w:rFonts w:cs="Arial"/>
          <w:lang w:val="en-US"/>
        </w:rPr>
        <w:t>φ</w:t>
      </w:r>
      <w:r w:rsidRPr="003A022A">
        <w:rPr>
          <w:rFonts w:cs="Arial"/>
          <w:vertAlign w:val="subscript"/>
          <w:lang w:val="en-US"/>
        </w:rPr>
        <w:t>Rx</w:t>
      </w:r>
      <w:proofErr w:type="spellEnd"/>
      <w:r>
        <w:rPr>
          <w:rFonts w:cs="Arial"/>
          <w:lang w:val="en-US"/>
        </w:rPr>
        <w:t xml:space="preserve"> are the elongation and azimuth coordinates of the receiver antenna pattern and </w:t>
      </w:r>
      <w:proofErr w:type="spellStart"/>
      <w:r>
        <w:rPr>
          <w:rFonts w:cs="Arial"/>
          <w:lang w:val="en-US"/>
        </w:rPr>
        <w:t>P</w:t>
      </w:r>
      <w:r w:rsidRPr="003A022A">
        <w:rPr>
          <w:rFonts w:cs="Arial"/>
          <w:vertAlign w:val="subscript"/>
          <w:lang w:val="en-US"/>
        </w:rPr>
        <w:t>Tx</w:t>
      </w:r>
      <w:proofErr w:type="spellEnd"/>
      <w:r>
        <w:rPr>
          <w:rFonts w:cs="Arial"/>
          <w:lang w:val="en-US"/>
        </w:rPr>
        <w:t xml:space="preserve"> and </w:t>
      </w:r>
      <w:proofErr w:type="spellStart"/>
      <w:r>
        <w:rPr>
          <w:rFonts w:cs="Arial"/>
          <w:lang w:val="en-US"/>
        </w:rPr>
        <w:t>P</w:t>
      </w:r>
      <w:r w:rsidRPr="003A022A">
        <w:rPr>
          <w:rFonts w:cs="Arial"/>
          <w:vertAlign w:val="subscript"/>
          <w:lang w:val="en-US"/>
        </w:rPr>
        <w:t>Rx</w:t>
      </w:r>
      <w:proofErr w:type="spellEnd"/>
      <w:r>
        <w:rPr>
          <w:rFonts w:cs="Arial"/>
          <w:lang w:val="en-US"/>
        </w:rPr>
        <w:t xml:space="preserve"> are the polarization vectors of the antennas. The expression to the right is the sum over each propagation cluster </w:t>
      </w:r>
      <w:proofErr w:type="spellStart"/>
      <w:r w:rsidRPr="00F56780">
        <w:rPr>
          <w:rFonts w:cs="Arial"/>
          <w:i/>
          <w:lang w:val="en-US"/>
        </w:rPr>
        <w:t>i</w:t>
      </w:r>
      <w:proofErr w:type="spellEnd"/>
      <w:r>
        <w:rPr>
          <w:rFonts w:cs="Arial"/>
          <w:lang w:val="en-US"/>
        </w:rPr>
        <w:t xml:space="preserve">. The contribution of every cluster is its polarimetric channel transfer function </w:t>
      </w:r>
      <w:proofErr w:type="spellStart"/>
      <w:r w:rsidRPr="00F56780">
        <w:rPr>
          <w:rFonts w:cs="Arial"/>
          <w:i/>
          <w:lang w:val="en-US"/>
        </w:rPr>
        <w:t>CTF</w:t>
      </w:r>
      <w:r w:rsidRPr="00F56780">
        <w:rPr>
          <w:rFonts w:cs="Arial"/>
          <w:i/>
          <w:vertAlign w:val="subscript"/>
          <w:lang w:val="en-US"/>
        </w:rPr>
        <w:t>i</w:t>
      </w:r>
      <w:proofErr w:type="spellEnd"/>
      <w:r>
        <w:rPr>
          <w:rFonts w:cs="Arial"/>
          <w:lang w:val="en-US"/>
        </w:rPr>
        <w:t xml:space="preserve">, multiplied with the direction-dependent gain of the antenna radiation patterns </w:t>
      </w:r>
      <w:proofErr w:type="spellStart"/>
      <w:r w:rsidRPr="00F56780">
        <w:rPr>
          <w:rFonts w:cs="Arial"/>
          <w:i/>
          <w:lang w:val="en-US"/>
        </w:rPr>
        <w:t>A</w:t>
      </w:r>
      <w:r w:rsidRPr="00F56780">
        <w:rPr>
          <w:rFonts w:cs="Arial"/>
          <w:i/>
          <w:vertAlign w:val="subscript"/>
          <w:lang w:val="en-US"/>
        </w:rPr>
        <w:t>Tx</w:t>
      </w:r>
      <w:proofErr w:type="spellEnd"/>
      <w:r>
        <w:rPr>
          <w:rFonts w:cs="Arial"/>
          <w:lang w:val="en-US"/>
        </w:rPr>
        <w:t xml:space="preserve"> and </w:t>
      </w:r>
      <w:proofErr w:type="spellStart"/>
      <w:r w:rsidRPr="00F56780">
        <w:rPr>
          <w:rFonts w:cs="Arial"/>
          <w:i/>
          <w:lang w:val="en-US"/>
        </w:rPr>
        <w:t>A</w:t>
      </w:r>
      <w:r w:rsidRPr="00F56780">
        <w:rPr>
          <w:rFonts w:cs="Arial"/>
          <w:i/>
          <w:vertAlign w:val="subscript"/>
          <w:lang w:val="en-US"/>
        </w:rPr>
        <w:t>Rx</w:t>
      </w:r>
      <w:proofErr w:type="spellEnd"/>
      <w:r>
        <w:rPr>
          <w:rFonts w:cs="Arial"/>
          <w:lang w:val="en-US"/>
        </w:rPr>
        <w:t xml:space="preserve">. </w:t>
      </w:r>
    </w:p>
    <w:p w:rsidR="00F56780" w:rsidRDefault="00F56780" w:rsidP="00F56780">
      <w:pPr>
        <w:pStyle w:val="TextStandard"/>
        <w:rPr>
          <w:rFonts w:cs="Arial"/>
          <w:lang w:val="en-US"/>
        </w:rPr>
      </w:pPr>
      <w:r>
        <w:rPr>
          <w:rFonts w:cs="Arial"/>
          <w:lang w:val="en-US"/>
        </w:rPr>
        <w:t>The structure of the channel transfer functions of the separate clusters is</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29"/>
        <w:gridCol w:w="1449"/>
      </w:tblGrid>
      <w:tr w:rsidR="00F56780" w:rsidTr="00202E45">
        <w:trPr>
          <w:trHeight w:val="680"/>
        </w:trPr>
        <w:tc>
          <w:tcPr>
            <w:tcW w:w="7229" w:type="dxa"/>
            <w:vAlign w:val="center"/>
          </w:tcPr>
          <w:p w:rsidR="00F56780" w:rsidRDefault="00127CEF" w:rsidP="00202E45">
            <w:pPr>
              <w:contextualSpacing/>
              <w:rPr>
                <w:sz w:val="24"/>
              </w:rPr>
            </w:pPr>
            <m:oMathPara>
              <m:oMath>
                <m:sSub>
                  <m:sSubPr>
                    <m:ctrlPr>
                      <w:rPr>
                        <w:rFonts w:ascii="Cambria Math" w:hAnsi="Cambria Math"/>
                        <w:i/>
                        <w:sz w:val="24"/>
                      </w:rPr>
                    </m:ctrlPr>
                  </m:sSubPr>
                  <m:e>
                    <m:r>
                      <w:rPr>
                        <w:rFonts w:ascii="Cambria Math" w:hAnsi="Cambria Math"/>
                        <w:sz w:val="24"/>
                      </w:rPr>
                      <m:t>CTF</m:t>
                    </m:r>
                  </m:e>
                  <m:sub>
                    <m:r>
                      <w:rPr>
                        <w:rFonts w:ascii="Cambria Math" w:hAnsi="Cambria Math"/>
                        <w:sz w:val="24"/>
                      </w:rPr>
                      <m:t>i</m:t>
                    </m:r>
                  </m:sub>
                </m:sSub>
                <m:r>
                  <w:rPr>
                    <w:rFonts w:ascii="Cambria Math" w:hAnsi="Cambria Math"/>
                    <w:sz w:val="24"/>
                  </w:rPr>
                  <m:t>(f,</m:t>
                </m:r>
                <m:sSub>
                  <m:sSubPr>
                    <m:ctrlPr>
                      <w:rPr>
                        <w:rFonts w:ascii="Cambria Math" w:hAnsi="Cambria Math"/>
                        <w:i/>
                        <w:sz w:val="24"/>
                      </w:rPr>
                    </m:ctrlPr>
                  </m:sSubPr>
                  <m:e>
                    <m:r>
                      <w:rPr>
                        <w:rFonts w:ascii="Cambria Math" w:hAnsi="Cambria Math"/>
                        <w:sz w:val="24"/>
                      </w:rPr>
                      <m:t>H</m:t>
                    </m:r>
                  </m:e>
                  <m:sub>
                    <m:r>
                      <w:rPr>
                        <w:rFonts w:ascii="Cambria Math" w:hAnsi="Cambria Math"/>
                        <w:sz w:val="24"/>
                      </w:rPr>
                      <m:t>i</m:t>
                    </m:r>
                  </m:sub>
                </m:sSub>
                <m:r>
                  <w:rPr>
                    <w:rFonts w:ascii="Cambria Math" w:hAnsi="Cambria Math"/>
                    <w:sz w:val="24"/>
                  </w:rPr>
                  <m:t>)=</m:t>
                </m:r>
                <m:d>
                  <m:dPr>
                    <m:ctrlPr>
                      <w:rPr>
                        <w:rFonts w:ascii="Cambria Math" w:hAnsi="Cambria Math"/>
                        <w:i/>
                        <w:sz w:val="24"/>
                      </w:rPr>
                    </m:ctrlPr>
                  </m:dPr>
                  <m:e>
                    <m:m>
                      <m:mPr>
                        <m:mcs>
                          <m:mc>
                            <m:mcPr>
                              <m:count m:val="2"/>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H</m:t>
                              </m:r>
                            </m:e>
                            <m:sub>
                              <m:r>
                                <w:rPr>
                                  <w:rFonts w:ascii="Cambria Math" w:hAnsi="Cambria Math"/>
                                  <w:sz w:val="24"/>
                                </w:rPr>
                                <m:t>i,11</m:t>
                              </m:r>
                            </m:sub>
                          </m:sSub>
                          <m:r>
                            <w:rPr>
                              <w:rFonts w:ascii="Cambria Math" w:hAnsi="Cambria Math"/>
                              <w:sz w:val="24"/>
                            </w:rPr>
                            <m:t>(f)</m:t>
                          </m:r>
                        </m:e>
                        <m:e>
                          <m:sSub>
                            <m:sSubPr>
                              <m:ctrlPr>
                                <w:rPr>
                                  <w:rFonts w:ascii="Cambria Math" w:hAnsi="Cambria Math"/>
                                  <w:i/>
                                  <w:sz w:val="24"/>
                                </w:rPr>
                              </m:ctrlPr>
                            </m:sSubPr>
                            <m:e>
                              <m:r>
                                <w:rPr>
                                  <w:rFonts w:ascii="Cambria Math" w:hAnsi="Cambria Math"/>
                                  <w:sz w:val="24"/>
                                </w:rPr>
                                <m:t>H</m:t>
                              </m:r>
                            </m:e>
                            <m:sub>
                              <m:r>
                                <w:rPr>
                                  <w:rFonts w:ascii="Cambria Math" w:hAnsi="Cambria Math"/>
                                  <w:sz w:val="24"/>
                                </w:rPr>
                                <m:t>i,12</m:t>
                              </m:r>
                            </m:sub>
                          </m:sSub>
                          <m:r>
                            <w:rPr>
                              <w:rFonts w:ascii="Cambria Math" w:hAnsi="Cambria Math"/>
                              <w:sz w:val="24"/>
                            </w:rPr>
                            <m:t>(f)</m:t>
                          </m:r>
                        </m:e>
                      </m:mr>
                      <m:mr>
                        <m:e>
                          <m:sSub>
                            <m:sSubPr>
                              <m:ctrlPr>
                                <w:rPr>
                                  <w:rFonts w:ascii="Cambria Math" w:hAnsi="Cambria Math"/>
                                  <w:i/>
                                  <w:sz w:val="24"/>
                                </w:rPr>
                              </m:ctrlPr>
                            </m:sSubPr>
                            <m:e>
                              <m:r>
                                <w:rPr>
                                  <w:rFonts w:ascii="Cambria Math" w:hAnsi="Cambria Math"/>
                                  <w:sz w:val="24"/>
                                </w:rPr>
                                <m:t>H</m:t>
                              </m:r>
                            </m:e>
                            <m:sub>
                              <m:r>
                                <w:rPr>
                                  <w:rFonts w:ascii="Cambria Math" w:hAnsi="Cambria Math"/>
                                  <w:sz w:val="24"/>
                                </w:rPr>
                                <m:t>i,21</m:t>
                              </m:r>
                            </m:sub>
                          </m:sSub>
                          <m:r>
                            <w:rPr>
                              <w:rFonts w:ascii="Cambria Math" w:hAnsi="Cambria Math"/>
                              <w:sz w:val="24"/>
                            </w:rPr>
                            <m:t>(f)</m:t>
                          </m:r>
                        </m:e>
                        <m:e>
                          <m:sSub>
                            <m:sSubPr>
                              <m:ctrlPr>
                                <w:rPr>
                                  <w:rFonts w:ascii="Cambria Math" w:hAnsi="Cambria Math"/>
                                  <w:i/>
                                  <w:sz w:val="24"/>
                                </w:rPr>
                              </m:ctrlPr>
                            </m:sSubPr>
                            <m:e>
                              <m:r>
                                <w:rPr>
                                  <w:rFonts w:ascii="Cambria Math" w:hAnsi="Cambria Math"/>
                                  <w:sz w:val="24"/>
                                </w:rPr>
                                <m:t>H</m:t>
                              </m:r>
                            </m:e>
                            <m:sub>
                              <m:r>
                                <w:rPr>
                                  <w:rFonts w:ascii="Cambria Math" w:hAnsi="Cambria Math"/>
                                  <w:sz w:val="24"/>
                                </w:rPr>
                                <m:t>i,22</m:t>
                              </m:r>
                            </m:sub>
                          </m:sSub>
                          <m:r>
                            <w:rPr>
                              <w:rFonts w:ascii="Cambria Math" w:hAnsi="Cambria Math"/>
                              <w:sz w:val="24"/>
                            </w:rPr>
                            <m:t>(f)</m:t>
                          </m:r>
                        </m:e>
                      </m:mr>
                    </m:m>
                  </m:e>
                </m:d>
              </m:oMath>
            </m:oMathPara>
          </w:p>
        </w:tc>
        <w:tc>
          <w:tcPr>
            <w:tcW w:w="1449" w:type="dxa"/>
            <w:vAlign w:val="center"/>
          </w:tcPr>
          <w:p w:rsidR="00F56780" w:rsidRDefault="00F56780" w:rsidP="00040F2C">
            <w:pPr>
              <w:contextualSpacing/>
              <w:jc w:val="right"/>
              <w:rPr>
                <w:sz w:val="24"/>
              </w:rPr>
            </w:pPr>
            <w:r>
              <w:rPr>
                <w:sz w:val="24"/>
              </w:rPr>
              <w:t>(</w:t>
            </w:r>
            <w:r w:rsidR="00127CEF">
              <w:rPr>
                <w:sz w:val="24"/>
              </w:rPr>
              <w:fldChar w:fldCharType="begin"/>
            </w:r>
            <w:r>
              <w:rPr>
                <w:sz w:val="24"/>
              </w:rPr>
              <w:instrText xml:space="preserve"> </w:instrText>
            </w:r>
            <w:r>
              <w:rPr>
                <w:rStyle w:val="postbody"/>
              </w:rPr>
              <w:instrText>SEQ Formel \* Arabic\s 1</w:instrText>
            </w:r>
            <w:r>
              <w:rPr>
                <w:sz w:val="24"/>
              </w:rPr>
              <w:instrText xml:space="preserve"> </w:instrText>
            </w:r>
            <w:r w:rsidR="00127CEF">
              <w:rPr>
                <w:sz w:val="24"/>
              </w:rPr>
              <w:fldChar w:fldCharType="separate"/>
            </w:r>
            <w:r w:rsidR="00C022B9">
              <w:rPr>
                <w:rStyle w:val="postbody"/>
                <w:noProof/>
              </w:rPr>
              <w:t>2</w:t>
            </w:r>
            <w:r w:rsidR="00127CEF">
              <w:rPr>
                <w:sz w:val="24"/>
              </w:rPr>
              <w:fldChar w:fldCharType="end"/>
            </w:r>
            <w:r>
              <w:rPr>
                <w:sz w:val="24"/>
              </w:rPr>
              <w:t>)</w:t>
            </w:r>
          </w:p>
        </w:tc>
      </w:tr>
    </w:tbl>
    <w:p w:rsidR="00F56780" w:rsidRDefault="00F56780" w:rsidP="00F56780">
      <w:pPr>
        <w:pStyle w:val="TextStandard"/>
        <w:rPr>
          <w:rFonts w:cs="Arial"/>
          <w:lang w:val="en-US"/>
        </w:rPr>
      </w:pPr>
    </w:p>
    <w:p w:rsidR="00F56780" w:rsidRDefault="00F56780" w:rsidP="00F56780">
      <w:pPr>
        <w:pStyle w:val="TextStandard"/>
        <w:rPr>
          <w:rFonts w:cs="Arial"/>
          <w:lang w:val="en-US"/>
        </w:rPr>
      </w:pPr>
      <w:r>
        <w:rPr>
          <w:rFonts w:cs="Arial"/>
          <w:lang w:val="en-US"/>
        </w:rPr>
        <w:t xml:space="preserve">Here, the </w:t>
      </w:r>
      <w:r w:rsidRPr="00F56780">
        <w:rPr>
          <w:rFonts w:cs="Arial"/>
          <w:lang w:val="en-US"/>
        </w:rPr>
        <w:t>H</w:t>
      </w:r>
      <w:r w:rsidRPr="00F56780">
        <w:rPr>
          <w:rFonts w:cs="Arial"/>
          <w:vertAlign w:val="subscript"/>
          <w:lang w:val="en-US"/>
        </w:rPr>
        <w:t>i,11</w:t>
      </w:r>
      <w:r>
        <w:rPr>
          <w:rFonts w:cs="Arial"/>
          <w:lang w:val="en-US"/>
        </w:rPr>
        <w:t xml:space="preserve"> – H</w:t>
      </w:r>
      <w:r w:rsidRPr="00F56780">
        <w:rPr>
          <w:rFonts w:cs="Arial"/>
          <w:vertAlign w:val="subscript"/>
          <w:lang w:val="en-US"/>
        </w:rPr>
        <w:t>i,22</w:t>
      </w:r>
      <w:r>
        <w:rPr>
          <w:rFonts w:cs="Arial"/>
          <w:lang w:val="en-US"/>
        </w:rPr>
        <w:t xml:space="preserve"> are the entries of the polarimetric channel matrix for every cluster according to the Jones Calculus [1]. Note that every entry is a function of frequency, to generate the desired channel transfer functions.</w:t>
      </w:r>
    </w:p>
    <w:p w:rsidR="00F56780" w:rsidRDefault="00F56780" w:rsidP="00F56780">
      <w:pPr>
        <w:pStyle w:val="TextStandard"/>
        <w:rPr>
          <w:rFonts w:cs="Arial"/>
          <w:lang w:val="en-US"/>
        </w:rPr>
      </w:pPr>
      <w:r>
        <w:rPr>
          <w:rFonts w:cs="Arial"/>
          <w:lang w:val="en-US"/>
        </w:rPr>
        <w:t>Finally, the terms for the transmitting and receiving antenna are</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29"/>
        <w:gridCol w:w="1449"/>
      </w:tblGrid>
      <w:tr w:rsidR="00F56780" w:rsidTr="00202E45">
        <w:trPr>
          <w:trHeight w:val="680"/>
        </w:trPr>
        <w:tc>
          <w:tcPr>
            <w:tcW w:w="7229" w:type="dxa"/>
            <w:vAlign w:val="center"/>
          </w:tcPr>
          <w:p w:rsidR="00F56780" w:rsidRDefault="00127CEF" w:rsidP="00202E45">
            <w:pPr>
              <w:contextualSpacing/>
              <w:rPr>
                <w:sz w:val="24"/>
              </w:rPr>
            </w:pPr>
            <m:oMathPara>
              <m:oMath>
                <m:sSub>
                  <m:sSubPr>
                    <m:ctrlPr>
                      <w:rPr>
                        <w:rFonts w:ascii="Cambria Math" w:hAnsi="Cambria Math"/>
                        <w:i/>
                        <w:sz w:val="24"/>
                      </w:rPr>
                    </m:ctrlPr>
                  </m:sSubPr>
                  <m:e>
                    <m:r>
                      <w:rPr>
                        <w:rFonts w:ascii="Cambria Math" w:hAnsi="Cambria Math"/>
                        <w:sz w:val="24"/>
                      </w:rPr>
                      <m:t>A</m:t>
                    </m:r>
                  </m:e>
                  <m:sub>
                    <m:r>
                      <w:rPr>
                        <w:rFonts w:ascii="Cambria Math" w:hAnsi="Cambria Math"/>
                        <w:sz w:val="24"/>
                      </w:rPr>
                      <m:t>Tx/Rx</m:t>
                    </m:r>
                  </m:sub>
                </m:sSub>
                <m:r>
                  <w:rPr>
                    <w:rFonts w:ascii="Cambria Math" w:hAnsi="Cambria Math"/>
                    <w:sz w:val="24"/>
                  </w:rPr>
                  <m:t>=</m:t>
                </m:r>
                <m:sSub>
                  <m:sSubPr>
                    <m:ctrlPr>
                      <w:rPr>
                        <w:rFonts w:ascii="Cambria Math" w:hAnsi="Cambria Math"/>
                        <w:i/>
                        <w:sz w:val="24"/>
                      </w:rPr>
                    </m:ctrlPr>
                  </m:sSubPr>
                  <m:e>
                    <m:r>
                      <w:rPr>
                        <w:rFonts w:ascii="Cambria Math" w:hAnsi="Cambria Math"/>
                        <w:sz w:val="24"/>
                      </w:rPr>
                      <m:t>g</m:t>
                    </m:r>
                  </m:e>
                  <m:sub>
                    <m:f>
                      <m:fPr>
                        <m:ctrlPr>
                          <w:rPr>
                            <w:rFonts w:ascii="Cambria Math" w:hAnsi="Cambria Math"/>
                            <w:i/>
                            <w:sz w:val="24"/>
                          </w:rPr>
                        </m:ctrlPr>
                      </m:fPr>
                      <m:num>
                        <m:r>
                          <w:rPr>
                            <w:rFonts w:ascii="Cambria Math" w:hAnsi="Cambria Math"/>
                            <w:sz w:val="24"/>
                          </w:rPr>
                          <m:t>Tx</m:t>
                        </m:r>
                      </m:num>
                      <m:den>
                        <m:r>
                          <w:rPr>
                            <w:rFonts w:ascii="Cambria Math" w:hAnsi="Cambria Math"/>
                            <w:sz w:val="24"/>
                          </w:rPr>
                          <m:t>Rx</m:t>
                        </m:r>
                      </m:den>
                    </m:f>
                  </m:sub>
                </m:sSub>
                <m:r>
                  <w:rPr>
                    <w:rFonts w:ascii="Cambria Math" w:hAnsi="Cambria Math"/>
                    <w:sz w:val="24"/>
                  </w:rPr>
                  <m:t>(</m:t>
                </m:r>
                <m:sSub>
                  <m:sSubPr>
                    <m:ctrlPr>
                      <w:rPr>
                        <w:rFonts w:ascii="Cambria Math" w:hAnsi="Cambria Math"/>
                        <w:i/>
                        <w:sz w:val="24"/>
                      </w:rPr>
                    </m:ctrlPr>
                  </m:sSubPr>
                  <m:e>
                    <m:r>
                      <w:rPr>
                        <w:rFonts w:ascii="Cambria Math" w:hAnsi="Cambria Math"/>
                        <w:sz w:val="24"/>
                      </w:rPr>
                      <m:t>ϑ</m:t>
                    </m:r>
                  </m:e>
                  <m:sub>
                    <m:r>
                      <w:rPr>
                        <w:rFonts w:ascii="Cambria Math" w:hAnsi="Cambria Math"/>
                        <w:sz w:val="24"/>
                      </w:rPr>
                      <m:t>Tx/Rx</m:t>
                    </m:r>
                  </m:sub>
                </m:sSub>
                <m:r>
                  <w:rPr>
                    <w:rFonts w:ascii="Cambria Math" w:hAnsi="Cambria Math"/>
                    <w:sz w:val="24"/>
                  </w:rPr>
                  <m:t>-</m:t>
                </m:r>
                <m:sSub>
                  <m:sSubPr>
                    <m:ctrlPr>
                      <w:rPr>
                        <w:rFonts w:ascii="Cambria Math" w:hAnsi="Cambria Math"/>
                        <w:i/>
                        <w:sz w:val="24"/>
                      </w:rPr>
                    </m:ctrlPr>
                  </m:sSubPr>
                  <m:e>
                    <m:r>
                      <w:rPr>
                        <w:rFonts w:ascii="Cambria Math" w:hAnsi="Cambria Math"/>
                        <w:sz w:val="24"/>
                      </w:rPr>
                      <m:t>ϑ</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φ</m:t>
                    </m:r>
                  </m:e>
                  <m:sub>
                    <m:r>
                      <w:rPr>
                        <w:rFonts w:ascii="Cambria Math" w:hAnsi="Cambria Math"/>
                        <w:sz w:val="24"/>
                      </w:rPr>
                      <m:t>Tx/Rx</m:t>
                    </m:r>
                  </m:sub>
                </m:sSub>
                <m:r>
                  <w:rPr>
                    <w:rFonts w:ascii="Cambria Math" w:hAnsi="Cambria Math"/>
                    <w:sz w:val="24"/>
                  </w:rPr>
                  <m:t>-</m:t>
                </m:r>
                <m:sSub>
                  <m:sSubPr>
                    <m:ctrlPr>
                      <w:rPr>
                        <w:rFonts w:ascii="Cambria Math" w:hAnsi="Cambria Math"/>
                        <w:i/>
                        <w:sz w:val="24"/>
                      </w:rPr>
                    </m:ctrlPr>
                  </m:sSubPr>
                  <m:e>
                    <m:r>
                      <w:rPr>
                        <w:rFonts w:ascii="Cambria Math" w:hAnsi="Cambria Math"/>
                        <w:sz w:val="24"/>
                      </w:rPr>
                      <m:t>φ</m:t>
                    </m:r>
                  </m:e>
                  <m:sub>
                    <m:r>
                      <w:rPr>
                        <w:rFonts w:ascii="Cambria Math" w:hAnsi="Cambria Math"/>
                        <w:sz w:val="24"/>
                      </w:rPr>
                      <m:t>i</m:t>
                    </m:r>
                  </m:sub>
                </m:sSub>
                <m:r>
                  <w:rPr>
                    <w:rFonts w:ascii="Cambria Math" w:hAnsi="Cambria Math"/>
                    <w:sz w:val="24"/>
                  </w:rPr>
                  <m:t>)∙</m:t>
                </m:r>
                <m:d>
                  <m:dPr>
                    <m:ctrlPr>
                      <w:rPr>
                        <w:rFonts w:ascii="Cambria Math" w:hAnsi="Cambria Math"/>
                        <w:i/>
                        <w:sz w:val="24"/>
                      </w:rPr>
                    </m:ctrlPr>
                  </m:dPr>
                  <m:e>
                    <m:m>
                      <m:mPr>
                        <m:mcs>
                          <m:mc>
                            <m:mcPr>
                              <m:count m:val="1"/>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J</m:t>
                              </m:r>
                            </m:e>
                            <m:sub>
                              <m:r>
                                <w:rPr>
                                  <w:rFonts w:ascii="Cambria Math" w:hAnsi="Cambria Math"/>
                                  <w:sz w:val="24"/>
                                </w:rPr>
                                <m:t>ϑ,Tx/Rx</m:t>
                              </m:r>
                            </m:sub>
                          </m:sSub>
                        </m:e>
                      </m:mr>
                      <m:mr>
                        <m:e>
                          <m:sSub>
                            <m:sSubPr>
                              <m:ctrlPr>
                                <w:rPr>
                                  <w:rFonts w:ascii="Cambria Math" w:hAnsi="Cambria Math"/>
                                  <w:i/>
                                  <w:sz w:val="24"/>
                                </w:rPr>
                              </m:ctrlPr>
                            </m:sSubPr>
                            <m:e>
                              <m:r>
                                <w:rPr>
                                  <w:rFonts w:ascii="Cambria Math" w:hAnsi="Cambria Math"/>
                                  <w:sz w:val="24"/>
                                </w:rPr>
                                <m:t>J</m:t>
                              </m:r>
                            </m:e>
                            <m:sub>
                              <m:r>
                                <w:rPr>
                                  <w:rFonts w:ascii="Cambria Math" w:hAnsi="Cambria Math"/>
                                  <w:sz w:val="24"/>
                                </w:rPr>
                                <m:t>φ,Tx/Rx</m:t>
                              </m:r>
                            </m:sub>
                          </m:sSub>
                        </m:e>
                      </m:mr>
                    </m:m>
                  </m:e>
                </m:d>
              </m:oMath>
            </m:oMathPara>
          </w:p>
        </w:tc>
        <w:tc>
          <w:tcPr>
            <w:tcW w:w="1449" w:type="dxa"/>
            <w:vAlign w:val="center"/>
          </w:tcPr>
          <w:p w:rsidR="00F56780" w:rsidRDefault="00040F2C" w:rsidP="00040F2C">
            <w:pPr>
              <w:contextualSpacing/>
              <w:jc w:val="right"/>
              <w:rPr>
                <w:sz w:val="24"/>
              </w:rPr>
            </w:pPr>
            <w:r>
              <w:rPr>
                <w:sz w:val="24"/>
              </w:rPr>
              <w:t>(</w:t>
            </w:r>
            <w:r w:rsidR="00127CEF">
              <w:rPr>
                <w:sz w:val="24"/>
              </w:rPr>
              <w:fldChar w:fldCharType="begin"/>
            </w:r>
            <w:r w:rsidR="00F56780">
              <w:rPr>
                <w:sz w:val="24"/>
              </w:rPr>
              <w:instrText xml:space="preserve"> </w:instrText>
            </w:r>
            <w:r w:rsidR="00F56780">
              <w:rPr>
                <w:rStyle w:val="postbody"/>
              </w:rPr>
              <w:instrText>SEQ Formel \* Arabic\s 1</w:instrText>
            </w:r>
            <w:r w:rsidR="00F56780">
              <w:rPr>
                <w:sz w:val="24"/>
              </w:rPr>
              <w:instrText xml:space="preserve"> </w:instrText>
            </w:r>
            <w:r w:rsidR="00127CEF">
              <w:rPr>
                <w:sz w:val="24"/>
              </w:rPr>
              <w:fldChar w:fldCharType="separate"/>
            </w:r>
            <w:r w:rsidR="00C022B9">
              <w:rPr>
                <w:rStyle w:val="postbody"/>
                <w:noProof/>
              </w:rPr>
              <w:t>3</w:t>
            </w:r>
            <w:r w:rsidR="00127CEF">
              <w:rPr>
                <w:sz w:val="24"/>
              </w:rPr>
              <w:fldChar w:fldCharType="end"/>
            </w:r>
            <w:r w:rsidR="00F56780">
              <w:rPr>
                <w:sz w:val="24"/>
              </w:rPr>
              <w:t>)</w:t>
            </w:r>
          </w:p>
        </w:tc>
      </w:tr>
    </w:tbl>
    <w:p w:rsidR="00F56780" w:rsidRPr="004C1DAD" w:rsidRDefault="00F56780" w:rsidP="00F56780">
      <w:pPr>
        <w:pStyle w:val="TextStandard"/>
        <w:rPr>
          <w:rFonts w:cs="Arial"/>
          <w:lang w:val="en-US"/>
        </w:rPr>
      </w:pPr>
      <w:r>
        <w:rPr>
          <w:rFonts w:cs="Arial"/>
          <w:lang w:val="en-US"/>
        </w:rPr>
        <w:lastRenderedPageBreak/>
        <w:t xml:space="preserve">Where </w:t>
      </w:r>
      <w:proofErr w:type="spellStart"/>
      <w:r w:rsidRPr="00F56780">
        <w:rPr>
          <w:rFonts w:cs="Arial"/>
          <w:i/>
          <w:lang w:val="en-US"/>
        </w:rPr>
        <w:t>g</w:t>
      </w:r>
      <w:r w:rsidRPr="00F56780">
        <w:rPr>
          <w:rFonts w:cs="Arial"/>
          <w:i/>
          <w:vertAlign w:val="subscript"/>
          <w:lang w:val="en-US"/>
        </w:rPr>
        <w:t>Tx</w:t>
      </w:r>
      <w:proofErr w:type="spellEnd"/>
      <w:r w:rsidRPr="00F56780">
        <w:rPr>
          <w:rFonts w:cs="Arial"/>
          <w:i/>
          <w:vertAlign w:val="subscript"/>
          <w:lang w:val="en-US"/>
        </w:rPr>
        <w:t>/Rx</w:t>
      </w:r>
      <w:r>
        <w:rPr>
          <w:rFonts w:cs="Arial"/>
          <w:lang w:val="en-US"/>
        </w:rPr>
        <w:t xml:space="preserve"> is the direction-dependent gain of the respective antenna evaluated at the angular positions where the </w:t>
      </w:r>
      <w:proofErr w:type="spellStart"/>
      <w:r w:rsidRPr="00F56780">
        <w:rPr>
          <w:rFonts w:cs="Arial"/>
          <w:i/>
          <w:lang w:val="en-US"/>
        </w:rPr>
        <w:t>i</w:t>
      </w:r>
      <w:r w:rsidRPr="00F56780">
        <w:rPr>
          <w:rFonts w:cs="Arial"/>
          <w:i/>
          <w:vertAlign w:val="subscript"/>
          <w:lang w:val="en-US"/>
        </w:rPr>
        <w:t>th</w:t>
      </w:r>
      <w:proofErr w:type="spellEnd"/>
      <w:r>
        <w:rPr>
          <w:rFonts w:cs="Arial"/>
          <w:lang w:val="en-US"/>
        </w:rPr>
        <w:t xml:space="preserve"> ray hits the respective antenna radiation pattern</w:t>
      </w:r>
      <w:r w:rsidR="00372448">
        <w:rPr>
          <w:rFonts w:cs="Arial"/>
          <w:lang w:val="en-US"/>
        </w:rPr>
        <w:t xml:space="preserve"> and </w:t>
      </w:r>
      <w:r w:rsidR="00372448" w:rsidRPr="00372448">
        <w:rPr>
          <w:rFonts w:cs="Arial"/>
          <w:b/>
          <w:i/>
          <w:lang w:val="en-US"/>
        </w:rPr>
        <w:t>J</w:t>
      </w:r>
      <w:r w:rsidR="00372448">
        <w:rPr>
          <w:rFonts w:cs="Arial"/>
          <w:lang w:val="en-US"/>
        </w:rPr>
        <w:t xml:space="preserve"> is the Jones-vector of the Antenna according to [1]</w:t>
      </w:r>
      <w:r>
        <w:rPr>
          <w:rFonts w:cs="Arial"/>
          <w:lang w:val="en-US"/>
        </w:rPr>
        <w:t>.</w:t>
      </w:r>
    </w:p>
    <w:p w:rsidR="00F56780" w:rsidRDefault="00372448" w:rsidP="00372448">
      <w:pPr>
        <w:pStyle w:val="berschrift1"/>
        <w:rPr>
          <w:lang w:val="en-US"/>
        </w:rPr>
      </w:pPr>
      <w:r>
        <w:rPr>
          <w:lang w:val="en-US"/>
        </w:rPr>
        <w:t>Generation of the Channel Transfer Functions</w:t>
      </w:r>
    </w:p>
    <w:p w:rsidR="00372448" w:rsidRDefault="00372448" w:rsidP="00B337AD">
      <w:pPr>
        <w:pStyle w:val="TextStandard"/>
        <w:rPr>
          <w:lang w:val="en-US"/>
        </w:rPr>
      </w:pPr>
      <w:r>
        <w:rPr>
          <w:lang w:val="en-US"/>
        </w:rPr>
        <w:t xml:space="preserve">The channel transfer functions (CTFs) introduced in Chapter </w:t>
      </w:r>
      <w:r w:rsidR="00127CEF">
        <w:rPr>
          <w:lang w:val="en-US"/>
        </w:rPr>
        <w:fldChar w:fldCharType="begin"/>
      </w:r>
      <w:r>
        <w:rPr>
          <w:lang w:val="en-US"/>
        </w:rPr>
        <w:instrText xml:space="preserve"> REF _Ref435444534 \r \h </w:instrText>
      </w:r>
      <w:r w:rsidR="00127CEF">
        <w:rPr>
          <w:lang w:val="en-US"/>
        </w:rPr>
      </w:r>
      <w:r w:rsidR="00127CEF">
        <w:rPr>
          <w:lang w:val="en-US"/>
        </w:rPr>
        <w:fldChar w:fldCharType="separate"/>
      </w:r>
      <w:r w:rsidR="00C022B9">
        <w:rPr>
          <w:lang w:val="en-US"/>
        </w:rPr>
        <w:t>1</w:t>
      </w:r>
      <w:r w:rsidR="00127CEF">
        <w:rPr>
          <w:lang w:val="en-US"/>
        </w:rPr>
        <w:fldChar w:fldCharType="end"/>
      </w:r>
      <w:r>
        <w:rPr>
          <w:lang w:val="en-US"/>
        </w:rPr>
        <w:t xml:space="preserve"> are generated by a specific tool for generating channel transfer function</w:t>
      </w:r>
      <w:r w:rsidR="00B337AD">
        <w:rPr>
          <w:lang w:val="en-US"/>
        </w:rPr>
        <w:t>s</w:t>
      </w:r>
      <w:r>
        <w:rPr>
          <w:lang w:val="en-US"/>
        </w:rPr>
        <w:t xml:space="preserve"> which is termed </w:t>
      </w:r>
      <w:r w:rsidRPr="00372448">
        <w:rPr>
          <w:i/>
          <w:lang w:val="en-US"/>
        </w:rPr>
        <w:t xml:space="preserve">channel realization generator </w:t>
      </w:r>
      <w:r>
        <w:rPr>
          <w:lang w:val="en-US"/>
        </w:rPr>
        <w:t xml:space="preserve">(CRG). </w:t>
      </w:r>
      <w:r w:rsidR="00B337AD">
        <w:rPr>
          <w:lang w:val="en-US"/>
        </w:rPr>
        <w:t xml:space="preserve">The CRG evaluates a set of stochastic interdependencies for the channel properties that </w:t>
      </w:r>
      <w:r w:rsidR="001F2ACF">
        <w:rPr>
          <w:lang w:val="en-US"/>
        </w:rPr>
        <w:t>underlie</w:t>
      </w:r>
      <w:r w:rsidR="00B337AD">
        <w:rPr>
          <w:lang w:val="en-US"/>
        </w:rPr>
        <w:t xml:space="preserve"> the channel transfer function, such as cluster composition, angular profiles at </w:t>
      </w:r>
      <w:proofErr w:type="spellStart"/>
      <w:r w:rsidR="00B337AD">
        <w:rPr>
          <w:lang w:val="en-US"/>
        </w:rPr>
        <w:t>Tx</w:t>
      </w:r>
      <w:proofErr w:type="spellEnd"/>
      <w:r w:rsidR="00B337AD">
        <w:rPr>
          <w:lang w:val="en-US"/>
        </w:rPr>
        <w:t xml:space="preserve"> and Rx, path losses and times of arrival and polarization properties. </w:t>
      </w:r>
      <w:r w:rsidR="00B337AD" w:rsidRPr="00B337AD">
        <w:rPr>
          <w:lang w:val="en-US"/>
        </w:rPr>
        <w:t>The channel model is derived from a ray-tracing approach that has been developed to account for the peculiarities of close-proximity and intra-device co</w:t>
      </w:r>
      <w:r w:rsidR="00B337AD">
        <w:rPr>
          <w:lang w:val="en-US"/>
        </w:rPr>
        <w:t xml:space="preserve">mmunications in the THz – range. </w:t>
      </w:r>
      <w:r w:rsidR="00B337AD" w:rsidRPr="00B337AD">
        <w:rPr>
          <w:lang w:val="en-US"/>
        </w:rPr>
        <w:t>It includes the electromagnetic influence of plastic layers, met</w:t>
      </w:r>
      <w:r w:rsidR="00B337AD">
        <w:rPr>
          <w:lang w:val="en-US"/>
        </w:rPr>
        <w:t xml:space="preserve">als and printed circuit boards. </w:t>
      </w:r>
      <w:r w:rsidR="00B337AD" w:rsidRPr="00B337AD">
        <w:rPr>
          <w:lang w:val="en-US"/>
        </w:rPr>
        <w:t xml:space="preserve">Moreover, the characteristics of </w:t>
      </w:r>
      <w:r w:rsidR="004C1DAD" w:rsidRPr="00B337AD">
        <w:rPr>
          <w:lang w:val="en-US"/>
        </w:rPr>
        <w:t>Gaussian</w:t>
      </w:r>
      <w:r w:rsidR="00B337AD" w:rsidRPr="00B337AD">
        <w:rPr>
          <w:lang w:val="en-US"/>
        </w:rPr>
        <w:t xml:space="preserve"> antenna profiles are included</w:t>
      </w:r>
      <w:r w:rsidR="00B337AD">
        <w:rPr>
          <w:lang w:val="en-US"/>
        </w:rPr>
        <w:t>.</w:t>
      </w:r>
    </w:p>
    <w:p w:rsidR="00B337AD" w:rsidRDefault="00B337AD" w:rsidP="00B337AD">
      <w:pPr>
        <w:pStyle w:val="TextStandard"/>
        <w:keepNext/>
      </w:pPr>
      <w:r w:rsidRPr="00B337AD">
        <w:rPr>
          <w:noProof/>
          <w:lang w:val="de-DE"/>
        </w:rPr>
        <w:drawing>
          <wp:inline distT="0" distB="0" distL="0" distR="0">
            <wp:extent cx="2715371" cy="2166573"/>
            <wp:effectExtent l="19050" t="0" r="8779" b="0"/>
            <wp:docPr id="2" name="Bild 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8" cstate="print"/>
                    <a:srcRect l="35636" t="7484" r="35274" b="25045"/>
                    <a:stretch>
                      <a:fillRect/>
                    </a:stretch>
                  </pic:blipFill>
                  <pic:spPr bwMode="auto">
                    <a:xfrm>
                      <a:off x="0" y="0"/>
                      <a:ext cx="2715371" cy="2166573"/>
                    </a:xfrm>
                    <a:prstGeom prst="rect">
                      <a:avLst/>
                    </a:prstGeom>
                    <a:noFill/>
                    <a:ln w="9525">
                      <a:noFill/>
                      <a:miter lim="800000"/>
                      <a:headEnd/>
                      <a:tailEnd/>
                    </a:ln>
                    <a:effectLst/>
                  </pic:spPr>
                </pic:pic>
              </a:graphicData>
            </a:graphic>
          </wp:inline>
        </w:drawing>
      </w:r>
      <w:r w:rsidRPr="00B337AD">
        <w:rPr>
          <w:noProof/>
          <w:lang w:val="de-DE"/>
        </w:rPr>
        <w:drawing>
          <wp:inline distT="0" distB="0" distL="0" distR="0">
            <wp:extent cx="2473892" cy="2308917"/>
            <wp:effectExtent l="19050" t="0" r="2608" b="0"/>
            <wp:docPr id="3" name="Bild 2"/>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9" cstate="print"/>
                    <a:srcRect l="31932" r="31209"/>
                    <a:stretch>
                      <a:fillRect/>
                    </a:stretch>
                  </pic:blipFill>
                  <pic:spPr bwMode="auto">
                    <a:xfrm>
                      <a:off x="0" y="0"/>
                      <a:ext cx="2473892" cy="2308917"/>
                    </a:xfrm>
                    <a:prstGeom prst="rect">
                      <a:avLst/>
                    </a:prstGeom>
                    <a:noFill/>
                    <a:ln w="9525">
                      <a:noFill/>
                      <a:miter lim="800000"/>
                      <a:headEnd/>
                      <a:tailEnd/>
                    </a:ln>
                    <a:effectLst/>
                  </pic:spPr>
                </pic:pic>
              </a:graphicData>
            </a:graphic>
          </wp:inline>
        </w:drawing>
      </w:r>
    </w:p>
    <w:p w:rsidR="00B337AD" w:rsidRPr="00B337AD" w:rsidRDefault="00B337AD" w:rsidP="00B337AD">
      <w:pPr>
        <w:pStyle w:val="Beschriftung"/>
        <w:jc w:val="center"/>
        <w:rPr>
          <w:color w:val="000000" w:themeColor="text1"/>
          <w:lang w:val="en-US"/>
        </w:rPr>
      </w:pPr>
      <w:bookmarkStart w:id="1" w:name="_Ref435444947"/>
      <w:r w:rsidRPr="00B337AD">
        <w:rPr>
          <w:color w:val="000000" w:themeColor="text1"/>
        </w:rPr>
        <w:t xml:space="preserve">Figure </w:t>
      </w:r>
      <w:r w:rsidR="00127CEF" w:rsidRPr="00B337AD">
        <w:rPr>
          <w:color w:val="000000" w:themeColor="text1"/>
        </w:rPr>
        <w:fldChar w:fldCharType="begin"/>
      </w:r>
      <w:r w:rsidRPr="00B337AD">
        <w:rPr>
          <w:color w:val="000000" w:themeColor="text1"/>
        </w:rPr>
        <w:instrText xml:space="preserve"> SEQ Figure \* ARABIC </w:instrText>
      </w:r>
      <w:r w:rsidR="00127CEF" w:rsidRPr="00B337AD">
        <w:rPr>
          <w:color w:val="000000" w:themeColor="text1"/>
        </w:rPr>
        <w:fldChar w:fldCharType="separate"/>
      </w:r>
      <w:r w:rsidR="00C022B9">
        <w:rPr>
          <w:noProof/>
          <w:color w:val="000000" w:themeColor="text1"/>
        </w:rPr>
        <w:t>1</w:t>
      </w:r>
      <w:r w:rsidR="00127CEF" w:rsidRPr="00B337AD">
        <w:rPr>
          <w:color w:val="000000" w:themeColor="text1"/>
        </w:rPr>
        <w:fldChar w:fldCharType="end"/>
      </w:r>
      <w:bookmarkEnd w:id="1"/>
      <w:r w:rsidRPr="00B337AD">
        <w:rPr>
          <w:color w:val="000000" w:themeColor="text1"/>
        </w:rPr>
        <w:t>: Ray Tracing weighted with Gaussian Antenna Profiles</w:t>
      </w:r>
      <w:r>
        <w:rPr>
          <w:color w:val="000000" w:themeColor="text1"/>
        </w:rPr>
        <w:br/>
        <w:t>a) Board to Board Case, b) Chip to Chip Case</w:t>
      </w:r>
    </w:p>
    <w:p w:rsidR="00B337AD" w:rsidRDefault="00B337AD" w:rsidP="00B337AD">
      <w:pPr>
        <w:pStyle w:val="TextStandard"/>
        <w:rPr>
          <w:lang w:val="en-US"/>
        </w:rPr>
      </w:pPr>
      <w:r w:rsidRPr="00B337AD">
        <w:rPr>
          <w:lang w:val="en-US"/>
        </w:rPr>
        <w:t>From the ray-tracing results</w:t>
      </w:r>
      <w:r>
        <w:rPr>
          <w:lang w:val="en-US"/>
        </w:rPr>
        <w:t xml:space="preserve">, which are exemplarily visualized in </w:t>
      </w:r>
      <w:r w:rsidR="00127CEF">
        <w:rPr>
          <w:lang w:val="en-US"/>
        </w:rPr>
        <w:fldChar w:fldCharType="begin"/>
      </w:r>
      <w:r>
        <w:rPr>
          <w:lang w:val="en-US"/>
        </w:rPr>
        <w:instrText xml:space="preserve"> REF _Ref435444947 </w:instrText>
      </w:r>
      <w:r w:rsidR="00127CEF">
        <w:rPr>
          <w:lang w:val="en-US"/>
        </w:rPr>
        <w:fldChar w:fldCharType="separate"/>
      </w:r>
      <w:r w:rsidR="00C022B9" w:rsidRPr="00B337AD">
        <w:rPr>
          <w:color w:val="000000" w:themeColor="text1"/>
        </w:rPr>
        <w:t xml:space="preserve">Figure </w:t>
      </w:r>
      <w:r w:rsidR="00C022B9">
        <w:rPr>
          <w:noProof/>
          <w:color w:val="000000" w:themeColor="text1"/>
        </w:rPr>
        <w:t>1</w:t>
      </w:r>
      <w:r w:rsidR="00127CEF">
        <w:rPr>
          <w:lang w:val="en-US"/>
        </w:rPr>
        <w:fldChar w:fldCharType="end"/>
      </w:r>
      <w:r w:rsidRPr="00B337AD">
        <w:rPr>
          <w:lang w:val="en-US"/>
        </w:rPr>
        <w:t xml:space="preserve">, the characteristics of the channel regarding cluster composition, path loss and polarization properties as well as angular and </w:t>
      </w:r>
      <w:r>
        <w:rPr>
          <w:lang w:val="en-US"/>
        </w:rPr>
        <w:t xml:space="preserve">temporal profiles are extracted. </w:t>
      </w:r>
      <w:r w:rsidRPr="00B337AD">
        <w:rPr>
          <w:lang w:val="en-US"/>
        </w:rPr>
        <w:t xml:space="preserve">These characteristics are used to configure </w:t>
      </w:r>
      <w:r>
        <w:rPr>
          <w:lang w:val="en-US"/>
        </w:rPr>
        <w:t>the CRG</w:t>
      </w:r>
      <w:r w:rsidRPr="00B337AD">
        <w:rPr>
          <w:lang w:val="en-US"/>
        </w:rPr>
        <w:t xml:space="preserve"> which is utilized to generate a large number of realistic channel realizations (i.e. frequency responses) for the corresponding use cases</w:t>
      </w:r>
      <w:r>
        <w:rPr>
          <w:lang w:val="en-US"/>
        </w:rPr>
        <w:t xml:space="preserve">. The structure of the employed channel statistics is depicted in </w:t>
      </w:r>
      <w:r w:rsidR="00127CEF">
        <w:rPr>
          <w:lang w:val="en-US"/>
        </w:rPr>
        <w:fldChar w:fldCharType="begin"/>
      </w:r>
      <w:r>
        <w:rPr>
          <w:lang w:val="en-US"/>
        </w:rPr>
        <w:instrText xml:space="preserve"> REF _Ref435444914 </w:instrText>
      </w:r>
      <w:r w:rsidR="00127CEF">
        <w:rPr>
          <w:lang w:val="en-US"/>
        </w:rPr>
        <w:fldChar w:fldCharType="separate"/>
      </w:r>
      <w:r w:rsidR="00C022B9" w:rsidRPr="00B337AD">
        <w:rPr>
          <w:color w:val="000000" w:themeColor="text1"/>
        </w:rPr>
        <w:t xml:space="preserve">Figure </w:t>
      </w:r>
      <w:r w:rsidR="00C022B9">
        <w:rPr>
          <w:noProof/>
          <w:color w:val="000000" w:themeColor="text1"/>
        </w:rPr>
        <w:t>2</w:t>
      </w:r>
      <w:r w:rsidR="00127CEF">
        <w:rPr>
          <w:lang w:val="en-US"/>
        </w:rPr>
        <w:fldChar w:fldCharType="end"/>
      </w:r>
      <w:r>
        <w:rPr>
          <w:lang w:val="en-US"/>
        </w:rPr>
        <w:t>.</w:t>
      </w:r>
    </w:p>
    <w:p w:rsidR="00B337AD" w:rsidRDefault="00B337AD" w:rsidP="00B337AD">
      <w:pPr>
        <w:pStyle w:val="TextStandard"/>
        <w:keepNext/>
      </w:pPr>
      <w:r w:rsidRPr="00B337AD">
        <w:rPr>
          <w:noProof/>
          <w:lang w:val="de-DE"/>
        </w:rPr>
        <w:lastRenderedPageBreak/>
        <w:drawing>
          <wp:inline distT="0" distB="0" distL="0" distR="0">
            <wp:extent cx="5760720" cy="3977873"/>
            <wp:effectExtent l="19050" t="0" r="0" b="0"/>
            <wp:docPr id="4" name="Bild 3"/>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10" cstate="print"/>
                    <a:srcRect/>
                    <a:stretch>
                      <a:fillRect/>
                    </a:stretch>
                  </pic:blipFill>
                  <pic:spPr bwMode="auto">
                    <a:xfrm>
                      <a:off x="0" y="0"/>
                      <a:ext cx="5760720" cy="3977873"/>
                    </a:xfrm>
                    <a:prstGeom prst="rect">
                      <a:avLst/>
                    </a:prstGeom>
                    <a:noFill/>
                    <a:ln w="9525">
                      <a:noFill/>
                      <a:miter lim="800000"/>
                      <a:headEnd/>
                      <a:tailEnd/>
                    </a:ln>
                  </pic:spPr>
                </pic:pic>
              </a:graphicData>
            </a:graphic>
          </wp:inline>
        </w:drawing>
      </w:r>
    </w:p>
    <w:p w:rsidR="00B337AD" w:rsidRDefault="00B337AD" w:rsidP="00B337AD">
      <w:pPr>
        <w:pStyle w:val="Beschriftung"/>
        <w:jc w:val="center"/>
        <w:rPr>
          <w:color w:val="000000" w:themeColor="text1"/>
        </w:rPr>
      </w:pPr>
      <w:bookmarkStart w:id="2" w:name="_Ref435444914"/>
      <w:r w:rsidRPr="00B337AD">
        <w:rPr>
          <w:color w:val="000000" w:themeColor="text1"/>
        </w:rPr>
        <w:t xml:space="preserve">Figure </w:t>
      </w:r>
      <w:r w:rsidR="00127CEF" w:rsidRPr="00B337AD">
        <w:rPr>
          <w:color w:val="000000" w:themeColor="text1"/>
        </w:rPr>
        <w:fldChar w:fldCharType="begin"/>
      </w:r>
      <w:r w:rsidRPr="00B337AD">
        <w:rPr>
          <w:color w:val="000000" w:themeColor="text1"/>
        </w:rPr>
        <w:instrText xml:space="preserve"> SEQ Figure \* ARABIC </w:instrText>
      </w:r>
      <w:r w:rsidR="00127CEF" w:rsidRPr="00B337AD">
        <w:rPr>
          <w:color w:val="000000" w:themeColor="text1"/>
        </w:rPr>
        <w:fldChar w:fldCharType="separate"/>
      </w:r>
      <w:r w:rsidR="00C022B9">
        <w:rPr>
          <w:noProof/>
          <w:color w:val="000000" w:themeColor="text1"/>
        </w:rPr>
        <w:t>2</w:t>
      </w:r>
      <w:r w:rsidR="00127CEF" w:rsidRPr="00B337AD">
        <w:rPr>
          <w:color w:val="000000" w:themeColor="text1"/>
        </w:rPr>
        <w:fldChar w:fldCharType="end"/>
      </w:r>
      <w:bookmarkEnd w:id="2"/>
      <w:r w:rsidRPr="00B337AD">
        <w:rPr>
          <w:color w:val="000000" w:themeColor="text1"/>
        </w:rPr>
        <w:t>: Structure of the Underlying Channel Statistics</w:t>
      </w:r>
    </w:p>
    <w:p w:rsidR="00885840" w:rsidRDefault="00885840" w:rsidP="00885840">
      <w:pPr>
        <w:pStyle w:val="berschrift2"/>
        <w:rPr>
          <w:lang w:val="en-US"/>
        </w:rPr>
      </w:pPr>
      <w:r>
        <w:rPr>
          <w:lang w:val="en-US"/>
        </w:rPr>
        <w:t>Cluster Composition</w:t>
      </w:r>
    </w:p>
    <w:p w:rsidR="00F52BEA" w:rsidRDefault="00F52BEA" w:rsidP="00F52BEA">
      <w:pPr>
        <w:pStyle w:val="TextStandard"/>
        <w:rPr>
          <w:lang w:val="en-US"/>
        </w:rPr>
      </w:pPr>
      <w:r>
        <w:rPr>
          <w:lang w:val="en-US"/>
        </w:rPr>
        <w:t xml:space="preserve">The most important component of the </w:t>
      </w:r>
      <w:r w:rsidR="001F2ACF">
        <w:rPr>
          <w:lang w:val="en-US"/>
        </w:rPr>
        <w:t xml:space="preserve">CRG </w:t>
      </w:r>
      <w:r>
        <w:rPr>
          <w:lang w:val="en-US"/>
        </w:rPr>
        <w:t>is the cluster composition of each channel. The cluster composition is the actual set of multipath components that occur in a channel realization. It is obvious, that an incorrect assumption regarding the cluster composition will lead to invalid channel realiz</w:t>
      </w:r>
      <w:r w:rsidR="00BD1275">
        <w:rPr>
          <w:lang w:val="en-US"/>
        </w:rPr>
        <w:t>ations. The cluster composition</w:t>
      </w:r>
      <w:r>
        <w:rPr>
          <w:lang w:val="en-US"/>
        </w:rPr>
        <w:t xml:space="preserve"> implicitly holds the geometric structure of the underlying ray-tracing simulations. For example, analyzing a long hallway will lead to a different set of clusters and cluster interrelationships than a </w:t>
      </w:r>
      <w:r w:rsidR="00BD1275">
        <w:rPr>
          <w:lang w:val="en-US"/>
        </w:rPr>
        <w:t>square-shaped</w:t>
      </w:r>
      <w:r>
        <w:rPr>
          <w:lang w:val="en-US"/>
        </w:rPr>
        <w:t xml:space="preserve"> office room with room dividers that may in some cases block the line of sight. </w:t>
      </w:r>
    </w:p>
    <w:p w:rsidR="00140F40" w:rsidRDefault="00F52BEA" w:rsidP="00F52BEA">
      <w:pPr>
        <w:pStyle w:val="TextStandard"/>
        <w:rPr>
          <w:lang w:val="en-US"/>
        </w:rPr>
      </w:pPr>
      <w:r w:rsidRPr="00F52BEA">
        <w:rPr>
          <w:lang w:val="en-US"/>
        </w:rPr>
        <w:t xml:space="preserve">For the stochastic generation of channel transfer functions, statistics are extracted for every cluster type and reflection order. </w:t>
      </w:r>
      <w:r w:rsidR="00901C3D">
        <w:rPr>
          <w:lang w:val="en-US"/>
        </w:rPr>
        <w:t xml:space="preserve">The considered cluster types are defined by the reflection processes that occur along their respective propagation path. This results in the cluster types LOS (direct path), TMM (reflection on plastic surfaces), METAL (reflection on metal surfaces) and MIXED (different reflection types along the path). </w:t>
      </w:r>
      <w:r w:rsidRPr="00F52BEA">
        <w:rPr>
          <w:lang w:val="en-US"/>
        </w:rPr>
        <w:t xml:space="preserve">To further illustrate the concept, </w:t>
      </w:r>
      <w:r w:rsidR="00127CEF">
        <w:rPr>
          <w:lang w:val="en-US"/>
        </w:rPr>
        <w:fldChar w:fldCharType="begin"/>
      </w:r>
      <w:r w:rsidR="00B57F78">
        <w:rPr>
          <w:lang w:val="en-US"/>
        </w:rPr>
        <w:instrText xml:space="preserve"> REF _Ref435446035 </w:instrText>
      </w:r>
      <w:r w:rsidR="00127CEF">
        <w:rPr>
          <w:lang w:val="en-US"/>
        </w:rPr>
        <w:fldChar w:fldCharType="separate"/>
      </w:r>
      <w:r w:rsidR="00C022B9" w:rsidRPr="00B57F78">
        <w:rPr>
          <w:color w:val="000000" w:themeColor="text1"/>
        </w:rPr>
        <w:t xml:space="preserve">Figure </w:t>
      </w:r>
      <w:r w:rsidR="00C022B9">
        <w:rPr>
          <w:noProof/>
          <w:color w:val="000000" w:themeColor="text1"/>
        </w:rPr>
        <w:t>3</w:t>
      </w:r>
      <w:r w:rsidR="00127CEF">
        <w:rPr>
          <w:lang w:val="en-US"/>
        </w:rPr>
        <w:fldChar w:fldCharType="end"/>
      </w:r>
      <w:r w:rsidR="00B57F78">
        <w:rPr>
          <w:lang w:val="en-US"/>
        </w:rPr>
        <w:t xml:space="preserve"> </w:t>
      </w:r>
      <w:r w:rsidRPr="00F52BEA">
        <w:rPr>
          <w:lang w:val="en-US"/>
        </w:rPr>
        <w:t xml:space="preserve">shows the exemplary propagation path, the corresponding wall indices and the resulting matrix-structure (along with two </w:t>
      </w:r>
      <w:r w:rsidRPr="00F52BEA">
        <w:rPr>
          <w:lang w:val="en-US"/>
        </w:rPr>
        <w:lastRenderedPageBreak/>
        <w:t>other paths) holding the depicted second-order path.</w:t>
      </w:r>
      <w:r>
        <w:rPr>
          <w:lang w:val="en-US"/>
        </w:rPr>
        <w:t xml:space="preserve"> </w:t>
      </w:r>
      <w:r w:rsidR="00BD1275">
        <w:rPr>
          <w:lang w:val="en-US"/>
        </w:rPr>
        <w:t xml:space="preserve">The matrix-structure is in the following referred to as </w:t>
      </w:r>
      <w:r w:rsidR="00BD1275" w:rsidRPr="00BD1275">
        <w:rPr>
          <w:i/>
          <w:lang w:val="en-US"/>
        </w:rPr>
        <w:t>composition tensor</w:t>
      </w:r>
      <w:r w:rsidR="00BD1275">
        <w:rPr>
          <w:lang w:val="en-US"/>
        </w:rPr>
        <w:t>.</w:t>
      </w:r>
    </w:p>
    <w:p w:rsidR="00B57F78" w:rsidRDefault="00140F40" w:rsidP="00B57F78">
      <w:pPr>
        <w:pStyle w:val="TextStandard"/>
        <w:keepNext/>
      </w:pPr>
      <w:r w:rsidRPr="00140F40">
        <w:rPr>
          <w:noProof/>
          <w:lang w:val="de-DE"/>
        </w:rPr>
        <w:drawing>
          <wp:inline distT="0" distB="0" distL="0" distR="0">
            <wp:extent cx="5760720" cy="1699553"/>
            <wp:effectExtent l="0" t="0" r="0" b="0"/>
            <wp:docPr id="10" name="Bild 9"/>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1" cstate="print"/>
                    <a:srcRect r="9639"/>
                    <a:stretch>
                      <a:fillRect/>
                    </a:stretch>
                  </pic:blipFill>
                  <pic:spPr bwMode="auto">
                    <a:xfrm>
                      <a:off x="0" y="0"/>
                      <a:ext cx="5760720" cy="1699553"/>
                    </a:xfrm>
                    <a:prstGeom prst="rect">
                      <a:avLst/>
                    </a:prstGeom>
                    <a:noFill/>
                  </pic:spPr>
                </pic:pic>
              </a:graphicData>
            </a:graphic>
          </wp:inline>
        </w:drawing>
      </w:r>
    </w:p>
    <w:p w:rsidR="00140F40" w:rsidRPr="00B57F78" w:rsidRDefault="00B57F78" w:rsidP="00B57F78">
      <w:pPr>
        <w:pStyle w:val="Beschriftung"/>
        <w:jc w:val="center"/>
        <w:rPr>
          <w:color w:val="000000" w:themeColor="text1"/>
          <w:lang w:val="en-US"/>
        </w:rPr>
      </w:pPr>
      <w:bookmarkStart w:id="3" w:name="_Ref435446035"/>
      <w:r w:rsidRPr="00B57F78">
        <w:rPr>
          <w:color w:val="000000" w:themeColor="text1"/>
        </w:rPr>
        <w:t xml:space="preserve">Figure </w:t>
      </w:r>
      <w:r w:rsidR="00127CEF" w:rsidRPr="00B57F78">
        <w:rPr>
          <w:color w:val="000000" w:themeColor="text1"/>
        </w:rPr>
        <w:fldChar w:fldCharType="begin"/>
      </w:r>
      <w:r w:rsidRPr="00B57F78">
        <w:rPr>
          <w:color w:val="000000" w:themeColor="text1"/>
        </w:rPr>
        <w:instrText xml:space="preserve"> SEQ Figure \* ARABIC </w:instrText>
      </w:r>
      <w:r w:rsidR="00127CEF" w:rsidRPr="00B57F78">
        <w:rPr>
          <w:color w:val="000000" w:themeColor="text1"/>
        </w:rPr>
        <w:fldChar w:fldCharType="separate"/>
      </w:r>
      <w:r w:rsidR="00C022B9">
        <w:rPr>
          <w:noProof/>
          <w:color w:val="000000" w:themeColor="text1"/>
        </w:rPr>
        <w:t>3</w:t>
      </w:r>
      <w:r w:rsidR="00127CEF" w:rsidRPr="00B57F78">
        <w:rPr>
          <w:color w:val="000000" w:themeColor="text1"/>
        </w:rPr>
        <w:fldChar w:fldCharType="end"/>
      </w:r>
      <w:bookmarkEnd w:id="3"/>
      <w:r w:rsidRPr="00B57F78">
        <w:rPr>
          <w:color w:val="000000" w:themeColor="text1"/>
        </w:rPr>
        <w:t>: Cluster Composition</w:t>
      </w:r>
    </w:p>
    <w:p w:rsidR="00885840" w:rsidRDefault="00F52BEA" w:rsidP="00885840">
      <w:pPr>
        <w:pStyle w:val="TextStandard"/>
        <w:rPr>
          <w:lang w:val="en-US"/>
        </w:rPr>
      </w:pPr>
      <w:r w:rsidRPr="00F52BEA">
        <w:rPr>
          <w:lang w:val="en-US"/>
        </w:rPr>
        <w:t>After the evaluation of the clusters in terms of composition tensors, the relative probabilities of occurrence are generated. In the current version of the model, this is</w:t>
      </w:r>
      <w:r w:rsidR="0032239E">
        <w:rPr>
          <w:lang w:val="en-US"/>
        </w:rPr>
        <w:t xml:space="preserve"> done by means of</w:t>
      </w:r>
      <w:r w:rsidRPr="00F52BEA">
        <w:rPr>
          <w:lang w:val="en-US"/>
        </w:rPr>
        <w:t xml:space="preserve"> Gaussian Mixture Models (GMM). A GMM is capable of </w:t>
      </w:r>
      <w:r w:rsidR="00140F40" w:rsidRPr="00F52BEA">
        <w:rPr>
          <w:lang w:val="en-US"/>
        </w:rPr>
        <w:t>modeling</w:t>
      </w:r>
      <w:r w:rsidRPr="00F52BEA">
        <w:rPr>
          <w:lang w:val="en-US"/>
        </w:rPr>
        <w:t xml:space="preserve"> multivariate distributions over correlated features. This way, the characteristics of the cluster tensors (e.g. mutually exclusive occurrence of certain reflections) can be accounted for. </w:t>
      </w:r>
      <w:r w:rsidR="0032239E">
        <w:rPr>
          <w:lang w:val="en-US"/>
        </w:rPr>
        <w:t>After the number</w:t>
      </w:r>
      <w:r w:rsidR="0032239E" w:rsidRPr="006C530C">
        <w:rPr>
          <w:i/>
          <w:lang w:val="en-US"/>
        </w:rPr>
        <w:t xml:space="preserve"> n</w:t>
      </w:r>
      <w:r w:rsidR="0032239E">
        <w:rPr>
          <w:lang w:val="en-US"/>
        </w:rPr>
        <w:t xml:space="preserve"> of paths with possibility &lt; 1 and &gt; 0 has been determined, a GMM is set up for each cluster type</w:t>
      </w:r>
      <w:r w:rsidRPr="00F52BEA">
        <w:rPr>
          <w:lang w:val="en-US"/>
        </w:rPr>
        <w:t>.</w:t>
      </w:r>
      <w:r w:rsidR="0032239E">
        <w:rPr>
          <w:lang w:val="en-US"/>
        </w:rPr>
        <w:t xml:space="preserve"> Each respective GMM has a number of </w:t>
      </w:r>
      <w:r w:rsidR="0032239E" w:rsidRPr="006C530C">
        <w:rPr>
          <w:i/>
          <w:lang w:val="en-US"/>
        </w:rPr>
        <w:t>n</w:t>
      </w:r>
      <w:r w:rsidR="0032239E">
        <w:rPr>
          <w:lang w:val="en-US"/>
        </w:rPr>
        <w:t xml:space="preserve"> variable</w:t>
      </w:r>
      <w:r w:rsidR="006C530C">
        <w:rPr>
          <w:lang w:val="en-US"/>
        </w:rPr>
        <w:t>s</w:t>
      </w:r>
      <w:r w:rsidR="0032239E">
        <w:rPr>
          <w:lang w:val="en-US"/>
        </w:rPr>
        <w:t xml:space="preserve"> that are drawn from </w:t>
      </w:r>
      <w:r w:rsidR="0032239E" w:rsidRPr="006C530C">
        <w:rPr>
          <w:i/>
          <w:lang w:val="en-US"/>
        </w:rPr>
        <w:t>n</w:t>
      </w:r>
      <w:r w:rsidR="0032239E">
        <w:rPr>
          <w:lang w:val="en-US"/>
        </w:rPr>
        <w:t xml:space="preserve"> Gaussian components. Thus, a single draw from such GMM produces a vector of </w:t>
      </w:r>
      <w:r w:rsidR="0032239E" w:rsidRPr="0056528C">
        <w:rPr>
          <w:i/>
          <w:lang w:val="en-US"/>
        </w:rPr>
        <w:t>n</w:t>
      </w:r>
      <w:r w:rsidR="0032239E">
        <w:rPr>
          <w:lang w:val="en-US"/>
        </w:rPr>
        <w:t xml:space="preserve"> logical values, expressing the presence or absence of the</w:t>
      </w:r>
      <w:r w:rsidR="0032239E" w:rsidRPr="0056528C">
        <w:rPr>
          <w:i/>
          <w:lang w:val="en-US"/>
        </w:rPr>
        <w:t xml:space="preserve"> n</w:t>
      </w:r>
      <w:r w:rsidR="0032239E">
        <w:rPr>
          <w:lang w:val="en-US"/>
        </w:rPr>
        <w:t xml:space="preserve"> cluster component for a given channel realization.</w:t>
      </w:r>
    </w:p>
    <w:p w:rsidR="00B57F78" w:rsidRDefault="00B57F78" w:rsidP="00885840">
      <w:pPr>
        <w:pStyle w:val="TextStandard"/>
        <w:rPr>
          <w:lang w:val="en-US"/>
        </w:rPr>
      </w:pPr>
      <w:r w:rsidRPr="00B57F78">
        <w:rPr>
          <w:noProof/>
          <w:lang w:val="de-DE"/>
        </w:rPr>
        <w:drawing>
          <wp:inline distT="0" distB="0" distL="0" distR="0">
            <wp:extent cx="5760720" cy="2256884"/>
            <wp:effectExtent l="0" t="0" r="0" b="0"/>
            <wp:docPr id="11" name="Bild 10"/>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12" cstate="print"/>
                    <a:srcRect b="52900"/>
                    <a:stretch>
                      <a:fillRect/>
                    </a:stretch>
                  </pic:blipFill>
                  <pic:spPr bwMode="auto">
                    <a:xfrm>
                      <a:off x="0" y="0"/>
                      <a:ext cx="5760720" cy="2256884"/>
                    </a:xfrm>
                    <a:prstGeom prst="rect">
                      <a:avLst/>
                    </a:prstGeom>
                    <a:noFill/>
                  </pic:spPr>
                </pic:pic>
              </a:graphicData>
            </a:graphic>
          </wp:inline>
        </w:drawing>
      </w:r>
    </w:p>
    <w:p w:rsidR="00885840" w:rsidRDefault="00885840" w:rsidP="00885840">
      <w:pPr>
        <w:pStyle w:val="berschrift2"/>
        <w:rPr>
          <w:lang w:val="en-US"/>
        </w:rPr>
      </w:pPr>
      <w:r>
        <w:rPr>
          <w:lang w:val="en-US"/>
        </w:rPr>
        <w:t>Time of Arrival</w:t>
      </w:r>
    </w:p>
    <w:p w:rsidR="00F52BEA" w:rsidRDefault="00F52BEA" w:rsidP="00F52BEA">
      <w:pPr>
        <w:pStyle w:val="TextStandard"/>
        <w:rPr>
          <w:lang w:val="en-US"/>
        </w:rPr>
      </w:pPr>
      <w:r>
        <w:rPr>
          <w:lang w:val="en-US"/>
        </w:rPr>
        <w:t xml:space="preserve">After generating the cluster composition, the propagation time of each path (Time of Arrival, </w:t>
      </w:r>
      <w:proofErr w:type="spellStart"/>
      <w:r>
        <w:rPr>
          <w:lang w:val="en-US"/>
        </w:rPr>
        <w:t>ToA</w:t>
      </w:r>
      <w:proofErr w:type="spellEnd"/>
      <w:r>
        <w:rPr>
          <w:lang w:val="en-US"/>
        </w:rPr>
        <w:t xml:space="preserve">), is generated. It is assumed, that the propagation delays of the various </w:t>
      </w:r>
      <w:r>
        <w:rPr>
          <w:lang w:val="en-US"/>
        </w:rPr>
        <w:lastRenderedPageBreak/>
        <w:t xml:space="preserve">cluster types follow normal distributions. For the direct path clusters, the propagation times are modeled directly based on their delay from the ray-tracing results. For the reflected paths, the delay is modeled based on the relative delay to the corresponding direct path; this way, it  is assured that no reflected clusters are generated that have a shorter propagation time than the direct path, which would be </w:t>
      </w:r>
      <w:r w:rsidR="00901C3D">
        <w:rPr>
          <w:lang w:val="en-US"/>
        </w:rPr>
        <w:t xml:space="preserve">physically </w:t>
      </w:r>
      <w:r>
        <w:rPr>
          <w:lang w:val="en-US"/>
        </w:rPr>
        <w:t xml:space="preserve">unrealistic. </w:t>
      </w:r>
      <w:r w:rsidR="00127CEF">
        <w:rPr>
          <w:lang w:val="en-US"/>
        </w:rPr>
        <w:fldChar w:fldCharType="begin"/>
      </w:r>
      <w:r w:rsidR="0072512A">
        <w:rPr>
          <w:lang w:val="en-US"/>
        </w:rPr>
        <w:instrText xml:space="preserve"> REF _Ref435446155 </w:instrText>
      </w:r>
      <w:r w:rsidR="00127CEF">
        <w:rPr>
          <w:lang w:val="en-US"/>
        </w:rPr>
        <w:fldChar w:fldCharType="separate"/>
      </w:r>
      <w:r w:rsidR="00C022B9" w:rsidRPr="0072512A">
        <w:rPr>
          <w:color w:val="000000" w:themeColor="text1"/>
        </w:rPr>
        <w:t xml:space="preserve">Figure </w:t>
      </w:r>
      <w:r w:rsidR="00C022B9">
        <w:rPr>
          <w:noProof/>
          <w:color w:val="000000" w:themeColor="text1"/>
        </w:rPr>
        <w:t>4</w:t>
      </w:r>
      <w:r w:rsidR="00127CEF">
        <w:rPr>
          <w:lang w:val="en-US"/>
        </w:rPr>
        <w:fldChar w:fldCharType="end"/>
      </w:r>
      <w:r w:rsidR="0072512A">
        <w:rPr>
          <w:lang w:val="en-US"/>
        </w:rPr>
        <w:t xml:space="preserve"> </w:t>
      </w:r>
      <w:r>
        <w:rPr>
          <w:lang w:val="en-US"/>
        </w:rPr>
        <w:t xml:space="preserve">depicts two exemplary distributions that have been generated for </w:t>
      </w:r>
      <w:r w:rsidR="00901C3D">
        <w:rPr>
          <w:lang w:val="en-US"/>
        </w:rPr>
        <w:t>mixed</w:t>
      </w:r>
      <w:r>
        <w:rPr>
          <w:lang w:val="en-US"/>
        </w:rPr>
        <w:t xml:space="preserve"> propagation clusters from </w:t>
      </w:r>
      <w:r w:rsidR="002D2853">
        <w:rPr>
          <w:lang w:val="en-US"/>
        </w:rPr>
        <w:t xml:space="preserve">one specific </w:t>
      </w:r>
      <w:r>
        <w:rPr>
          <w:lang w:val="en-US"/>
        </w:rPr>
        <w:t>communication scenario.</w:t>
      </w:r>
    </w:p>
    <w:p w:rsidR="0072512A" w:rsidRDefault="0072512A" w:rsidP="0072512A">
      <w:pPr>
        <w:pStyle w:val="TextStandard"/>
        <w:keepNext/>
      </w:pPr>
      <w:r w:rsidRPr="0072512A">
        <w:rPr>
          <w:noProof/>
          <w:lang w:val="de-DE"/>
        </w:rPr>
        <w:drawing>
          <wp:inline distT="0" distB="0" distL="0" distR="0">
            <wp:extent cx="5760720" cy="2123370"/>
            <wp:effectExtent l="0" t="0" r="0" b="0"/>
            <wp:docPr id="12" name="Bild 11"/>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13" cstate="print"/>
                    <a:srcRect/>
                    <a:stretch>
                      <a:fillRect/>
                    </a:stretch>
                  </pic:blipFill>
                  <pic:spPr bwMode="auto">
                    <a:xfrm>
                      <a:off x="0" y="0"/>
                      <a:ext cx="5760720" cy="2123370"/>
                    </a:xfrm>
                    <a:prstGeom prst="rect">
                      <a:avLst/>
                    </a:prstGeom>
                    <a:noFill/>
                  </pic:spPr>
                </pic:pic>
              </a:graphicData>
            </a:graphic>
          </wp:inline>
        </w:drawing>
      </w:r>
    </w:p>
    <w:p w:rsidR="0072512A" w:rsidRPr="0072512A" w:rsidRDefault="0072512A" w:rsidP="0072512A">
      <w:pPr>
        <w:pStyle w:val="Beschriftung"/>
        <w:jc w:val="center"/>
        <w:rPr>
          <w:color w:val="000000" w:themeColor="text1"/>
          <w:lang w:val="en-US"/>
        </w:rPr>
      </w:pPr>
      <w:bookmarkStart w:id="4" w:name="_Ref435446155"/>
      <w:r w:rsidRPr="0072512A">
        <w:rPr>
          <w:color w:val="000000" w:themeColor="text1"/>
        </w:rPr>
        <w:t xml:space="preserve">Figure </w:t>
      </w:r>
      <w:r w:rsidR="00127CEF" w:rsidRPr="0072512A">
        <w:rPr>
          <w:color w:val="000000" w:themeColor="text1"/>
        </w:rPr>
        <w:fldChar w:fldCharType="begin"/>
      </w:r>
      <w:r w:rsidRPr="0072512A">
        <w:rPr>
          <w:color w:val="000000" w:themeColor="text1"/>
        </w:rPr>
        <w:instrText xml:space="preserve"> SEQ Figure \* ARABIC </w:instrText>
      </w:r>
      <w:r w:rsidR="00127CEF" w:rsidRPr="0072512A">
        <w:rPr>
          <w:color w:val="000000" w:themeColor="text1"/>
        </w:rPr>
        <w:fldChar w:fldCharType="separate"/>
      </w:r>
      <w:r w:rsidR="00C022B9">
        <w:rPr>
          <w:noProof/>
          <w:color w:val="000000" w:themeColor="text1"/>
        </w:rPr>
        <w:t>4</w:t>
      </w:r>
      <w:r w:rsidR="00127CEF" w:rsidRPr="0072512A">
        <w:rPr>
          <w:color w:val="000000" w:themeColor="text1"/>
        </w:rPr>
        <w:fldChar w:fldCharType="end"/>
      </w:r>
      <w:bookmarkEnd w:id="4"/>
      <w:r w:rsidRPr="0072512A">
        <w:rPr>
          <w:color w:val="000000" w:themeColor="text1"/>
        </w:rPr>
        <w:t>: Exemplary Delay Distributions of two twice-reflected Clusters</w:t>
      </w:r>
    </w:p>
    <w:p w:rsidR="0072512A" w:rsidRDefault="00F52BEA" w:rsidP="0072512A">
      <w:pPr>
        <w:pStyle w:val="TextStandard"/>
        <w:rPr>
          <w:lang w:val="en-US"/>
        </w:rPr>
      </w:pPr>
      <w:r w:rsidRPr="00F52BEA">
        <w:rPr>
          <w:lang w:val="en-US"/>
        </w:rPr>
        <w:t xml:space="preserve">As the modelling methodology for the stochastic generation of CTFs is based on the evaluation of </w:t>
      </w:r>
      <w:r w:rsidR="00590C02">
        <w:rPr>
          <w:lang w:val="en-US"/>
        </w:rPr>
        <w:t xml:space="preserve">probability </w:t>
      </w:r>
      <w:r w:rsidRPr="00F52BEA">
        <w:rPr>
          <w:lang w:val="en-US"/>
        </w:rPr>
        <w:t xml:space="preserve">distributions, for each cluster occurrence one corresponding </w:t>
      </w:r>
      <w:r w:rsidR="00590C02" w:rsidRPr="00F52BEA">
        <w:rPr>
          <w:lang w:val="en-US"/>
        </w:rPr>
        <w:t>probability</w:t>
      </w:r>
      <w:r w:rsidRPr="00F52BEA">
        <w:rPr>
          <w:lang w:val="en-US"/>
        </w:rPr>
        <w:t xml:space="preserve"> distribution is generated. For the introduced example of clusters, this fact is </w:t>
      </w:r>
      <w:r w:rsidR="00E75299">
        <w:rPr>
          <w:lang w:val="en-US"/>
        </w:rPr>
        <w:t xml:space="preserve">further illustrated in </w:t>
      </w:r>
      <w:r w:rsidR="00127CEF">
        <w:rPr>
          <w:lang w:val="en-US"/>
        </w:rPr>
        <w:fldChar w:fldCharType="begin"/>
      </w:r>
      <w:r w:rsidR="00E75299">
        <w:rPr>
          <w:lang w:val="en-US"/>
        </w:rPr>
        <w:instrText xml:space="preserve"> REF _Ref435446297 </w:instrText>
      </w:r>
      <w:r w:rsidR="00127CEF">
        <w:rPr>
          <w:lang w:val="en-US"/>
        </w:rPr>
        <w:fldChar w:fldCharType="separate"/>
      </w:r>
      <w:r w:rsidR="00C022B9" w:rsidRPr="00E75299">
        <w:rPr>
          <w:color w:val="000000" w:themeColor="text1"/>
        </w:rPr>
        <w:t xml:space="preserve">Figure </w:t>
      </w:r>
      <w:r w:rsidR="00C022B9">
        <w:rPr>
          <w:noProof/>
          <w:color w:val="000000" w:themeColor="text1"/>
        </w:rPr>
        <w:t>5</w:t>
      </w:r>
      <w:r w:rsidR="00127CEF">
        <w:rPr>
          <w:lang w:val="en-US"/>
        </w:rPr>
        <w:fldChar w:fldCharType="end"/>
      </w:r>
      <w:r w:rsidRPr="00F52BEA">
        <w:rPr>
          <w:lang w:val="en-US"/>
        </w:rPr>
        <w:t xml:space="preserve">. </w:t>
      </w:r>
    </w:p>
    <w:p w:rsidR="0072512A" w:rsidRDefault="0072512A" w:rsidP="0072512A">
      <w:pPr>
        <w:pStyle w:val="TextStandard"/>
        <w:keepNext/>
        <w:jc w:val="center"/>
      </w:pPr>
      <w:r w:rsidRPr="0072512A">
        <w:rPr>
          <w:noProof/>
          <w:lang w:val="de-DE"/>
        </w:rPr>
        <w:drawing>
          <wp:inline distT="0" distB="0" distL="0" distR="0">
            <wp:extent cx="4943475" cy="2562225"/>
            <wp:effectExtent l="19050" t="0" r="9525" b="0"/>
            <wp:docPr id="13" name="Bild 12"/>
            <wp:cNvGraphicFramePr/>
            <a:graphic xmlns:a="http://schemas.openxmlformats.org/drawingml/2006/main">
              <a:graphicData uri="http://schemas.openxmlformats.org/drawingml/2006/picture">
                <pic:pic xmlns:pic="http://schemas.openxmlformats.org/drawingml/2006/picture">
                  <pic:nvPicPr>
                    <pic:cNvPr id="9" name="Grafik 8"/>
                    <pic:cNvPicPr/>
                  </pic:nvPicPr>
                  <pic:blipFill>
                    <a:blip r:embed="rId14" cstate="print"/>
                    <a:srcRect/>
                    <a:stretch>
                      <a:fillRect/>
                    </a:stretch>
                  </pic:blipFill>
                  <pic:spPr bwMode="auto">
                    <a:xfrm>
                      <a:off x="0" y="0"/>
                      <a:ext cx="4941841" cy="2561378"/>
                    </a:xfrm>
                    <a:prstGeom prst="rect">
                      <a:avLst/>
                    </a:prstGeom>
                    <a:noFill/>
                  </pic:spPr>
                </pic:pic>
              </a:graphicData>
            </a:graphic>
          </wp:inline>
        </w:drawing>
      </w:r>
    </w:p>
    <w:p w:rsidR="0072512A" w:rsidRPr="00E75299" w:rsidRDefault="0072512A" w:rsidP="0072512A">
      <w:pPr>
        <w:pStyle w:val="Beschriftung"/>
        <w:jc w:val="center"/>
        <w:rPr>
          <w:color w:val="000000" w:themeColor="text1"/>
          <w:lang w:val="en-US"/>
        </w:rPr>
      </w:pPr>
      <w:bookmarkStart w:id="5" w:name="_Ref435446297"/>
      <w:r w:rsidRPr="00E75299">
        <w:rPr>
          <w:color w:val="000000" w:themeColor="text1"/>
        </w:rPr>
        <w:t xml:space="preserve">Figure </w:t>
      </w:r>
      <w:r w:rsidR="00127CEF" w:rsidRPr="00E75299">
        <w:rPr>
          <w:color w:val="000000" w:themeColor="text1"/>
        </w:rPr>
        <w:fldChar w:fldCharType="begin"/>
      </w:r>
      <w:r w:rsidRPr="00E75299">
        <w:rPr>
          <w:color w:val="000000" w:themeColor="text1"/>
        </w:rPr>
        <w:instrText xml:space="preserve"> SEQ Figure \* ARABIC </w:instrText>
      </w:r>
      <w:r w:rsidR="00127CEF" w:rsidRPr="00E75299">
        <w:rPr>
          <w:color w:val="000000" w:themeColor="text1"/>
        </w:rPr>
        <w:fldChar w:fldCharType="separate"/>
      </w:r>
      <w:r w:rsidR="00C022B9">
        <w:rPr>
          <w:noProof/>
          <w:color w:val="000000" w:themeColor="text1"/>
        </w:rPr>
        <w:t>5</w:t>
      </w:r>
      <w:r w:rsidR="00127CEF" w:rsidRPr="00E75299">
        <w:rPr>
          <w:color w:val="000000" w:themeColor="text1"/>
        </w:rPr>
        <w:fldChar w:fldCharType="end"/>
      </w:r>
      <w:bookmarkEnd w:id="5"/>
      <w:r w:rsidRPr="00E75299">
        <w:rPr>
          <w:color w:val="000000" w:themeColor="text1"/>
        </w:rPr>
        <w:t>: Generation of Distributions for each observed Cluster</w:t>
      </w:r>
    </w:p>
    <w:p w:rsidR="00885840" w:rsidRDefault="00F52BEA" w:rsidP="0072512A">
      <w:pPr>
        <w:pStyle w:val="TextStandard"/>
        <w:rPr>
          <w:lang w:val="en-US"/>
        </w:rPr>
      </w:pPr>
      <w:r w:rsidRPr="00F52BEA">
        <w:rPr>
          <w:lang w:val="en-US"/>
        </w:rPr>
        <w:lastRenderedPageBreak/>
        <w:t>Note that each distribution is truncated to the interval of the maximum and minimum observed delay value. This way, it is ensured that the stochastic generation process does not produce any unrealistically high or negative delay values.</w:t>
      </w:r>
      <w:r>
        <w:rPr>
          <w:lang w:val="en-US"/>
        </w:rPr>
        <w:t xml:space="preserve"> </w:t>
      </w:r>
      <w:r w:rsidRPr="00F52BEA">
        <w:rPr>
          <w:lang w:val="en-US"/>
        </w:rPr>
        <w:t xml:space="preserve">The </w:t>
      </w:r>
      <w:r w:rsidR="00590C02">
        <w:rPr>
          <w:lang w:val="en-US"/>
        </w:rPr>
        <w:t>above</w:t>
      </w:r>
      <w:r w:rsidRPr="00F52BEA">
        <w:rPr>
          <w:lang w:val="en-US"/>
        </w:rPr>
        <w:t xml:space="preserve"> introduced methodology for the derivation of probability distributions for each object of the cluster composition tensors is applied in each of the following steps. This way, the model is further configured with the implicit information on the channel geometry such as interrelationships between cluster arrival times, reflection angles, polarization and so on.</w:t>
      </w:r>
    </w:p>
    <w:p w:rsidR="00885840" w:rsidRDefault="00885840" w:rsidP="00885840">
      <w:pPr>
        <w:pStyle w:val="berschrift2"/>
        <w:rPr>
          <w:lang w:val="en-US"/>
        </w:rPr>
      </w:pPr>
      <w:r>
        <w:rPr>
          <w:lang w:val="en-US"/>
        </w:rPr>
        <w:t>Mean Path Loss</w:t>
      </w:r>
    </w:p>
    <w:p w:rsidR="00F52BEA" w:rsidRDefault="00F52BEA" w:rsidP="00F52BEA">
      <w:pPr>
        <w:pStyle w:val="TextStandard"/>
        <w:rPr>
          <w:lang w:val="en-US"/>
        </w:rPr>
      </w:pPr>
      <w:r>
        <w:rPr>
          <w:lang w:val="en-US"/>
        </w:rPr>
        <w:t xml:space="preserve">Based on the cluster arrival times, the mean path loss of each cluster is generated. The mean path loss is defined as the mean absolute value over frequency for the ray-tracing frequency responses of each cluster. The mean path loss is evaluated for both polarizations. It is considered physically meaningful that the path loss is a function of path delay. For the path loss and all other characteristics that are modeled as functional relationships, the underlying form of the functions are second order </w:t>
      </w:r>
      <w:r w:rsidR="00E75299">
        <w:rPr>
          <w:lang w:val="en-US"/>
        </w:rPr>
        <w:t>polynomials</w:t>
      </w:r>
      <w:r>
        <w:rPr>
          <w:lang w:val="en-US"/>
        </w:rPr>
        <w:t>. Even though some dependencies may follow different functional shapes on the large scale (e.g. the path loss in a channel is usually considered</w:t>
      </w:r>
      <w:r w:rsidR="00E75299">
        <w:rPr>
          <w:lang w:val="en-US"/>
        </w:rPr>
        <w:t xml:space="preserve"> to follow a negative-</w:t>
      </w:r>
      <w:r w:rsidR="0030716F">
        <w:rPr>
          <w:lang w:val="en-US"/>
        </w:rPr>
        <w:t>exponential</w:t>
      </w:r>
      <w:r>
        <w:rPr>
          <w:lang w:val="en-US"/>
        </w:rPr>
        <w:t xml:space="preserve"> relationship with the propagation delay), second-order </w:t>
      </w:r>
      <w:r w:rsidR="00E75299">
        <w:rPr>
          <w:lang w:val="en-US"/>
        </w:rPr>
        <w:t xml:space="preserve">polynomials </w:t>
      </w:r>
      <w:r>
        <w:rPr>
          <w:lang w:val="en-US"/>
        </w:rPr>
        <w:t xml:space="preserve">are a sufficient way to model the relationships for </w:t>
      </w:r>
      <w:r w:rsidR="0030716F">
        <w:rPr>
          <w:lang w:val="en-US"/>
        </w:rPr>
        <w:t>relatively</w:t>
      </w:r>
      <w:r>
        <w:rPr>
          <w:lang w:val="en-US"/>
        </w:rPr>
        <w:t xml:space="preserve"> small value ranges. Since each cluster (e.g. left-wall reflection, ceiling-reflection and so on) is modeled separately, there is always a second-order relationship that has a very good agreement. </w:t>
      </w:r>
      <w:r w:rsidR="00127CEF">
        <w:rPr>
          <w:lang w:val="en-US"/>
        </w:rPr>
        <w:fldChar w:fldCharType="begin"/>
      </w:r>
      <w:r w:rsidR="00E75299">
        <w:rPr>
          <w:lang w:val="en-US"/>
        </w:rPr>
        <w:instrText xml:space="preserve"> REF _Ref435446426 </w:instrText>
      </w:r>
      <w:r w:rsidR="00127CEF">
        <w:rPr>
          <w:lang w:val="en-US"/>
        </w:rPr>
        <w:fldChar w:fldCharType="separate"/>
      </w:r>
      <w:r w:rsidR="00C022B9" w:rsidRPr="00E75299">
        <w:rPr>
          <w:color w:val="000000" w:themeColor="text1"/>
        </w:rPr>
        <w:t xml:space="preserve">Figure </w:t>
      </w:r>
      <w:r w:rsidR="00C022B9">
        <w:rPr>
          <w:noProof/>
          <w:color w:val="000000" w:themeColor="text1"/>
        </w:rPr>
        <w:t>6</w:t>
      </w:r>
      <w:r w:rsidR="00127CEF">
        <w:rPr>
          <w:lang w:val="en-US"/>
        </w:rPr>
        <w:fldChar w:fldCharType="end"/>
      </w:r>
      <w:r w:rsidR="00E75299">
        <w:rPr>
          <w:lang w:val="en-US"/>
        </w:rPr>
        <w:t xml:space="preserve"> </w:t>
      </w:r>
      <w:r>
        <w:rPr>
          <w:lang w:val="en-US"/>
        </w:rPr>
        <w:t xml:space="preserve">depicts the path loss approximation of the theta-component of the </w:t>
      </w:r>
      <w:r w:rsidR="00E75299">
        <w:rPr>
          <w:lang w:val="en-US"/>
        </w:rPr>
        <w:t xml:space="preserve">LOS </w:t>
      </w:r>
      <w:r w:rsidR="00590913">
        <w:rPr>
          <w:lang w:val="en-US"/>
        </w:rPr>
        <w:t>component transmitted through a plastic layer</w:t>
      </w:r>
      <w:r>
        <w:rPr>
          <w:lang w:val="en-US"/>
        </w:rPr>
        <w:t>.</w:t>
      </w:r>
    </w:p>
    <w:p w:rsidR="00E75299" w:rsidRDefault="00E75299" w:rsidP="00E75299">
      <w:pPr>
        <w:pStyle w:val="TextStandard"/>
        <w:keepNext/>
        <w:jc w:val="center"/>
      </w:pPr>
      <w:r w:rsidRPr="00E75299">
        <w:rPr>
          <w:noProof/>
          <w:lang w:val="de-DE"/>
        </w:rPr>
        <w:drawing>
          <wp:inline distT="0" distB="0" distL="0" distR="0">
            <wp:extent cx="5429250" cy="2190750"/>
            <wp:effectExtent l="19050" t="0" r="0" b="0"/>
            <wp:docPr id="14" name="Bild 13"/>
            <wp:cNvGraphicFramePr/>
            <a:graphic xmlns:a="http://schemas.openxmlformats.org/drawingml/2006/main">
              <a:graphicData uri="http://schemas.openxmlformats.org/drawingml/2006/picture">
                <pic:pic xmlns:pic="http://schemas.openxmlformats.org/drawingml/2006/picture">
                  <pic:nvPicPr>
                    <pic:cNvPr id="10" name="Grafik 9"/>
                    <pic:cNvPicPr/>
                  </pic:nvPicPr>
                  <pic:blipFill>
                    <a:blip r:embed="rId15" cstate="print"/>
                    <a:srcRect/>
                    <a:stretch>
                      <a:fillRect/>
                    </a:stretch>
                  </pic:blipFill>
                  <pic:spPr bwMode="auto">
                    <a:xfrm>
                      <a:off x="0" y="0"/>
                      <a:ext cx="5427455" cy="2190026"/>
                    </a:xfrm>
                    <a:prstGeom prst="rect">
                      <a:avLst/>
                    </a:prstGeom>
                    <a:noFill/>
                  </pic:spPr>
                </pic:pic>
              </a:graphicData>
            </a:graphic>
          </wp:inline>
        </w:drawing>
      </w:r>
    </w:p>
    <w:p w:rsidR="00E75299" w:rsidRPr="00E75299" w:rsidRDefault="00E75299" w:rsidP="00E75299">
      <w:pPr>
        <w:pStyle w:val="Beschriftung"/>
        <w:jc w:val="center"/>
        <w:rPr>
          <w:color w:val="000000" w:themeColor="text1"/>
          <w:lang w:val="en-US"/>
        </w:rPr>
      </w:pPr>
      <w:bookmarkStart w:id="6" w:name="_Ref435446426"/>
      <w:r w:rsidRPr="00E75299">
        <w:rPr>
          <w:color w:val="000000" w:themeColor="text1"/>
        </w:rPr>
        <w:t xml:space="preserve">Figure </w:t>
      </w:r>
      <w:r w:rsidR="00127CEF" w:rsidRPr="00E75299">
        <w:rPr>
          <w:color w:val="000000" w:themeColor="text1"/>
        </w:rPr>
        <w:fldChar w:fldCharType="begin"/>
      </w:r>
      <w:r w:rsidRPr="00E75299">
        <w:rPr>
          <w:color w:val="000000" w:themeColor="text1"/>
        </w:rPr>
        <w:instrText xml:space="preserve"> SEQ Figure \* ARABIC </w:instrText>
      </w:r>
      <w:r w:rsidR="00127CEF" w:rsidRPr="00E75299">
        <w:rPr>
          <w:color w:val="000000" w:themeColor="text1"/>
        </w:rPr>
        <w:fldChar w:fldCharType="separate"/>
      </w:r>
      <w:r w:rsidR="00C022B9">
        <w:rPr>
          <w:noProof/>
          <w:color w:val="000000" w:themeColor="text1"/>
        </w:rPr>
        <w:t>6</w:t>
      </w:r>
      <w:r w:rsidR="00127CEF" w:rsidRPr="00E75299">
        <w:rPr>
          <w:color w:val="000000" w:themeColor="text1"/>
        </w:rPr>
        <w:fldChar w:fldCharType="end"/>
      </w:r>
      <w:bookmarkEnd w:id="6"/>
      <w:r w:rsidRPr="00E75299">
        <w:rPr>
          <w:color w:val="000000" w:themeColor="text1"/>
        </w:rPr>
        <w:t>: Path Loss of an Exempla</w:t>
      </w:r>
      <w:r w:rsidR="00F86F2F">
        <w:rPr>
          <w:color w:val="000000" w:themeColor="text1"/>
        </w:rPr>
        <w:t>r</w:t>
      </w:r>
      <w:r w:rsidRPr="00E75299">
        <w:rPr>
          <w:color w:val="000000" w:themeColor="text1"/>
        </w:rPr>
        <w:t>y LOS component</w:t>
      </w:r>
    </w:p>
    <w:p w:rsidR="00F52BEA" w:rsidRPr="00F52BEA" w:rsidRDefault="00F52BEA" w:rsidP="00F52BEA">
      <w:pPr>
        <w:pStyle w:val="TextStandard"/>
        <w:rPr>
          <w:lang w:val="en-US"/>
        </w:rPr>
      </w:pPr>
      <w:r w:rsidRPr="00F52BEA">
        <w:rPr>
          <w:lang w:val="en-US"/>
        </w:rPr>
        <w:lastRenderedPageBreak/>
        <w:t xml:space="preserve">As it can be seen, the agreement between the second-order </w:t>
      </w:r>
      <w:r w:rsidR="00F86F2F" w:rsidRPr="00F52BEA">
        <w:rPr>
          <w:lang w:val="en-US"/>
        </w:rPr>
        <w:t>polynomial</w:t>
      </w:r>
      <w:r w:rsidRPr="00F52BEA">
        <w:rPr>
          <w:lang w:val="en-US"/>
        </w:rPr>
        <w:t xml:space="preserve"> and the sample values from the ray-tracing simulations is very good. The presented relationship is treated as the mean value of the propagation path loss as a function of frequency.</w:t>
      </w:r>
    </w:p>
    <w:p w:rsidR="00885840" w:rsidRDefault="00F52BEA" w:rsidP="00F52BEA">
      <w:pPr>
        <w:pStyle w:val="TextStandard"/>
        <w:rPr>
          <w:lang w:val="en-US"/>
        </w:rPr>
      </w:pPr>
      <w:r w:rsidRPr="00F52BEA">
        <w:rPr>
          <w:lang w:val="en-US"/>
        </w:rPr>
        <w:t xml:space="preserve">Evaluating the derivation of the sample points from the generated second-order model, another second order relationship is derived to characterize the mean absolute error </w:t>
      </w:r>
      <w:r w:rsidR="007732DF">
        <w:rPr>
          <w:lang w:val="en-US"/>
        </w:rPr>
        <w:t xml:space="preserve">(MAE) </w:t>
      </w:r>
      <w:r w:rsidRPr="00F52BEA">
        <w:rPr>
          <w:lang w:val="en-US"/>
        </w:rPr>
        <w:t xml:space="preserve">of this approximation. An example is shown in </w:t>
      </w:r>
      <w:r w:rsidR="00127CEF">
        <w:rPr>
          <w:lang w:val="en-US"/>
        </w:rPr>
        <w:fldChar w:fldCharType="begin"/>
      </w:r>
      <w:r w:rsidR="00E75299">
        <w:rPr>
          <w:lang w:val="en-US"/>
        </w:rPr>
        <w:instrText xml:space="preserve"> REF _Ref435446511 </w:instrText>
      </w:r>
      <w:r w:rsidR="00127CEF">
        <w:rPr>
          <w:lang w:val="en-US"/>
        </w:rPr>
        <w:fldChar w:fldCharType="separate"/>
      </w:r>
      <w:r w:rsidR="00C022B9" w:rsidRPr="00E75299">
        <w:rPr>
          <w:color w:val="000000" w:themeColor="text1"/>
        </w:rPr>
        <w:t xml:space="preserve">Figure </w:t>
      </w:r>
      <w:r w:rsidR="00C022B9">
        <w:rPr>
          <w:noProof/>
          <w:color w:val="000000" w:themeColor="text1"/>
        </w:rPr>
        <w:t>7</w:t>
      </w:r>
      <w:r w:rsidR="00127CEF">
        <w:rPr>
          <w:lang w:val="en-US"/>
        </w:rPr>
        <w:fldChar w:fldCharType="end"/>
      </w:r>
      <w:r w:rsidRPr="00F52BEA">
        <w:rPr>
          <w:lang w:val="en-US"/>
        </w:rPr>
        <w:t>.</w:t>
      </w:r>
    </w:p>
    <w:p w:rsidR="00E75299" w:rsidRDefault="00E75299" w:rsidP="00E75299">
      <w:pPr>
        <w:pStyle w:val="TextStandard"/>
        <w:keepNext/>
      </w:pPr>
      <w:r w:rsidRPr="00E75299">
        <w:rPr>
          <w:noProof/>
          <w:lang w:val="de-DE"/>
        </w:rPr>
        <w:drawing>
          <wp:inline distT="0" distB="0" distL="0" distR="0">
            <wp:extent cx="5362575" cy="2343150"/>
            <wp:effectExtent l="19050" t="0" r="9525" b="0"/>
            <wp:docPr id="16" name="Bild 15"/>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16" cstate="print"/>
                    <a:srcRect l="7540" r="7901"/>
                    <a:stretch>
                      <a:fillRect/>
                    </a:stretch>
                  </pic:blipFill>
                  <pic:spPr bwMode="auto">
                    <a:xfrm>
                      <a:off x="0" y="0"/>
                      <a:ext cx="5360802" cy="2342375"/>
                    </a:xfrm>
                    <a:prstGeom prst="rect">
                      <a:avLst/>
                    </a:prstGeom>
                    <a:noFill/>
                    <a:ln w="9525">
                      <a:noFill/>
                      <a:miter lim="800000"/>
                      <a:headEnd/>
                      <a:tailEnd/>
                    </a:ln>
                    <a:effectLst/>
                  </pic:spPr>
                </pic:pic>
              </a:graphicData>
            </a:graphic>
          </wp:inline>
        </w:drawing>
      </w:r>
    </w:p>
    <w:p w:rsidR="00E75299" w:rsidRPr="00E75299" w:rsidRDefault="00E75299" w:rsidP="00E75299">
      <w:pPr>
        <w:pStyle w:val="Beschriftung"/>
        <w:jc w:val="center"/>
        <w:rPr>
          <w:color w:val="000000" w:themeColor="text1"/>
          <w:lang w:val="en-US"/>
        </w:rPr>
      </w:pPr>
      <w:bookmarkStart w:id="7" w:name="_Ref435446511"/>
      <w:r w:rsidRPr="00E75299">
        <w:rPr>
          <w:color w:val="000000" w:themeColor="text1"/>
        </w:rPr>
        <w:t xml:space="preserve">Figure </w:t>
      </w:r>
      <w:r w:rsidR="00127CEF" w:rsidRPr="00E75299">
        <w:rPr>
          <w:color w:val="000000" w:themeColor="text1"/>
        </w:rPr>
        <w:fldChar w:fldCharType="begin"/>
      </w:r>
      <w:r w:rsidRPr="00E75299">
        <w:rPr>
          <w:color w:val="000000" w:themeColor="text1"/>
        </w:rPr>
        <w:instrText xml:space="preserve"> SEQ Figure \* ARABIC </w:instrText>
      </w:r>
      <w:r w:rsidR="00127CEF" w:rsidRPr="00E75299">
        <w:rPr>
          <w:color w:val="000000" w:themeColor="text1"/>
        </w:rPr>
        <w:fldChar w:fldCharType="separate"/>
      </w:r>
      <w:r w:rsidR="00C022B9">
        <w:rPr>
          <w:noProof/>
          <w:color w:val="000000" w:themeColor="text1"/>
        </w:rPr>
        <w:t>7</w:t>
      </w:r>
      <w:r w:rsidR="00127CEF" w:rsidRPr="00E75299">
        <w:rPr>
          <w:color w:val="000000" w:themeColor="text1"/>
        </w:rPr>
        <w:fldChar w:fldCharType="end"/>
      </w:r>
      <w:bookmarkEnd w:id="7"/>
      <w:r w:rsidRPr="00E75299">
        <w:rPr>
          <w:color w:val="000000" w:themeColor="text1"/>
        </w:rPr>
        <w:t xml:space="preserve">: Mean Average </w:t>
      </w:r>
      <w:r w:rsidRPr="00E75299">
        <w:rPr>
          <w:noProof/>
          <w:color w:val="000000" w:themeColor="text1"/>
        </w:rPr>
        <w:t xml:space="preserve"> Error of the Exemplary LOS Component</w:t>
      </w:r>
    </w:p>
    <w:p w:rsidR="00F52BEA" w:rsidRDefault="00F52BEA" w:rsidP="00F52BEA">
      <w:pPr>
        <w:pStyle w:val="TextStandard"/>
        <w:rPr>
          <w:lang w:val="en-US"/>
        </w:rPr>
      </w:pPr>
      <w:r w:rsidRPr="00F52BEA">
        <w:rPr>
          <w:lang w:val="en-US"/>
        </w:rPr>
        <w:t xml:space="preserve">For the channel model, the functions for the mean value and the mean average error are used to parameterize a Gaussian Distribution (GD) from which the values for the stochastic channel transfer functions are generated. </w:t>
      </w:r>
      <w:r w:rsidR="00E75299">
        <w:rPr>
          <w:lang w:val="en-US"/>
        </w:rPr>
        <w:t xml:space="preserve">This is depicted schematically in </w:t>
      </w:r>
      <w:r w:rsidR="00127CEF">
        <w:rPr>
          <w:lang w:val="en-US"/>
        </w:rPr>
        <w:fldChar w:fldCharType="begin"/>
      </w:r>
      <w:r w:rsidR="00E75299">
        <w:rPr>
          <w:lang w:val="en-US"/>
        </w:rPr>
        <w:instrText xml:space="preserve"> REF _Ref435446590 </w:instrText>
      </w:r>
      <w:r w:rsidR="00127CEF">
        <w:rPr>
          <w:lang w:val="en-US"/>
        </w:rPr>
        <w:fldChar w:fldCharType="separate"/>
      </w:r>
      <w:r w:rsidR="00C022B9" w:rsidRPr="00E75299">
        <w:rPr>
          <w:color w:val="000000" w:themeColor="text1"/>
        </w:rPr>
        <w:t xml:space="preserve">Figure </w:t>
      </w:r>
      <w:r w:rsidR="00C022B9">
        <w:rPr>
          <w:noProof/>
          <w:color w:val="000000" w:themeColor="text1"/>
        </w:rPr>
        <w:t>8</w:t>
      </w:r>
      <w:r w:rsidR="00127CEF">
        <w:rPr>
          <w:lang w:val="en-US"/>
        </w:rPr>
        <w:fldChar w:fldCharType="end"/>
      </w:r>
      <w:r w:rsidR="00E75299">
        <w:rPr>
          <w:lang w:val="en-US"/>
        </w:rPr>
        <w:t>.</w:t>
      </w:r>
    </w:p>
    <w:p w:rsidR="00E75299" w:rsidRDefault="00127CEF" w:rsidP="00E75299">
      <w:pPr>
        <w:pStyle w:val="TextStandard"/>
        <w:keepNext/>
        <w:jc w:val="center"/>
      </w:pPr>
      <w:r w:rsidRPr="00127CEF">
        <w:rPr>
          <w:noProof/>
          <w:lang w:val="en-US" w:eastAsia="en-US"/>
        </w:rPr>
      </w:r>
      <w:r w:rsidRPr="00127CEF">
        <w:rPr>
          <w:noProof/>
          <w:lang w:val="en-US" w:eastAsia="en-US"/>
        </w:rPr>
        <w:pict>
          <v:group id="Group 57" o:spid="_x0000_s1026" style="width:290.25pt;height:147pt;mso-position-horizontal-relative:char;mso-position-vertical-relative:line" coordorigin="29542,47720" coordsize="33082,17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29542;top:48253;width:33083;height:16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SyLDEAAAA2wAAAA8AAABkcnMvZG93bnJldi54bWxEj9FqwkAURN8L/sNyhb7VTbVITF0lBCyl&#10;4EPUD7hkb7Oh2bshu2rM13cFwcdhZs4w6+1gW3Gh3jeOFbzPEhDEldMN1wpOx91bCsIHZI2tY1Jw&#10;Iw/bzeRljZl2Vy7pcgi1iBD2GSowIXSZlL4yZNHPXEccvV/XWwxR9rXUPV4j3LZyniRLabHhuGCw&#10;o8JQ9Xc4WwWL82r/czzdFuU46nRZNLn5+qiVep0O+SeIQEN4hh/tb60gXcH9S/wB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SyLDEAAAA2wAAAA8AAAAAAAAAAAAAAAAA&#10;nwIAAGRycy9kb3ducmV2LnhtbFBLBQYAAAAABAAEAPcAAACQAwAAAAA=&#10;" stroked="t" strokecolor="black [3213]">
              <v:imagedata r:id="rId17" o:title="" croptop="6451f" cropbottom="7482f" cropleft="9627f" cropright="11053f"/>
            </v:shape>
            <v:line id="Gerade Verbindung 12" o:spid="_x0000_s1028" style="position:absolute;visibility:visible" from="42973,47720" to="42973,6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qsEAAADbAAAADwAAAGRycy9kb3ducmV2LnhtbERPTYvCMBC9C/6HMIIX2aa7sKK1URZB&#10;VkEQWw97HJqxLTaT0kSt/vrNQfD4eN/pqjeNuFHnassKPqMYBHFhdc2lglO++ZiBcB5ZY2OZFDzI&#10;wWo5HKSYaHvnI90yX4oQwi5BBZX3bSKlKyoy6CLbEgfubDuDPsCulLrDewg3jfyK46k0WHNoqLCl&#10;dUXFJbsaBbv1/JR9H/ZFTJe9+6t/c55sn0qNR/3PAoSn3r/FL/dWK5iH9e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CiyqwQAAANsAAAAPAAAAAAAAAAAAAAAA&#10;AKECAABkcnMvZG93bnJldi54bWxQSwUGAAAAAAQABAD5AAAAjwMAAAAA&#10;" filled="t" fillcolor="#4f81bd [3204]" strokecolor="#4f81bd [3204]" strokeweight="2pt">
              <v:stroke startarrowwidth="narrow" startarrowlength="short" endarrowwidth="narrow" endarrowlength="short"/>
            </v:line>
            <v:line id="Gerade Verbindung 15" o:spid="_x0000_s1029" style="position:absolute;flip:x y;visibility:visible" from="36972,53284" to="48387,5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gxsMAAADbAAAADwAAAGRycy9kb3ducmV2LnhtbESPQYvCMBSE78L+h/AWvGlaD4t2jSKK&#10;sooett0f8LZ5tsXmpTRRq7/eCILHYWa+YabzztTiQq2rLCuIhxEI4tzqigsFf9l6MAbhPLLG2jIp&#10;uJGD+eyjN8VE2yv/0iX1hQgQdgkqKL1vEildXpJBN7QNcfCOtjXog2wLqVu8Brip5SiKvqTBisNC&#10;iQ0tS8pP6dko6PZ6sYopwvN/trP3beM3x/SgVP+zW3yD8NT5d/jV/tEKJjE8v4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4IMbDAAAA2wAAAA8AAAAAAAAAAAAA&#10;AAAAoQIAAGRycy9kb3ducmV2LnhtbFBLBQYAAAAABAAEAPkAAACRAwAAAAA=&#10;" filled="t" fillcolor="#4f81bd [3204]" strokecolor="#4f81bd [3204]" strokeweight="2pt">
              <v:stroke startarrow="block" startarrowwidth="wide" startarrowlength="long" endarrow="block" endarrowwidth="wide" endarrowlength="long"/>
            </v:line>
            <v:shapetype id="_x0000_t202" coordsize="21600,21600" o:spt="202" path="m,l,21600r21600,l21600,xe">
              <v:stroke joinstyle="miter"/>
              <v:path gradientshapeok="t" o:connecttype="rect"/>
            </v:shapetype>
            <v:shape id="Textfeld 11" o:spid="_x0000_s1030" type="#_x0000_t202" style="position:absolute;left:43185;top:53234;width:4832;height:2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gsQA&#10;AADbAAAADwAAAGRycy9kb3ducmV2LnhtbESP0WrCQBRE3wv+w3KFvtWNwRZNXYNoC31r1X7AJXvN&#10;xmTvhuw2iX59t1DwcZiZM8w6H20jeup85VjBfJaAIC6crrhU8H16f1qC8AFZY+OYFFzJQ76ZPKwx&#10;027gA/XHUIoIYZ+hAhNCm0npC0MW/cy1xNE7u85iiLIrpe5wiHDbyDRJXqTFiuOCwZZ2hor6+GMV&#10;LBP7Wder9MvbxW3+bHZ799ZelHqcjttXEIHGcA//tz+0gtU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4LEAAAA2wAAAA8AAAAAAAAAAAAAAAAAmAIAAGRycy9k&#10;b3ducmV2LnhtbFBLBQYAAAAABAAEAPUAAACJAwAAAAA=&#10;" filled="f" stroked="f">
              <v:textbox style="mso-fit-shape-to-text:t">
                <w:txbxContent>
                  <w:p w:rsidR="00202E45" w:rsidRDefault="00202E45" w:rsidP="0054194A">
                    <w:pPr>
                      <w:pStyle w:val="StandardWeb"/>
                      <w:kinsoku w:val="0"/>
                      <w:overflowPunct w:val="0"/>
                      <w:spacing w:before="0" w:beforeAutospacing="0" w:after="0" w:afterAutospacing="0"/>
                      <w:textAlignment w:val="baseline"/>
                    </w:pPr>
                    <w:r>
                      <w:rPr>
                        <w:rFonts w:cstheme="minorBidi"/>
                        <w:b/>
                        <w:bCs/>
                        <w:color w:val="4F81BD" w:themeColor="accent1"/>
                        <w:kern w:val="24"/>
                      </w:rPr>
                      <w:t>MAE</w:t>
                    </w:r>
                  </w:p>
                </w:txbxContent>
              </v:textbox>
            </v:shape>
            <v:shape id="Textfeld 13" o:spid="_x0000_s1031" type="#_x0000_t202" style="position:absolute;left:42717;top:61729;width:5744;height:2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aGcQA&#10;AADbAAAADwAAAGRycy9kb3ducmV2LnhtbESP0WrCQBRE3wv+w3IF3+rGYIqmrkG0hb61aj/gkr1m&#10;Y7J3Q3Zr0n59t1DwcZiZM8ymGG0rbtT72rGCxTwBQVw6XXOl4PP8+rgC4QOyxtYxKfgmD8V28rDB&#10;XLuBj3Q7hUpECPscFZgQulxKXxqy6OeuI47exfUWQ5R9JXWPQ4TbVqZJ8iQt1hwXDHa0N1Q2py+r&#10;YJXY96ZZpx/eLn8Wmdkf3Et3VWo2HXfPIAKN4R7+b79pBesM/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WhnEAAAA2wAAAA8AAAAAAAAAAAAAAAAAmAIAAGRycy9k&#10;b3ducmV2LnhtbFBLBQYAAAAABAAEAPUAAACJAwAAAAA=&#10;" filled="f" stroked="f">
              <v:textbox style="mso-fit-shape-to-text:t">
                <w:txbxContent>
                  <w:p w:rsidR="00202E45" w:rsidRDefault="00202E45" w:rsidP="0054194A">
                    <w:pPr>
                      <w:pStyle w:val="StandardWeb"/>
                      <w:kinsoku w:val="0"/>
                      <w:overflowPunct w:val="0"/>
                      <w:spacing w:before="0" w:beforeAutospacing="0" w:after="0" w:afterAutospacing="0"/>
                      <w:textAlignment w:val="baseline"/>
                    </w:pPr>
                    <w:r>
                      <w:rPr>
                        <w:rFonts w:cstheme="minorBidi"/>
                        <w:b/>
                        <w:bCs/>
                        <w:color w:val="4F81BD" w:themeColor="accent1"/>
                        <w:kern w:val="24"/>
                      </w:rPr>
                      <w:t>mean()</w:t>
                    </w:r>
                  </w:p>
                </w:txbxContent>
              </v:textbox>
            </v:shape>
            <w10:wrap type="none"/>
            <w10:anchorlock/>
          </v:group>
        </w:pict>
      </w:r>
    </w:p>
    <w:p w:rsidR="00E75299" w:rsidRPr="00E75299" w:rsidRDefault="00E75299" w:rsidP="00E75299">
      <w:pPr>
        <w:pStyle w:val="Beschriftung"/>
        <w:jc w:val="center"/>
        <w:rPr>
          <w:color w:val="000000" w:themeColor="text1"/>
          <w:lang w:val="en-US"/>
        </w:rPr>
      </w:pPr>
      <w:bookmarkStart w:id="8" w:name="_Ref435446590"/>
      <w:r w:rsidRPr="00E75299">
        <w:rPr>
          <w:color w:val="000000" w:themeColor="text1"/>
        </w:rPr>
        <w:t xml:space="preserve">Figure </w:t>
      </w:r>
      <w:r w:rsidR="00127CEF" w:rsidRPr="00E75299">
        <w:rPr>
          <w:color w:val="000000" w:themeColor="text1"/>
        </w:rPr>
        <w:fldChar w:fldCharType="begin"/>
      </w:r>
      <w:r w:rsidRPr="00E75299">
        <w:rPr>
          <w:color w:val="000000" w:themeColor="text1"/>
        </w:rPr>
        <w:instrText xml:space="preserve"> SEQ Figure \* ARABIC </w:instrText>
      </w:r>
      <w:r w:rsidR="00127CEF" w:rsidRPr="00E75299">
        <w:rPr>
          <w:color w:val="000000" w:themeColor="text1"/>
        </w:rPr>
        <w:fldChar w:fldCharType="separate"/>
      </w:r>
      <w:r w:rsidR="00C022B9">
        <w:rPr>
          <w:noProof/>
          <w:color w:val="000000" w:themeColor="text1"/>
        </w:rPr>
        <w:t>8</w:t>
      </w:r>
      <w:r w:rsidR="00127CEF" w:rsidRPr="00E75299">
        <w:rPr>
          <w:color w:val="000000" w:themeColor="text1"/>
        </w:rPr>
        <w:fldChar w:fldCharType="end"/>
      </w:r>
      <w:bookmarkEnd w:id="8"/>
      <w:r w:rsidRPr="00E75299">
        <w:rPr>
          <w:color w:val="000000" w:themeColor="text1"/>
        </w:rPr>
        <w:t>: Derivation of a Gaussian Distribution from Mean and MAE Values</w:t>
      </w:r>
    </w:p>
    <w:p w:rsidR="00885840" w:rsidRDefault="00885840" w:rsidP="00885840">
      <w:pPr>
        <w:pStyle w:val="berschrift2"/>
        <w:rPr>
          <w:lang w:val="en-US"/>
        </w:rPr>
      </w:pPr>
      <w:r>
        <w:rPr>
          <w:lang w:val="en-US"/>
        </w:rPr>
        <w:lastRenderedPageBreak/>
        <w:t>Reflection Angles</w:t>
      </w:r>
    </w:p>
    <w:p w:rsidR="00F52BEA" w:rsidRDefault="00F52BEA" w:rsidP="00F52BEA">
      <w:pPr>
        <w:pStyle w:val="TextStandard"/>
        <w:rPr>
          <w:lang w:val="en-US"/>
        </w:rPr>
      </w:pPr>
      <w:r>
        <w:rPr>
          <w:lang w:val="en-US"/>
        </w:rPr>
        <w:t xml:space="preserve">In the same manner as the path delays, the </w:t>
      </w:r>
      <w:r w:rsidR="001C5AC2">
        <w:rPr>
          <w:lang w:val="en-US"/>
        </w:rPr>
        <w:t>initial</w:t>
      </w:r>
      <w:r>
        <w:rPr>
          <w:lang w:val="en-US"/>
        </w:rPr>
        <w:t xml:space="preserve"> reflection angles of all reflected paths are modeled as functions of the path delay. However, it is not necessary that these functions are monotonically decreasing. Instead, different geometries may lead to varying types of relationships as is illustrated in </w:t>
      </w:r>
      <w:r w:rsidR="00127CEF">
        <w:rPr>
          <w:lang w:val="en-US"/>
        </w:rPr>
        <w:fldChar w:fldCharType="begin"/>
      </w:r>
      <w:r w:rsidR="00D53813">
        <w:rPr>
          <w:lang w:val="en-US"/>
        </w:rPr>
        <w:instrText xml:space="preserve"> REF _Ref435446645 </w:instrText>
      </w:r>
      <w:r w:rsidR="00127CEF">
        <w:rPr>
          <w:lang w:val="en-US"/>
        </w:rPr>
        <w:fldChar w:fldCharType="separate"/>
      </w:r>
      <w:r w:rsidR="00C022B9" w:rsidRPr="00D53813">
        <w:rPr>
          <w:color w:val="000000" w:themeColor="text1"/>
        </w:rPr>
        <w:t xml:space="preserve">Figure </w:t>
      </w:r>
      <w:r w:rsidR="00C022B9">
        <w:rPr>
          <w:noProof/>
          <w:color w:val="000000" w:themeColor="text1"/>
        </w:rPr>
        <w:t>9</w:t>
      </w:r>
      <w:r w:rsidR="00127CEF">
        <w:rPr>
          <w:lang w:val="en-US"/>
        </w:rPr>
        <w:fldChar w:fldCharType="end"/>
      </w:r>
      <w:r w:rsidR="00D53813">
        <w:rPr>
          <w:lang w:val="en-US"/>
        </w:rPr>
        <w:t>.</w:t>
      </w:r>
    </w:p>
    <w:p w:rsidR="00560633" w:rsidRDefault="00560633" w:rsidP="00560633">
      <w:pPr>
        <w:pStyle w:val="TextStandard"/>
        <w:keepNext/>
        <w:jc w:val="center"/>
      </w:pPr>
      <w:r w:rsidRPr="00560633">
        <w:rPr>
          <w:noProof/>
          <w:lang w:val="de-DE"/>
        </w:rPr>
        <w:drawing>
          <wp:inline distT="0" distB="0" distL="0" distR="0">
            <wp:extent cx="2905125" cy="2057400"/>
            <wp:effectExtent l="0" t="0" r="0" b="0"/>
            <wp:docPr id="18" name="Bild 17"/>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18" cstate="print"/>
                    <a:srcRect/>
                    <a:stretch>
                      <a:fillRect/>
                    </a:stretch>
                  </pic:blipFill>
                  <pic:spPr bwMode="auto">
                    <a:xfrm>
                      <a:off x="0" y="0"/>
                      <a:ext cx="2906201" cy="2058162"/>
                    </a:xfrm>
                    <a:prstGeom prst="rect">
                      <a:avLst/>
                    </a:prstGeom>
                    <a:noFill/>
                  </pic:spPr>
                </pic:pic>
              </a:graphicData>
            </a:graphic>
          </wp:inline>
        </w:drawing>
      </w:r>
    </w:p>
    <w:p w:rsidR="00560633" w:rsidRPr="00D53813" w:rsidRDefault="00560633" w:rsidP="00560633">
      <w:pPr>
        <w:pStyle w:val="Beschriftung"/>
        <w:jc w:val="center"/>
        <w:rPr>
          <w:color w:val="000000" w:themeColor="text1"/>
          <w:lang w:val="en-US"/>
        </w:rPr>
      </w:pPr>
      <w:bookmarkStart w:id="9" w:name="_Ref435446645"/>
      <w:r w:rsidRPr="00D53813">
        <w:rPr>
          <w:color w:val="000000" w:themeColor="text1"/>
        </w:rPr>
        <w:t xml:space="preserve">Figure </w:t>
      </w:r>
      <w:r w:rsidR="00127CEF" w:rsidRPr="00D53813">
        <w:rPr>
          <w:color w:val="000000" w:themeColor="text1"/>
        </w:rPr>
        <w:fldChar w:fldCharType="begin"/>
      </w:r>
      <w:r w:rsidRPr="00D53813">
        <w:rPr>
          <w:color w:val="000000" w:themeColor="text1"/>
        </w:rPr>
        <w:instrText xml:space="preserve"> SEQ Figure \* ARABIC </w:instrText>
      </w:r>
      <w:r w:rsidR="00127CEF" w:rsidRPr="00D53813">
        <w:rPr>
          <w:color w:val="000000" w:themeColor="text1"/>
        </w:rPr>
        <w:fldChar w:fldCharType="separate"/>
      </w:r>
      <w:r w:rsidR="00C022B9">
        <w:rPr>
          <w:noProof/>
          <w:color w:val="000000" w:themeColor="text1"/>
        </w:rPr>
        <w:t>9</w:t>
      </w:r>
      <w:r w:rsidR="00127CEF" w:rsidRPr="00D53813">
        <w:rPr>
          <w:color w:val="000000" w:themeColor="text1"/>
        </w:rPr>
        <w:fldChar w:fldCharType="end"/>
      </w:r>
      <w:bookmarkEnd w:id="9"/>
      <w:r w:rsidRPr="00D53813">
        <w:rPr>
          <w:color w:val="000000" w:themeColor="text1"/>
        </w:rPr>
        <w:t xml:space="preserve">: Geometrical </w:t>
      </w:r>
      <w:r w:rsidR="00D53813">
        <w:rPr>
          <w:color w:val="000000" w:themeColor="text1"/>
        </w:rPr>
        <w:t>Relationship between Path Length</w:t>
      </w:r>
      <w:r w:rsidRPr="00D53813">
        <w:rPr>
          <w:color w:val="000000" w:themeColor="text1"/>
        </w:rPr>
        <w:t xml:space="preserve"> and Reflection Angle</w:t>
      </w:r>
    </w:p>
    <w:p w:rsidR="00885840" w:rsidRDefault="00F52BEA" w:rsidP="00885840">
      <w:pPr>
        <w:pStyle w:val="TextStandard"/>
        <w:rPr>
          <w:lang w:val="en-US"/>
        </w:rPr>
      </w:pPr>
      <w:r w:rsidRPr="00F52BEA">
        <w:rPr>
          <w:lang w:val="en-US"/>
        </w:rPr>
        <w:t xml:space="preserve">In the example, it becomes obvious that a shorter propagation path (green) may lead to a smaller angle of reflection in situation one while it leads to a larger angle of reflection in situation b. Due to the fact that every cluster </w:t>
      </w:r>
      <w:r w:rsidR="00F72239">
        <w:rPr>
          <w:lang w:val="en-US"/>
        </w:rPr>
        <w:t>is</w:t>
      </w:r>
      <w:r w:rsidRPr="00F52BEA">
        <w:rPr>
          <w:lang w:val="en-US"/>
        </w:rPr>
        <w:t xml:space="preserve"> tracked separately in its behavior and a function of this relationship is generated for every cluster, the amount of implicit information on the channel geometry is again increased. In the case of second order-reflections, the reflection angle is modeled as a function of the corresponding first order reflection angle. This choice has been made due to the fact that no clear functional relationship was obvious anymore between path delay and reflection angle for subsequent reflections after the first one.</w:t>
      </w:r>
    </w:p>
    <w:p w:rsidR="00885840" w:rsidRDefault="00885840" w:rsidP="00885840">
      <w:pPr>
        <w:pStyle w:val="berschrift2"/>
        <w:rPr>
          <w:lang w:val="en-US"/>
        </w:rPr>
      </w:pPr>
      <w:r>
        <w:rPr>
          <w:lang w:val="en-US"/>
        </w:rPr>
        <w:t>Depolarization</w:t>
      </w:r>
    </w:p>
    <w:p w:rsidR="00F52BEA" w:rsidRDefault="00F52BEA" w:rsidP="00F52BEA">
      <w:pPr>
        <w:pStyle w:val="TextStandard"/>
        <w:rPr>
          <w:lang w:val="en-US"/>
        </w:rPr>
      </w:pPr>
      <w:r>
        <w:rPr>
          <w:lang w:val="en-US"/>
        </w:rPr>
        <w:t>To this point, the statistical channel properties have been evaluated for the phi and theta components of the electromagnetic field after transmission through the channel. However, the channel matrix of a polarimetric radio channel consists of four elements to account for the phenomenon of depolarization:</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gridCol w:w="76"/>
      </w:tblGrid>
      <w:tr w:rsidR="00FA4096" w:rsidTr="00202E45">
        <w:trPr>
          <w:gridAfter w:val="1"/>
          <w:wAfter w:w="76" w:type="dxa"/>
          <w:trHeight w:val="680"/>
        </w:trPr>
        <w:tc>
          <w:tcPr>
            <w:tcW w:w="534" w:type="dxa"/>
            <w:vAlign w:val="center"/>
          </w:tcPr>
          <w:p w:rsidR="00FA4096" w:rsidRDefault="00FA4096" w:rsidP="00202E45">
            <w:pPr>
              <w:contextualSpacing/>
              <w:rPr>
                <w:sz w:val="24"/>
              </w:rPr>
            </w:pPr>
          </w:p>
        </w:tc>
        <w:tc>
          <w:tcPr>
            <w:tcW w:w="7229" w:type="dxa"/>
            <w:vAlign w:val="center"/>
          </w:tcPr>
          <w:p w:rsidR="00FA4096" w:rsidRDefault="00FA4096" w:rsidP="00202E45">
            <w:pPr>
              <w:contextualSpacing/>
              <w:rPr>
                <w:sz w:val="24"/>
              </w:rPr>
            </w:pPr>
            <m:oMathPara>
              <m:oMath>
                <m:r>
                  <m:rPr>
                    <m:sty m:val="p"/>
                  </m:rPr>
                  <w:rPr>
                    <w:rFonts w:ascii="Cambria Math" w:hAnsi="Cambria Math"/>
                    <w:position w:val="-12"/>
                    <w:szCs w:val="24"/>
                  </w:rPr>
                  <w:object w:dxaOrig="1280" w:dyaOrig="360">
                    <v:shape id="_x0000_i1027" type="#_x0000_t75" style="width:63.75pt;height:18pt" o:ole="">
                      <v:imagedata r:id="rId19" o:title=""/>
                    </v:shape>
                    <o:OLEObject Type="Embed" ProgID="Equation.3" ShapeID="_x0000_i1027" DrawAspect="Content" ObjectID="_1514693269" r:id="rId20"/>
                  </w:object>
                </m:r>
              </m:oMath>
            </m:oMathPara>
          </w:p>
        </w:tc>
        <w:tc>
          <w:tcPr>
            <w:tcW w:w="1449" w:type="dxa"/>
            <w:vAlign w:val="center"/>
          </w:tcPr>
          <w:p w:rsidR="00FA4096" w:rsidRDefault="00FA4096" w:rsidP="00040F2C">
            <w:pPr>
              <w:contextualSpacing/>
              <w:jc w:val="right"/>
              <w:rPr>
                <w:sz w:val="24"/>
              </w:rPr>
            </w:pPr>
            <w:r>
              <w:rPr>
                <w:sz w:val="24"/>
              </w:rPr>
              <w:t>(</w:t>
            </w:r>
            <w:r w:rsidR="00040F2C">
              <w:rPr>
                <w:sz w:val="24"/>
              </w:rPr>
              <w:t>4</w:t>
            </w:r>
            <w:r>
              <w:rPr>
                <w:sz w:val="24"/>
              </w:rPr>
              <w:t>)</w:t>
            </w:r>
          </w:p>
        </w:tc>
      </w:tr>
      <w:tr w:rsidR="00FA4096" w:rsidTr="00202E45">
        <w:trPr>
          <w:trHeight w:val="680"/>
        </w:trPr>
        <w:tc>
          <w:tcPr>
            <w:tcW w:w="534" w:type="dxa"/>
            <w:vAlign w:val="center"/>
          </w:tcPr>
          <w:p w:rsidR="00FA4096" w:rsidRDefault="00FA4096" w:rsidP="00202E45">
            <w:pPr>
              <w:contextualSpacing/>
              <w:rPr>
                <w:sz w:val="24"/>
              </w:rPr>
            </w:pPr>
          </w:p>
        </w:tc>
        <w:tc>
          <w:tcPr>
            <w:tcW w:w="7229" w:type="dxa"/>
            <w:vAlign w:val="center"/>
          </w:tcPr>
          <w:p w:rsidR="00FA4096" w:rsidRDefault="00FA4096" w:rsidP="00202E45">
            <w:pPr>
              <w:contextualSpacing/>
              <w:jc w:val="center"/>
              <w:rPr>
                <w:sz w:val="24"/>
              </w:rPr>
            </w:pPr>
            <w:r w:rsidRPr="003F6A56">
              <w:rPr>
                <w:position w:val="-32"/>
                <w:szCs w:val="24"/>
              </w:rPr>
              <w:object w:dxaOrig="3200" w:dyaOrig="760">
                <v:shape id="_x0000_i1028" type="#_x0000_t75" style="width:159.75pt;height:37.5pt" o:ole="">
                  <v:imagedata r:id="rId21" o:title=""/>
                </v:shape>
                <o:OLEObject Type="Embed" ProgID="Equation.3" ShapeID="_x0000_i1028" DrawAspect="Content" ObjectID="_1514693270" r:id="rId22"/>
              </w:object>
            </w:r>
          </w:p>
        </w:tc>
        <w:tc>
          <w:tcPr>
            <w:tcW w:w="1449" w:type="dxa"/>
            <w:gridSpan w:val="2"/>
            <w:vAlign w:val="center"/>
          </w:tcPr>
          <w:p w:rsidR="00FA4096" w:rsidRDefault="00FA4096" w:rsidP="00040F2C">
            <w:pPr>
              <w:contextualSpacing/>
              <w:jc w:val="right"/>
              <w:rPr>
                <w:sz w:val="24"/>
              </w:rPr>
            </w:pPr>
            <w:r>
              <w:rPr>
                <w:sz w:val="24"/>
              </w:rPr>
              <w:t>(</w:t>
            </w:r>
            <w:r w:rsidR="00040F2C">
              <w:rPr>
                <w:sz w:val="24"/>
              </w:rPr>
              <w:t>5</w:t>
            </w:r>
            <w:r>
              <w:rPr>
                <w:sz w:val="24"/>
              </w:rPr>
              <w:t>)</w:t>
            </w:r>
          </w:p>
        </w:tc>
      </w:tr>
    </w:tbl>
    <w:p w:rsidR="00FA4096" w:rsidRDefault="00FA4096" w:rsidP="00F52BEA">
      <w:pPr>
        <w:pStyle w:val="TextStandard"/>
        <w:rPr>
          <w:lang w:val="en-US"/>
        </w:rPr>
      </w:pPr>
    </w:p>
    <w:p w:rsidR="00F52BEA" w:rsidRDefault="00F52BEA" w:rsidP="00F52BEA">
      <w:pPr>
        <w:pStyle w:val="TextStandard"/>
        <w:rPr>
          <w:lang w:val="en-US"/>
        </w:rPr>
      </w:pPr>
      <w:r w:rsidRPr="00F52BEA">
        <w:rPr>
          <w:lang w:val="en-US"/>
        </w:rPr>
        <w:t>In the above expressions, the elements H</w:t>
      </w:r>
      <w:r w:rsidRPr="005D3631">
        <w:rPr>
          <w:vertAlign w:val="subscript"/>
          <w:lang w:val="en-US"/>
        </w:rPr>
        <w:t>11</w:t>
      </w:r>
      <w:r w:rsidRPr="00F52BEA">
        <w:rPr>
          <w:lang w:val="en-US"/>
        </w:rPr>
        <w:t xml:space="preserve"> and H</w:t>
      </w:r>
      <w:r w:rsidRPr="005D3631">
        <w:rPr>
          <w:vertAlign w:val="subscript"/>
          <w:lang w:val="en-US"/>
        </w:rPr>
        <w:t>22</w:t>
      </w:r>
      <w:r w:rsidRPr="00F52BEA">
        <w:rPr>
          <w:lang w:val="en-US"/>
        </w:rPr>
        <w:t xml:space="preserve"> lead to a talk-over between the two canonic polarizations that has to be accounted for if antennas other than horizontally or vertically polarized antennas shall be employed in the channel simulations. Thus, after the generation of the mean path losses for theta- and phi-polarization, the polarization angle of each cluster is derived by</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FA4096" w:rsidTr="00202E45">
        <w:trPr>
          <w:trHeight w:val="680"/>
        </w:trPr>
        <w:tc>
          <w:tcPr>
            <w:tcW w:w="534" w:type="dxa"/>
            <w:vAlign w:val="center"/>
          </w:tcPr>
          <w:p w:rsidR="00FA4096" w:rsidRDefault="00FA4096" w:rsidP="00202E45">
            <w:pPr>
              <w:contextualSpacing/>
              <w:rPr>
                <w:sz w:val="24"/>
              </w:rPr>
            </w:pPr>
          </w:p>
        </w:tc>
        <w:tc>
          <w:tcPr>
            <w:tcW w:w="7229" w:type="dxa"/>
            <w:vAlign w:val="center"/>
          </w:tcPr>
          <w:p w:rsidR="00FA4096" w:rsidRDefault="00127CEF" w:rsidP="00202E45">
            <w:pPr>
              <w:contextualSpacing/>
              <w:rPr>
                <w:sz w:val="24"/>
              </w:rPr>
            </w:pPr>
            <m:oMathPara>
              <m:oMath>
                <m:sSub>
                  <m:sSubPr>
                    <m:ctrlPr>
                      <w:rPr>
                        <w:rFonts w:ascii="Cambria Math" w:hAnsi="Cambria Math"/>
                        <w:i/>
                        <w:sz w:val="24"/>
                      </w:rPr>
                    </m:ctrlPr>
                  </m:sSubPr>
                  <m:e>
                    <m:r>
                      <w:rPr>
                        <w:rFonts w:ascii="Cambria Math" w:hAnsi="Cambria Math"/>
                        <w:sz w:val="24"/>
                      </w:rPr>
                      <m:t>γ</m:t>
                    </m:r>
                  </m:e>
                  <m:sub>
                    <m:r>
                      <w:rPr>
                        <w:rFonts w:ascii="Cambria Math" w:hAnsi="Cambria Math"/>
                        <w:sz w:val="24"/>
                      </w:rPr>
                      <m:t>depol</m:t>
                    </m:r>
                  </m:sub>
                </m:sSub>
                <m:r>
                  <w:rPr>
                    <w:rFonts w:ascii="Cambria Math" w:hAnsi="Cambria Math"/>
                    <w:sz w:val="24"/>
                  </w:rPr>
                  <m:t>=</m:t>
                </m:r>
                <m:func>
                  <m:funcPr>
                    <m:ctrlPr>
                      <w:rPr>
                        <w:rFonts w:ascii="Cambria Math" w:hAnsi="Cambria Math"/>
                        <w:sz w:val="24"/>
                      </w:rPr>
                    </m:ctrlPr>
                  </m:funcPr>
                  <m:fName>
                    <m:r>
                      <m:rPr>
                        <m:sty m:val="p"/>
                      </m:rPr>
                      <w:rPr>
                        <w:rFonts w:ascii="Cambria Math" w:hAnsi="Cambria Math"/>
                        <w:sz w:val="24"/>
                      </w:rPr>
                      <m:t>atan</m:t>
                    </m:r>
                  </m:fName>
                  <m:e>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H</m:t>
                                </m:r>
                              </m:e>
                              <m:sub>
                                <m:r>
                                  <w:rPr>
                                    <w:rFonts w:ascii="Cambria Math" w:hAnsi="Cambria Math"/>
                                    <w:sz w:val="24"/>
                                  </w:rPr>
                                  <m:t>12</m:t>
                                </m:r>
                              </m:sub>
                            </m:sSub>
                          </m:num>
                          <m:den>
                            <m:sSub>
                              <m:sSubPr>
                                <m:ctrlPr>
                                  <w:rPr>
                                    <w:rFonts w:ascii="Cambria Math" w:hAnsi="Cambria Math"/>
                                    <w:i/>
                                    <w:sz w:val="24"/>
                                  </w:rPr>
                                </m:ctrlPr>
                              </m:sSubPr>
                              <m:e>
                                <m:r>
                                  <w:rPr>
                                    <w:rFonts w:ascii="Cambria Math" w:hAnsi="Cambria Math"/>
                                    <w:sz w:val="24"/>
                                  </w:rPr>
                                  <m:t>H</m:t>
                                </m:r>
                              </m:e>
                              <m:sub>
                                <m:r>
                                  <w:rPr>
                                    <w:rFonts w:ascii="Cambria Math" w:hAnsi="Cambria Math"/>
                                    <w:sz w:val="24"/>
                                  </w:rPr>
                                  <m:t>11</m:t>
                                </m:r>
                              </m:sub>
                            </m:sSub>
                          </m:den>
                        </m:f>
                      </m:e>
                    </m:d>
                    <m:ctrlPr>
                      <w:rPr>
                        <w:rFonts w:ascii="Cambria Math" w:hAnsi="Cambria Math"/>
                        <w:i/>
                        <w:sz w:val="24"/>
                      </w:rPr>
                    </m:ctrlPr>
                  </m:e>
                </m:func>
                <m:r>
                  <w:rPr>
                    <w:rFonts w:ascii="Cambria Math" w:hAnsi="Cambria Math"/>
                    <w:sz w:val="24"/>
                  </w:rPr>
                  <m:t>=</m:t>
                </m:r>
                <m:r>
                  <m:rPr>
                    <m:sty m:val="p"/>
                  </m:rPr>
                  <w:rPr>
                    <w:rFonts w:ascii="Cambria Math" w:hAnsi="Cambria Math"/>
                    <w:sz w:val="24"/>
                  </w:rPr>
                  <m:t>atan⁡</m:t>
                </m:r>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H</m:t>
                        </m:r>
                      </m:e>
                      <m:sub>
                        <m:r>
                          <w:rPr>
                            <w:rFonts w:ascii="Cambria Math" w:hAnsi="Cambria Math"/>
                            <w:sz w:val="24"/>
                          </w:rPr>
                          <m:t>21</m:t>
                        </m:r>
                      </m:sub>
                    </m:sSub>
                  </m:num>
                  <m:den>
                    <m:sSub>
                      <m:sSubPr>
                        <m:ctrlPr>
                          <w:rPr>
                            <w:rFonts w:ascii="Cambria Math" w:hAnsi="Cambria Math"/>
                            <w:i/>
                            <w:sz w:val="24"/>
                          </w:rPr>
                        </m:ctrlPr>
                      </m:sSubPr>
                      <m:e>
                        <m:r>
                          <w:rPr>
                            <w:rFonts w:ascii="Cambria Math" w:hAnsi="Cambria Math"/>
                            <w:sz w:val="24"/>
                          </w:rPr>
                          <m:t>H</m:t>
                        </m:r>
                      </m:e>
                      <m:sub>
                        <m:r>
                          <w:rPr>
                            <w:rFonts w:ascii="Cambria Math" w:hAnsi="Cambria Math"/>
                            <w:sz w:val="24"/>
                          </w:rPr>
                          <m:t>22</m:t>
                        </m:r>
                      </m:sub>
                    </m:sSub>
                  </m:den>
                </m:f>
                <m:r>
                  <w:rPr>
                    <w:rFonts w:ascii="Cambria Math" w:hAnsi="Cambria Math"/>
                    <w:sz w:val="24"/>
                  </w:rPr>
                  <m:t>)</m:t>
                </m:r>
              </m:oMath>
            </m:oMathPara>
          </w:p>
        </w:tc>
        <w:tc>
          <w:tcPr>
            <w:tcW w:w="1449" w:type="dxa"/>
            <w:vAlign w:val="center"/>
          </w:tcPr>
          <w:p w:rsidR="00FA4096" w:rsidRDefault="00FA4096" w:rsidP="00040F2C">
            <w:pPr>
              <w:contextualSpacing/>
              <w:jc w:val="right"/>
              <w:rPr>
                <w:sz w:val="24"/>
              </w:rPr>
            </w:pPr>
            <w:r>
              <w:rPr>
                <w:sz w:val="24"/>
              </w:rPr>
              <w:t>(</w:t>
            </w:r>
            <w:r w:rsidR="00040F2C">
              <w:rPr>
                <w:sz w:val="24"/>
              </w:rPr>
              <w:t>6</w:t>
            </w:r>
            <w:r>
              <w:rPr>
                <w:sz w:val="24"/>
              </w:rPr>
              <w:t>)</w:t>
            </w:r>
          </w:p>
        </w:tc>
      </w:tr>
    </w:tbl>
    <w:p w:rsidR="00FA4096" w:rsidRDefault="00FA4096" w:rsidP="00885840">
      <w:pPr>
        <w:pStyle w:val="TextStandard"/>
        <w:rPr>
          <w:lang w:val="en-US"/>
        </w:rPr>
      </w:pPr>
    </w:p>
    <w:p w:rsidR="00885840" w:rsidRDefault="00F52BEA" w:rsidP="00885840">
      <w:pPr>
        <w:pStyle w:val="TextStandard"/>
        <w:rPr>
          <w:lang w:val="en-US"/>
        </w:rPr>
      </w:pPr>
      <w:r w:rsidRPr="00F52BEA">
        <w:rPr>
          <w:lang w:val="en-US"/>
        </w:rPr>
        <w:t>As no functional dependency (e.g. to the time of arrival) could be observed, all depolarization angles for all reflection processes are modeled as Gaussian distributions.</w:t>
      </w:r>
    </w:p>
    <w:p w:rsidR="00885840" w:rsidRDefault="00885840" w:rsidP="00885840">
      <w:pPr>
        <w:pStyle w:val="berschrift2"/>
        <w:rPr>
          <w:lang w:val="en-US"/>
        </w:rPr>
      </w:pPr>
      <w:r>
        <w:rPr>
          <w:lang w:val="en-US"/>
        </w:rPr>
        <w:t>Angles of Departure and Arrival</w:t>
      </w:r>
    </w:p>
    <w:p w:rsidR="00E957D3" w:rsidRDefault="00E957D3" w:rsidP="00E957D3">
      <w:pPr>
        <w:pStyle w:val="TextStandard"/>
        <w:rPr>
          <w:lang w:val="en-US"/>
        </w:rPr>
      </w:pPr>
      <w:r>
        <w:rPr>
          <w:lang w:val="en-US"/>
        </w:rPr>
        <w:t xml:space="preserve">The final component necessary to fully characterize the Terahertz communication channel is the angular profile at the transmitter and the receiver site. </w:t>
      </w:r>
      <w:r w:rsidR="0014313E">
        <w:rPr>
          <w:lang w:val="en-US"/>
        </w:rPr>
        <w:t>With this</w:t>
      </w:r>
      <w:r>
        <w:rPr>
          <w:lang w:val="en-US"/>
        </w:rPr>
        <w:t xml:space="preserve">, the impact of different antenna types with varying radiation patterns and polarization properties can be </w:t>
      </w:r>
      <w:r w:rsidR="0014313E">
        <w:rPr>
          <w:lang w:val="en-US"/>
        </w:rPr>
        <w:t>incorporated into the channel model</w:t>
      </w:r>
      <w:r>
        <w:rPr>
          <w:lang w:val="en-US"/>
        </w:rPr>
        <w:t xml:space="preserve">. As it is considered geometrically meaningful, the angle of departure at the </w:t>
      </w:r>
      <w:proofErr w:type="spellStart"/>
      <w:r>
        <w:rPr>
          <w:lang w:val="en-US"/>
        </w:rPr>
        <w:t>Tx</w:t>
      </w:r>
      <w:proofErr w:type="spellEnd"/>
      <w:r>
        <w:rPr>
          <w:lang w:val="en-US"/>
        </w:rPr>
        <w:t xml:space="preserve"> and the angle of arrival at the Rx are modeled jointly for elongation theta and azimuth phi. The following </w:t>
      </w:r>
      <w:r w:rsidR="00127CEF">
        <w:rPr>
          <w:lang w:val="en-US"/>
        </w:rPr>
        <w:fldChar w:fldCharType="begin"/>
      </w:r>
      <w:r>
        <w:rPr>
          <w:lang w:val="en-US"/>
        </w:rPr>
        <w:instrText xml:space="preserve"> REF _Ref433752055 \h </w:instrText>
      </w:r>
      <w:r w:rsidR="00127CEF">
        <w:rPr>
          <w:lang w:val="en-US"/>
        </w:rPr>
      </w:r>
      <w:r w:rsidR="00127CEF">
        <w:rPr>
          <w:lang w:val="en-US"/>
        </w:rPr>
        <w:fldChar w:fldCharType="separate"/>
      </w:r>
      <w:r w:rsidR="00C022B9" w:rsidRPr="00D70C77">
        <w:rPr>
          <w:color w:val="000000" w:themeColor="text1"/>
        </w:rPr>
        <w:t xml:space="preserve">Figure </w:t>
      </w:r>
      <w:r w:rsidR="00C022B9">
        <w:rPr>
          <w:noProof/>
          <w:color w:val="000000" w:themeColor="text1"/>
        </w:rPr>
        <w:t>10</w:t>
      </w:r>
      <w:r w:rsidR="00127CEF">
        <w:rPr>
          <w:lang w:val="en-US"/>
        </w:rPr>
        <w:fldChar w:fldCharType="end"/>
      </w:r>
      <w:r>
        <w:rPr>
          <w:lang w:val="en-US"/>
        </w:rPr>
        <w:t xml:space="preserve"> illustrate</w:t>
      </w:r>
      <w:r w:rsidR="0014313E">
        <w:rPr>
          <w:lang w:val="en-US"/>
        </w:rPr>
        <w:t>s</w:t>
      </w:r>
      <w:r>
        <w:rPr>
          <w:lang w:val="en-US"/>
        </w:rPr>
        <w:t xml:space="preserve"> this assumption.</w:t>
      </w:r>
    </w:p>
    <w:p w:rsidR="00E957D3" w:rsidRDefault="00E957D3" w:rsidP="00E957D3">
      <w:pPr>
        <w:pStyle w:val="TextStandard"/>
        <w:keepNext/>
      </w:pPr>
      <w:r>
        <w:rPr>
          <w:noProof/>
          <w:lang w:val="de-DE"/>
        </w:rPr>
        <w:lastRenderedPageBreak/>
        <w:drawing>
          <wp:inline distT="0" distB="0" distL="0" distR="0">
            <wp:extent cx="5390707" cy="2926863"/>
            <wp:effectExtent l="19050" t="0" r="0" b="0"/>
            <wp:docPr id="187" name="Bild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 cstate="print"/>
                    <a:srcRect/>
                    <a:stretch>
                      <a:fillRect/>
                    </a:stretch>
                  </pic:blipFill>
                  <pic:spPr bwMode="auto">
                    <a:xfrm>
                      <a:off x="0" y="0"/>
                      <a:ext cx="5387736" cy="2925250"/>
                    </a:xfrm>
                    <a:prstGeom prst="rect">
                      <a:avLst/>
                    </a:prstGeom>
                    <a:noFill/>
                  </pic:spPr>
                </pic:pic>
              </a:graphicData>
            </a:graphic>
          </wp:inline>
        </w:drawing>
      </w:r>
    </w:p>
    <w:p w:rsidR="00E957D3" w:rsidRPr="00D70C77" w:rsidRDefault="00E957D3" w:rsidP="00E957D3">
      <w:pPr>
        <w:pStyle w:val="Beschriftung"/>
        <w:jc w:val="center"/>
        <w:rPr>
          <w:color w:val="000000" w:themeColor="text1"/>
          <w:lang w:val="en-US"/>
        </w:rPr>
      </w:pPr>
      <w:bookmarkStart w:id="10" w:name="_Ref433752055"/>
      <w:r w:rsidRPr="00D70C77">
        <w:rPr>
          <w:color w:val="000000" w:themeColor="text1"/>
        </w:rPr>
        <w:t xml:space="preserve">Figure </w:t>
      </w:r>
      <w:r w:rsidR="00127CEF" w:rsidRPr="00D70C77">
        <w:rPr>
          <w:color w:val="000000" w:themeColor="text1"/>
        </w:rPr>
        <w:fldChar w:fldCharType="begin"/>
      </w:r>
      <w:r w:rsidRPr="00D70C77">
        <w:rPr>
          <w:color w:val="000000" w:themeColor="text1"/>
        </w:rPr>
        <w:instrText xml:space="preserve"> SEQ Figure \* ARABIC </w:instrText>
      </w:r>
      <w:r w:rsidR="00127CEF" w:rsidRPr="00D70C77">
        <w:rPr>
          <w:color w:val="000000" w:themeColor="text1"/>
        </w:rPr>
        <w:fldChar w:fldCharType="separate"/>
      </w:r>
      <w:r w:rsidR="00C022B9">
        <w:rPr>
          <w:noProof/>
          <w:color w:val="000000" w:themeColor="text1"/>
        </w:rPr>
        <w:t>10</w:t>
      </w:r>
      <w:r w:rsidR="00127CEF" w:rsidRPr="00D70C77">
        <w:rPr>
          <w:color w:val="000000" w:themeColor="text1"/>
        </w:rPr>
        <w:fldChar w:fldCharType="end"/>
      </w:r>
      <w:bookmarkEnd w:id="10"/>
      <w:r w:rsidRPr="00D70C77">
        <w:rPr>
          <w:color w:val="000000" w:themeColor="text1"/>
        </w:rPr>
        <w:t xml:space="preserve">: Illustration of </w:t>
      </w:r>
      <w:proofErr w:type="spellStart"/>
      <w:r w:rsidRPr="00D70C77">
        <w:rPr>
          <w:color w:val="000000" w:themeColor="text1"/>
        </w:rPr>
        <w:t>AoD</w:t>
      </w:r>
      <w:proofErr w:type="spellEnd"/>
      <w:r w:rsidRPr="00D70C77">
        <w:rPr>
          <w:color w:val="000000" w:themeColor="text1"/>
        </w:rPr>
        <w:t>/</w:t>
      </w:r>
      <w:proofErr w:type="spellStart"/>
      <w:r w:rsidRPr="00D70C77">
        <w:rPr>
          <w:color w:val="000000" w:themeColor="text1"/>
        </w:rPr>
        <w:t>AoA</w:t>
      </w:r>
      <w:proofErr w:type="spellEnd"/>
      <w:r w:rsidRPr="00D70C77">
        <w:rPr>
          <w:color w:val="000000" w:themeColor="text1"/>
        </w:rPr>
        <w:t xml:space="preserve"> Correlation</w:t>
      </w:r>
    </w:p>
    <w:p w:rsidR="00E957D3" w:rsidRDefault="00E957D3" w:rsidP="00E957D3">
      <w:pPr>
        <w:pStyle w:val="TextStandard"/>
        <w:rPr>
          <w:lang w:val="en-US"/>
        </w:rPr>
      </w:pPr>
      <w:r>
        <w:rPr>
          <w:lang w:val="en-US"/>
        </w:rPr>
        <w:t>In the figure, the transmitter is moved along the path depicted by the green arrow from position Tx</w:t>
      </w:r>
      <w:r w:rsidRPr="00E957D3">
        <w:rPr>
          <w:vertAlign w:val="subscript"/>
          <w:lang w:val="en-US"/>
        </w:rPr>
        <w:t>1</w:t>
      </w:r>
      <w:r>
        <w:rPr>
          <w:lang w:val="en-US"/>
        </w:rPr>
        <w:t xml:space="preserve"> to position Tx</w:t>
      </w:r>
      <w:r w:rsidRPr="00E957D3">
        <w:rPr>
          <w:vertAlign w:val="subscript"/>
          <w:lang w:val="en-US"/>
        </w:rPr>
        <w:t>2</w:t>
      </w:r>
      <w:r>
        <w:rPr>
          <w:lang w:val="en-US"/>
        </w:rPr>
        <w:t>. The Rx remains at a fixed position and the effect of the movement on the elongation of departure at the transmitter is observed. As it can be seen on the four pictures to the right, the relationship between these angles in the elongation and azimuth domain is correlated for the direct path. Similar but less graphic relations exist for reflected clusters.</w:t>
      </w:r>
    </w:p>
    <w:p w:rsidR="00A213D9" w:rsidRDefault="00E957D3" w:rsidP="00E957D3">
      <w:pPr>
        <w:pStyle w:val="TextStandard"/>
        <w:rPr>
          <w:lang w:val="en-US"/>
        </w:rPr>
      </w:pPr>
      <w:r>
        <w:rPr>
          <w:lang w:val="en-US"/>
        </w:rPr>
        <w:t xml:space="preserve">As a consequence of the above observations, the </w:t>
      </w:r>
      <w:proofErr w:type="spellStart"/>
      <w:r>
        <w:rPr>
          <w:lang w:val="en-US"/>
        </w:rPr>
        <w:t>AoA</w:t>
      </w:r>
      <w:proofErr w:type="spellEnd"/>
      <w:r>
        <w:rPr>
          <w:lang w:val="en-US"/>
        </w:rPr>
        <w:t xml:space="preserve"> and </w:t>
      </w:r>
      <w:proofErr w:type="spellStart"/>
      <w:r>
        <w:rPr>
          <w:lang w:val="en-US"/>
        </w:rPr>
        <w:t>AoD</w:t>
      </w:r>
      <w:proofErr w:type="spellEnd"/>
      <w:r>
        <w:rPr>
          <w:lang w:val="en-US"/>
        </w:rPr>
        <w:t xml:space="preserve"> profiles in theta and phi are modeled as correlated probability densities. To extract the parameters of these distributions, the method of copula distributions is applied. In this methodology, the marginal univariate distributions of the </w:t>
      </w:r>
      <w:proofErr w:type="spellStart"/>
      <w:r>
        <w:rPr>
          <w:lang w:val="en-US"/>
        </w:rPr>
        <w:t>AoA</w:t>
      </w:r>
      <w:proofErr w:type="spellEnd"/>
      <w:r>
        <w:rPr>
          <w:lang w:val="en-US"/>
        </w:rPr>
        <w:t xml:space="preserve"> and </w:t>
      </w:r>
      <w:proofErr w:type="spellStart"/>
      <w:r>
        <w:rPr>
          <w:lang w:val="en-US"/>
        </w:rPr>
        <w:t>AoD</w:t>
      </w:r>
      <w:proofErr w:type="spellEnd"/>
      <w:r>
        <w:rPr>
          <w:lang w:val="en-US"/>
        </w:rPr>
        <w:t xml:space="preserve"> of a certain cluster are generated; in a second step, a copula structure is generated to provide the correlation between the variables. The output in the case of angular profiles is a Gaussian distribution that is not defined over a single value but over both </w:t>
      </w:r>
      <w:proofErr w:type="spellStart"/>
      <w:r>
        <w:rPr>
          <w:lang w:val="en-US"/>
        </w:rPr>
        <w:t>AoA</w:t>
      </w:r>
      <w:proofErr w:type="spellEnd"/>
      <w:r>
        <w:rPr>
          <w:lang w:val="en-US"/>
        </w:rPr>
        <w:t xml:space="preserve"> and </w:t>
      </w:r>
      <w:proofErr w:type="spellStart"/>
      <w:r>
        <w:rPr>
          <w:lang w:val="en-US"/>
        </w:rPr>
        <w:t>AoD</w:t>
      </w:r>
      <w:proofErr w:type="spellEnd"/>
      <w:r>
        <w:rPr>
          <w:lang w:val="en-US"/>
        </w:rPr>
        <w:t xml:space="preserve"> in a correlated manner. </w:t>
      </w:r>
    </w:p>
    <w:p w:rsidR="00C06DE2" w:rsidRDefault="00C06DE2" w:rsidP="00A213D9">
      <w:pPr>
        <w:pStyle w:val="berschrift2"/>
        <w:rPr>
          <w:lang w:val="en-US"/>
        </w:rPr>
      </w:pPr>
      <w:r>
        <w:rPr>
          <w:lang w:val="en-US"/>
        </w:rPr>
        <w:t>Dispersion Functions</w:t>
      </w:r>
    </w:p>
    <w:p w:rsidR="00C06DE2" w:rsidRPr="00C06DE2" w:rsidRDefault="00C06DE2" w:rsidP="00C06DE2">
      <w:pPr>
        <w:pStyle w:val="TextStandard"/>
        <w:rPr>
          <w:lang w:val="en-US"/>
        </w:rPr>
      </w:pPr>
      <w:r>
        <w:rPr>
          <w:lang w:val="en-US"/>
        </w:rPr>
        <w:t>From the generated statistics, the clusters of each channel have to be evaluated with dispersion functions as well as antenna profiles to generate the final channel transfer function of each channel</w:t>
      </w:r>
      <w:r w:rsidR="0073416A">
        <w:rPr>
          <w:lang w:val="en-US"/>
        </w:rPr>
        <w:t xml:space="preserve"> realization</w:t>
      </w:r>
      <w:r>
        <w:rPr>
          <w:lang w:val="en-US"/>
        </w:rPr>
        <w:t xml:space="preserve">. The structure of this process is depicted in </w:t>
      </w:r>
      <w:r w:rsidR="00127CEF">
        <w:rPr>
          <w:lang w:val="en-US"/>
        </w:rPr>
        <w:fldChar w:fldCharType="begin"/>
      </w:r>
      <w:r>
        <w:rPr>
          <w:lang w:val="en-US"/>
        </w:rPr>
        <w:instrText xml:space="preserve"> REF _Ref435445820 </w:instrText>
      </w:r>
      <w:r w:rsidR="00127CEF">
        <w:rPr>
          <w:lang w:val="en-US"/>
        </w:rPr>
        <w:fldChar w:fldCharType="separate"/>
      </w:r>
      <w:r w:rsidR="00C022B9" w:rsidRPr="00C06DE2">
        <w:rPr>
          <w:color w:val="000000" w:themeColor="text1"/>
        </w:rPr>
        <w:t xml:space="preserve">Figure </w:t>
      </w:r>
      <w:r w:rsidR="00C022B9">
        <w:rPr>
          <w:noProof/>
          <w:color w:val="000000" w:themeColor="text1"/>
        </w:rPr>
        <w:t>11</w:t>
      </w:r>
      <w:r w:rsidR="00127CEF">
        <w:rPr>
          <w:lang w:val="en-US"/>
        </w:rPr>
        <w:fldChar w:fldCharType="end"/>
      </w:r>
      <w:r>
        <w:rPr>
          <w:lang w:val="en-US"/>
        </w:rPr>
        <w:t>.</w:t>
      </w:r>
    </w:p>
    <w:p w:rsidR="00C06DE2" w:rsidRDefault="00DA1655" w:rsidP="00C06DE2">
      <w:pPr>
        <w:pStyle w:val="TextStandard"/>
        <w:keepNext/>
      </w:pPr>
      <w:r>
        <w:rPr>
          <w:noProof/>
          <w:lang w:val="de-DE"/>
        </w:rPr>
        <w:lastRenderedPageBreak/>
        <w:drawing>
          <wp:inline distT="0" distB="0" distL="0" distR="0">
            <wp:extent cx="5761355" cy="378587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355" cy="3785870"/>
                    </a:xfrm>
                    <a:prstGeom prst="rect">
                      <a:avLst/>
                    </a:prstGeom>
                    <a:noFill/>
                  </pic:spPr>
                </pic:pic>
              </a:graphicData>
            </a:graphic>
          </wp:inline>
        </w:drawing>
      </w:r>
    </w:p>
    <w:p w:rsidR="00C06DE2" w:rsidRDefault="00C06DE2" w:rsidP="00C06DE2">
      <w:pPr>
        <w:pStyle w:val="Beschriftung"/>
        <w:jc w:val="center"/>
        <w:rPr>
          <w:color w:val="000000" w:themeColor="text1"/>
        </w:rPr>
      </w:pPr>
      <w:bookmarkStart w:id="11" w:name="_Ref435445820"/>
      <w:r w:rsidRPr="00C06DE2">
        <w:rPr>
          <w:color w:val="000000" w:themeColor="text1"/>
        </w:rPr>
        <w:t xml:space="preserve">Figure </w:t>
      </w:r>
      <w:r w:rsidR="00127CEF" w:rsidRPr="00C06DE2">
        <w:rPr>
          <w:color w:val="000000" w:themeColor="text1"/>
        </w:rPr>
        <w:fldChar w:fldCharType="begin"/>
      </w:r>
      <w:r w:rsidRPr="00C06DE2">
        <w:rPr>
          <w:color w:val="000000" w:themeColor="text1"/>
        </w:rPr>
        <w:instrText xml:space="preserve"> SEQ Figure \* ARABIC </w:instrText>
      </w:r>
      <w:r w:rsidR="00127CEF" w:rsidRPr="00C06DE2">
        <w:rPr>
          <w:color w:val="000000" w:themeColor="text1"/>
        </w:rPr>
        <w:fldChar w:fldCharType="separate"/>
      </w:r>
      <w:r w:rsidR="00C022B9">
        <w:rPr>
          <w:noProof/>
          <w:color w:val="000000" w:themeColor="text1"/>
        </w:rPr>
        <w:t>11</w:t>
      </w:r>
      <w:r w:rsidR="00127CEF" w:rsidRPr="00C06DE2">
        <w:rPr>
          <w:color w:val="000000" w:themeColor="text1"/>
        </w:rPr>
        <w:fldChar w:fldCharType="end"/>
      </w:r>
      <w:bookmarkEnd w:id="11"/>
      <w:r w:rsidRPr="00C06DE2">
        <w:rPr>
          <w:color w:val="000000" w:themeColor="text1"/>
        </w:rPr>
        <w:t xml:space="preserve">: </w:t>
      </w:r>
      <w:proofErr w:type="spellStart"/>
      <w:r w:rsidRPr="00C06DE2">
        <w:rPr>
          <w:color w:val="000000" w:themeColor="text1"/>
        </w:rPr>
        <w:t>Gereration</w:t>
      </w:r>
      <w:proofErr w:type="spellEnd"/>
      <w:r w:rsidRPr="00C06DE2">
        <w:rPr>
          <w:color w:val="000000" w:themeColor="text1"/>
        </w:rPr>
        <w:t xml:space="preserve"> of the Channel Transfer Function</w:t>
      </w:r>
    </w:p>
    <w:p w:rsidR="0028542F" w:rsidRDefault="0028542F" w:rsidP="0028542F">
      <w:pPr>
        <w:pStyle w:val="TextStandard"/>
        <w:rPr>
          <w:lang w:val="en-US"/>
        </w:rPr>
      </w:pPr>
      <w:r>
        <w:rPr>
          <w:lang w:val="en-US"/>
        </w:rPr>
        <w:t xml:space="preserve">Due to the broadband nature of the investigated propagation channels, a single mean path-loss value is not enough information to characterize the propagation paths. Instead, the path loss is always a function of frequency due to dispersion stemming from </w:t>
      </w:r>
      <w:proofErr w:type="spellStart"/>
      <w:r>
        <w:rPr>
          <w:lang w:val="en-US"/>
        </w:rPr>
        <w:t>Friis</w:t>
      </w:r>
      <w:proofErr w:type="spellEnd"/>
      <w:r>
        <w:rPr>
          <w:lang w:val="en-US"/>
        </w:rPr>
        <w:t xml:space="preserve"> Transmission Equation as well as from the reflection processes at thin layers and printed circuit boards. To illustrate this behavior, the</w:t>
      </w:r>
      <w:r w:rsidR="00A46355">
        <w:rPr>
          <w:lang w:val="en-US"/>
        </w:rPr>
        <w:t xml:space="preserve"> effects of the</w:t>
      </w:r>
      <w:r>
        <w:rPr>
          <w:lang w:val="en-US"/>
        </w:rPr>
        <w:t xml:space="preserve"> three dispersion mechanisms are illustrated</w:t>
      </w:r>
      <w:r w:rsidR="00A46355">
        <w:rPr>
          <w:lang w:val="en-US"/>
        </w:rPr>
        <w:t xml:space="preserve"> </w:t>
      </w:r>
      <w:r>
        <w:rPr>
          <w:lang w:val="en-US"/>
        </w:rPr>
        <w:t xml:space="preserve">in </w:t>
      </w:r>
      <w:r w:rsidR="00127CEF">
        <w:rPr>
          <w:lang w:val="en-US"/>
        </w:rPr>
        <w:fldChar w:fldCharType="begin"/>
      </w:r>
      <w:r>
        <w:rPr>
          <w:lang w:val="en-US"/>
        </w:rPr>
        <w:instrText xml:space="preserve"> REF _Ref433752102 \h </w:instrText>
      </w:r>
      <w:r w:rsidR="00127CEF">
        <w:rPr>
          <w:lang w:val="en-US"/>
        </w:rPr>
      </w:r>
      <w:r w:rsidR="00127CEF">
        <w:rPr>
          <w:lang w:val="en-US"/>
        </w:rPr>
        <w:fldChar w:fldCharType="separate"/>
      </w:r>
      <w:r w:rsidR="00C022B9" w:rsidRPr="00D70C77">
        <w:rPr>
          <w:color w:val="000000" w:themeColor="text1"/>
        </w:rPr>
        <w:t xml:space="preserve">Figure </w:t>
      </w:r>
      <w:r w:rsidR="00C022B9">
        <w:rPr>
          <w:noProof/>
          <w:color w:val="000000" w:themeColor="text1"/>
        </w:rPr>
        <w:t>12</w:t>
      </w:r>
      <w:r w:rsidR="00127CEF">
        <w:rPr>
          <w:lang w:val="en-US"/>
        </w:rPr>
        <w:fldChar w:fldCharType="end"/>
      </w:r>
      <w:r>
        <w:rPr>
          <w:lang w:val="en-US"/>
        </w:rPr>
        <w:t>.</w:t>
      </w:r>
    </w:p>
    <w:p w:rsidR="0028542F" w:rsidRDefault="0028542F" w:rsidP="0028542F">
      <w:pPr>
        <w:pStyle w:val="TextStandard"/>
        <w:keepNext/>
        <w:jc w:val="center"/>
      </w:pPr>
      <w:r>
        <w:rPr>
          <w:noProof/>
          <w:lang w:val="de-DE"/>
        </w:rPr>
        <w:lastRenderedPageBreak/>
        <w:drawing>
          <wp:inline distT="0" distB="0" distL="0" distR="0">
            <wp:extent cx="2700000" cy="1910631"/>
            <wp:effectExtent l="19050" t="0" r="5100" b="0"/>
            <wp:docPr id="7" name="Bild 32"/>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rrowheads="1"/>
                    </pic:cNvPicPr>
                  </pic:nvPicPr>
                  <pic:blipFill>
                    <a:blip r:embed="rId25" cstate="print"/>
                    <a:srcRect/>
                    <a:stretch>
                      <a:fillRect/>
                    </a:stretch>
                  </pic:blipFill>
                  <pic:spPr bwMode="auto">
                    <a:xfrm>
                      <a:off x="0" y="0"/>
                      <a:ext cx="2700000" cy="1910631"/>
                    </a:xfrm>
                    <a:prstGeom prst="rect">
                      <a:avLst/>
                    </a:prstGeom>
                    <a:noFill/>
                    <a:ln w="9525">
                      <a:noFill/>
                      <a:miter lim="800000"/>
                      <a:headEnd/>
                      <a:tailEnd/>
                    </a:ln>
                    <a:effectLst/>
                  </pic:spPr>
                </pic:pic>
              </a:graphicData>
            </a:graphic>
          </wp:inline>
        </w:drawing>
      </w:r>
      <w:r>
        <w:rPr>
          <w:noProof/>
          <w:lang w:val="de-DE"/>
        </w:rPr>
        <w:drawing>
          <wp:inline distT="0" distB="0" distL="0" distR="0">
            <wp:extent cx="2700000" cy="1910631"/>
            <wp:effectExtent l="19050" t="0" r="5100" b="0"/>
            <wp:docPr id="8" name="Bild 33"/>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rrowheads="1"/>
                    </pic:cNvPicPr>
                  </pic:nvPicPr>
                  <pic:blipFill>
                    <a:blip r:embed="rId26" cstate="print"/>
                    <a:srcRect/>
                    <a:stretch>
                      <a:fillRect/>
                    </a:stretch>
                  </pic:blipFill>
                  <pic:spPr bwMode="auto">
                    <a:xfrm>
                      <a:off x="0" y="0"/>
                      <a:ext cx="2700000" cy="1910631"/>
                    </a:xfrm>
                    <a:prstGeom prst="rect">
                      <a:avLst/>
                    </a:prstGeom>
                    <a:noFill/>
                    <a:ln w="9525">
                      <a:noFill/>
                      <a:miter lim="800000"/>
                      <a:headEnd/>
                      <a:tailEnd/>
                    </a:ln>
                    <a:effectLst/>
                  </pic:spPr>
                </pic:pic>
              </a:graphicData>
            </a:graphic>
          </wp:inline>
        </w:drawing>
      </w:r>
      <w:r>
        <w:rPr>
          <w:noProof/>
          <w:lang w:val="de-DE"/>
        </w:rPr>
        <w:drawing>
          <wp:inline distT="0" distB="0" distL="0" distR="0">
            <wp:extent cx="2700000" cy="1910631"/>
            <wp:effectExtent l="19050" t="0" r="5100" b="0"/>
            <wp:docPr id="9" name="Bild 34"/>
            <wp:cNvGraphicFramePr/>
            <a:graphic xmlns:a="http://schemas.openxmlformats.org/drawingml/2006/main">
              <a:graphicData uri="http://schemas.openxmlformats.org/drawingml/2006/picture">
                <pic:pic xmlns:pic="http://schemas.openxmlformats.org/drawingml/2006/picture">
                  <pic:nvPicPr>
                    <pic:cNvPr id="11269" name="Picture 5"/>
                    <pic:cNvPicPr>
                      <a:picLocks noChangeArrowheads="1"/>
                    </pic:cNvPicPr>
                  </pic:nvPicPr>
                  <pic:blipFill>
                    <a:blip r:embed="rId27" cstate="print"/>
                    <a:srcRect/>
                    <a:stretch>
                      <a:fillRect/>
                    </a:stretch>
                  </pic:blipFill>
                  <pic:spPr bwMode="auto">
                    <a:xfrm>
                      <a:off x="0" y="0"/>
                      <a:ext cx="2700000" cy="1910631"/>
                    </a:xfrm>
                    <a:prstGeom prst="rect">
                      <a:avLst/>
                    </a:prstGeom>
                    <a:noFill/>
                    <a:ln w="9525">
                      <a:noFill/>
                      <a:miter lim="800000"/>
                      <a:headEnd/>
                      <a:tailEnd/>
                    </a:ln>
                    <a:effectLst/>
                  </pic:spPr>
                </pic:pic>
              </a:graphicData>
            </a:graphic>
          </wp:inline>
        </w:drawing>
      </w:r>
    </w:p>
    <w:p w:rsidR="0028542F" w:rsidRPr="00D70C77" w:rsidRDefault="0028542F" w:rsidP="0028542F">
      <w:pPr>
        <w:pStyle w:val="Beschriftung"/>
        <w:jc w:val="center"/>
        <w:rPr>
          <w:color w:val="000000" w:themeColor="text1"/>
          <w:lang w:val="en-US"/>
        </w:rPr>
      </w:pPr>
      <w:bookmarkStart w:id="12" w:name="_Ref433752102"/>
      <w:r w:rsidRPr="00D70C77">
        <w:rPr>
          <w:color w:val="000000" w:themeColor="text1"/>
        </w:rPr>
        <w:t xml:space="preserve">Figure </w:t>
      </w:r>
      <w:r w:rsidR="00127CEF" w:rsidRPr="00D70C77">
        <w:rPr>
          <w:color w:val="000000" w:themeColor="text1"/>
        </w:rPr>
        <w:fldChar w:fldCharType="begin"/>
      </w:r>
      <w:r w:rsidRPr="00D70C77">
        <w:rPr>
          <w:color w:val="000000" w:themeColor="text1"/>
        </w:rPr>
        <w:instrText xml:space="preserve"> SEQ Figure \* ARABIC </w:instrText>
      </w:r>
      <w:r w:rsidR="00127CEF" w:rsidRPr="00D70C77">
        <w:rPr>
          <w:color w:val="000000" w:themeColor="text1"/>
        </w:rPr>
        <w:fldChar w:fldCharType="separate"/>
      </w:r>
      <w:r w:rsidR="00C022B9">
        <w:rPr>
          <w:noProof/>
          <w:color w:val="000000" w:themeColor="text1"/>
        </w:rPr>
        <w:t>12</w:t>
      </w:r>
      <w:r w:rsidR="00127CEF" w:rsidRPr="00D70C77">
        <w:rPr>
          <w:color w:val="000000" w:themeColor="text1"/>
        </w:rPr>
        <w:fldChar w:fldCharType="end"/>
      </w:r>
      <w:bookmarkEnd w:id="12"/>
      <w:r w:rsidRPr="00D70C77">
        <w:rPr>
          <w:color w:val="000000" w:themeColor="text1"/>
        </w:rPr>
        <w:t>: Exemplary Dispersion Functions</w:t>
      </w:r>
    </w:p>
    <w:p w:rsidR="00F56780" w:rsidRDefault="0028542F" w:rsidP="00A213D9">
      <w:pPr>
        <w:pStyle w:val="TextStandard"/>
        <w:rPr>
          <w:lang w:val="en-US"/>
        </w:rPr>
      </w:pPr>
      <w:r>
        <w:rPr>
          <w:lang w:val="en-US"/>
        </w:rPr>
        <w:t xml:space="preserve">In figure a), the characteristic slope of an ultra-broadband channel due to the </w:t>
      </w:r>
      <w:r w:rsidR="00B93655">
        <w:rPr>
          <w:lang w:val="en-US"/>
        </w:rPr>
        <w:t>decreasing</w:t>
      </w:r>
      <w:r>
        <w:rPr>
          <w:lang w:val="en-US"/>
        </w:rPr>
        <w:t xml:space="preserve"> effective aperture of </w:t>
      </w:r>
      <w:r w:rsidR="00B93655">
        <w:rPr>
          <w:lang w:val="en-US"/>
        </w:rPr>
        <w:t>a given</w:t>
      </w:r>
      <w:r>
        <w:rPr>
          <w:lang w:val="en-US"/>
        </w:rPr>
        <w:t xml:space="preserve"> antenna over a large frequency range is observed, while figure b) shows the typical interference pattern from a reflection at a thin plastic</w:t>
      </w:r>
      <w:r w:rsidR="00A213D9">
        <w:rPr>
          <w:lang w:val="en-US"/>
        </w:rPr>
        <w:t xml:space="preserve"> surface</w:t>
      </w:r>
      <w:r>
        <w:rPr>
          <w:lang w:val="en-US"/>
        </w:rPr>
        <w:t>. Figure c) shows the frequency response of a path that has been reflected by a PCB surface. In the ray-tracing algorithm, relatively complex models of the electromagnetic behavior at reflection processes are employed. Resulting from this, the ray-tracing algorithm has a high computational complexity leading to a simulation time of up to a minute for the generation of a s</w:t>
      </w:r>
      <w:r w:rsidR="003B5A34">
        <w:rPr>
          <w:lang w:val="en-US"/>
        </w:rPr>
        <w:t>ingle channel transfer function</w:t>
      </w:r>
      <w:r>
        <w:rPr>
          <w:lang w:val="en-US"/>
        </w:rPr>
        <w:t xml:space="preserve">. The </w:t>
      </w:r>
      <w:r w:rsidR="003B5A34">
        <w:rPr>
          <w:lang w:val="en-US"/>
        </w:rPr>
        <w:t>CRG</w:t>
      </w:r>
      <w:r>
        <w:rPr>
          <w:lang w:val="en-US"/>
        </w:rPr>
        <w:t xml:space="preserve"> uses </w:t>
      </w:r>
      <w:r w:rsidR="00A213D9">
        <w:rPr>
          <w:lang w:val="en-US"/>
        </w:rPr>
        <w:t>parameterized</w:t>
      </w:r>
      <w:r>
        <w:rPr>
          <w:lang w:val="en-US"/>
        </w:rPr>
        <w:t xml:space="preserve"> functions instead of the actual physical models to reduce this complexity while maintaining realistic properti</w:t>
      </w:r>
      <w:r w:rsidR="00711A12">
        <w:rPr>
          <w:lang w:val="en-US"/>
        </w:rPr>
        <w:t>es of the dispersion processes.</w:t>
      </w:r>
      <w:r w:rsidR="00F56780">
        <w:rPr>
          <w:lang w:val="en-US"/>
        </w:rPr>
        <w:br w:type="page"/>
      </w:r>
    </w:p>
    <w:p w:rsidR="00885840" w:rsidRDefault="00885840" w:rsidP="00885840">
      <w:pPr>
        <w:pStyle w:val="berschrift1"/>
        <w:rPr>
          <w:lang w:val="en-US"/>
        </w:rPr>
      </w:pPr>
      <w:r>
        <w:rPr>
          <w:lang w:val="en-US"/>
        </w:rPr>
        <w:lastRenderedPageBreak/>
        <w:t>Intra-Device Communications</w:t>
      </w:r>
    </w:p>
    <w:p w:rsidR="00666259" w:rsidRPr="00666259" w:rsidRDefault="00666259" w:rsidP="00666259">
      <w:pPr>
        <w:pStyle w:val="TextStandard"/>
        <w:rPr>
          <w:lang w:val="en-US"/>
        </w:rPr>
      </w:pPr>
      <w:r>
        <w:rPr>
          <w:lang w:val="en-US"/>
        </w:rPr>
        <w:t>In this chapter, a summary of the channel characteristics for the defined scenarios with the investigated antenna configurations is presented. The summary comprises an analysis of the mean path loss over distance for the envisaged application cases along with an envelope function of the impulse responses</w:t>
      </w:r>
      <w:r w:rsidR="000631D8">
        <w:rPr>
          <w:lang w:val="en-US"/>
        </w:rPr>
        <w:t xml:space="preserve"> for each case</w:t>
      </w:r>
      <w:r>
        <w:rPr>
          <w:lang w:val="en-US"/>
        </w:rPr>
        <w:t xml:space="preserve">. </w:t>
      </w:r>
    </w:p>
    <w:p w:rsidR="00885840" w:rsidRDefault="00885840" w:rsidP="00885840">
      <w:pPr>
        <w:pStyle w:val="berschrift2"/>
        <w:rPr>
          <w:lang w:val="en-US"/>
        </w:rPr>
      </w:pPr>
      <w:r>
        <w:rPr>
          <w:lang w:val="en-US"/>
        </w:rPr>
        <w:t>Scenario Definitions</w:t>
      </w:r>
    </w:p>
    <w:p w:rsidR="00666259" w:rsidRPr="00666259" w:rsidRDefault="00666259" w:rsidP="00666259">
      <w:pPr>
        <w:pStyle w:val="TextStandard"/>
        <w:rPr>
          <w:lang w:val="en-US"/>
        </w:rPr>
      </w:pPr>
      <w:r>
        <w:rPr>
          <w:lang w:val="en-US"/>
        </w:rPr>
        <w:t xml:space="preserve">For Intra-Device Communications, the cases of Chip to Chip Communications under LOS condition, Chip to Chip Communications under NLOS condition and Board to Board Communication are distinguished. They are depicted schematically in </w:t>
      </w:r>
      <w:r w:rsidR="00127CEF">
        <w:rPr>
          <w:lang w:val="en-US"/>
        </w:rPr>
        <w:fldChar w:fldCharType="begin"/>
      </w:r>
      <w:r w:rsidR="00332929">
        <w:rPr>
          <w:lang w:val="en-US"/>
        </w:rPr>
        <w:instrText xml:space="preserve"> REF _Ref440883743 \h </w:instrText>
      </w:r>
      <w:r w:rsidR="00127CEF">
        <w:rPr>
          <w:lang w:val="en-US"/>
        </w:rPr>
      </w:r>
      <w:r w:rsidR="00127CEF">
        <w:rPr>
          <w:lang w:val="en-US"/>
        </w:rPr>
        <w:fldChar w:fldCharType="separate"/>
      </w:r>
      <w:r w:rsidR="00332929" w:rsidRPr="00023155">
        <w:rPr>
          <w:color w:val="000000" w:themeColor="text1"/>
        </w:rPr>
        <w:t xml:space="preserve">Figure </w:t>
      </w:r>
      <w:r w:rsidR="00332929">
        <w:rPr>
          <w:noProof/>
          <w:color w:val="000000" w:themeColor="text1"/>
        </w:rPr>
        <w:t>13</w:t>
      </w:r>
      <w:r w:rsidR="00127CEF">
        <w:rPr>
          <w:lang w:val="en-US"/>
        </w:rPr>
        <w:fldChar w:fldCharType="end"/>
      </w:r>
      <w:r w:rsidR="00332929">
        <w:rPr>
          <w:lang w:val="en-US"/>
        </w:rPr>
        <w:t>.</w:t>
      </w:r>
    </w:p>
    <w:p w:rsidR="00023155" w:rsidRDefault="00127CEF" w:rsidP="00023155">
      <w:pPr>
        <w:pStyle w:val="TextStandard"/>
        <w:keepNext/>
        <w:jc w:val="center"/>
      </w:pPr>
      <w:r w:rsidRPr="00127CEF">
        <w:rPr>
          <w:noProof/>
          <w:lang w:val="en-US" w:eastAsia="en-US"/>
        </w:rPr>
      </w:r>
      <w:r w:rsidRPr="00127CEF">
        <w:rPr>
          <w:noProof/>
          <w:lang w:val="en-US" w:eastAsia="en-US"/>
        </w:rPr>
        <w:pict>
          <v:group id="Group 59" o:spid="_x0000_s1032" style="width:446.5pt;height:180pt;mso-position-horizontal-relative:char;mso-position-vertical-relative:line" coordorigin="13624,13474" coordsize="59808,24550">
            <v:shape id="Grafik 11" o:spid="_x0000_s1033" type="#_x0000_t75" style="position:absolute;left:13624;top:18106;width:33997;height:199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k+YnDAAAA3AAAAA8AAABkcnMvZG93bnJldi54bWxET01rwkAQvRf8D8sIXopuDK3U1FU0oPQm&#10;xl68DdkxSc3OhuyapP++Kwi9zeN9zmozmFp01LrKsoL5LAJBnFtdcaHg+7yffoBwHlljbZkU/JKD&#10;zXr0ssJE255P1GW+ECGEXYIKSu+bREqXl2TQzWxDHLirbQ36ANtC6hb7EG5qGUfRQhqsODSU2FBa&#10;Un7L7kbB4TVLD7tLd6x+TFws47w+pv1eqcl42H6C8DT4f/HT/aXD/Pc3eDwTLp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T5icMAAADcAAAADwAAAAAAAAAAAAAAAACf&#10;AgAAZHJzL2Rvd25yZXYueG1sUEsFBgAAAAAEAAQA9wAAAI8DAAAAAA==&#10;">
              <v:imagedata r:id="rId28" o:title=""/>
            </v:shape>
            <v:shape id="Grafik 14" o:spid="_x0000_s1034" type="#_x0000_t75" style="position:absolute;left:59769;top:17314;width:11385;height:204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VW+XDAAAA3AAAAA8AAABkcnMvZG93bnJldi54bWxET0trwkAQvgv+h2WE3nRjIVJiNiKCVAQL&#10;Pi7exuw0Cc3Oxuxqkn/fLQi9zcf3nHTVm1o8qXWVZQXzWQSCOLe64kLB5bydfoBwHlljbZkUDORg&#10;lY1HKSbadnyk58kXIoSwS1BB6X2TSOnykgy6mW2IA/dtW4M+wLaQusUuhJtavkfRQhqsODSU2NCm&#10;pPzn9DAKPg/9usBmP9z8/HpfXLZfh/PwUOpt0q+XIDz1/l/8cu90mB/H8PdMuE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Vb5cMAAADcAAAADwAAAAAAAAAAAAAAAACf&#10;AgAAZHJzL2Rvd25yZXYueG1sUEsFBgAAAAAEAAQA9wAAAI8DAAAAAA==&#10;">
              <v:imagedata r:id="rId29" o:title="" cropright="42492f"/>
            </v:shape>
            <v:shape id="Textfeld 15" o:spid="_x0000_s1035" type="#_x0000_t202" style="position:absolute;left:23720;top:13580;width:13007;height:34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1B8IA&#10;AADcAAAADwAAAGRycy9kb3ducmV2LnhtbERPzWrCQBC+F3yHZQre6iZigo2uQaxCb63aBxiyYzZN&#10;djZkt5r26buFgrf5+H5nXY62E1cafONYQTpLQBBXTjdcK/g4H56WIHxA1tg5JgXf5KHcTB7WWGh3&#10;4yNdT6EWMYR9gQpMCH0hpa8MWfQz1xNH7uIGiyHCoZZ6wFsMt52cJ0kuLTYcGwz2tDNUtacvq2CZ&#10;2Le2fZ6/e7v4STOze3H7/lOp6eO4XYEINIa7+N/9quP8LIe/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PUHwgAAANwAAAAPAAAAAAAAAAAAAAAAAJgCAABkcnMvZG93&#10;bnJldi54bWxQSwUGAAAAAAQABAD1AAAAhwMAAAAA&#10;" filled="f" stroked="f">
              <v:textbox style="mso-fit-shape-to-text:t">
                <w:txbxContent>
                  <w:p w:rsidR="00202E45" w:rsidRDefault="00202E45" w:rsidP="0054194A">
                    <w:pPr>
                      <w:pStyle w:val="StandardWeb"/>
                      <w:kinsoku w:val="0"/>
                      <w:overflowPunct w:val="0"/>
                      <w:spacing w:before="0" w:beforeAutospacing="0" w:after="0" w:afterAutospacing="0"/>
                      <w:textAlignment w:val="baseline"/>
                    </w:pPr>
                    <w:r>
                      <w:rPr>
                        <w:rFonts w:cstheme="minorBidi"/>
                        <w:color w:val="000000" w:themeColor="text1"/>
                        <w:kern w:val="24"/>
                        <w:sz w:val="32"/>
                        <w:szCs w:val="32"/>
                      </w:rPr>
                      <w:t>Chip to Chip</w:t>
                    </w:r>
                  </w:p>
                </w:txbxContent>
              </v:textbox>
            </v:shape>
            <v:shape id="Textfeld 16" o:spid="_x0000_s1036" type="#_x0000_t202" style="position:absolute;left:58289;top:13474;width:15143;height:34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nMEA&#10;AADcAAAADwAAAGRycy9kb3ducmV2LnhtbERPS27CMBDdV+IO1iCxKw6oFAgYhChI7MrvAKN4iEPi&#10;cRQbCD19jVSpu3l635kvW1uJOzW+cKxg0E9AEGdOF5wrOJ+27xMQPiBrrByTgid5WC46b3NMtXvw&#10;ge7HkIsYwj5FBSaEOpXSZ4Ys+r6riSN3cY3FEGGTS93gI4bbSg6T5FNaLDg2GKxpbSgrjzerYJLY&#10;77KcDvfefvwMRmb95Tb1Valet13NQARqw7/4z73Tcf5oD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IUJzBAAAA3AAAAA8AAAAAAAAAAAAAAAAAmAIAAGRycy9kb3du&#10;cmV2LnhtbFBLBQYAAAAABAAEAPUAAACGAwAAAAA=&#10;" filled="f" stroked="f">
              <v:textbox style="mso-fit-shape-to-text:t">
                <w:txbxContent>
                  <w:p w:rsidR="00202E45" w:rsidRDefault="00202E45" w:rsidP="0054194A">
                    <w:pPr>
                      <w:pStyle w:val="StandardWeb"/>
                      <w:kinsoku w:val="0"/>
                      <w:overflowPunct w:val="0"/>
                      <w:spacing w:before="0" w:beforeAutospacing="0" w:after="0" w:afterAutospacing="0"/>
                      <w:textAlignment w:val="baseline"/>
                    </w:pPr>
                    <w:r>
                      <w:rPr>
                        <w:rFonts w:cstheme="minorBidi"/>
                        <w:color w:val="000000" w:themeColor="text1"/>
                        <w:kern w:val="24"/>
                        <w:sz w:val="32"/>
                        <w:szCs w:val="32"/>
                      </w:rPr>
                      <w:t>Board to Board</w:t>
                    </w:r>
                  </w:p>
                </w:txbxContent>
              </v:textbox>
            </v:shape>
            <w10:wrap type="none"/>
            <w10:anchorlock/>
          </v:group>
        </w:pict>
      </w:r>
    </w:p>
    <w:p w:rsidR="00885840" w:rsidRDefault="00023155" w:rsidP="00023155">
      <w:pPr>
        <w:pStyle w:val="Beschriftung"/>
        <w:jc w:val="center"/>
        <w:rPr>
          <w:color w:val="000000" w:themeColor="text1"/>
        </w:rPr>
      </w:pPr>
      <w:bookmarkStart w:id="13" w:name="_Ref440883743"/>
      <w:r w:rsidRPr="00023155">
        <w:rPr>
          <w:color w:val="000000" w:themeColor="text1"/>
        </w:rPr>
        <w:t xml:space="preserve">Figure </w:t>
      </w:r>
      <w:r w:rsidR="00127CEF" w:rsidRPr="00023155">
        <w:rPr>
          <w:color w:val="000000" w:themeColor="text1"/>
        </w:rPr>
        <w:fldChar w:fldCharType="begin"/>
      </w:r>
      <w:r w:rsidRPr="00023155">
        <w:rPr>
          <w:color w:val="000000" w:themeColor="text1"/>
        </w:rPr>
        <w:instrText xml:space="preserve"> SEQ Figure \* ARABIC </w:instrText>
      </w:r>
      <w:r w:rsidR="00127CEF" w:rsidRPr="00023155">
        <w:rPr>
          <w:color w:val="000000" w:themeColor="text1"/>
        </w:rPr>
        <w:fldChar w:fldCharType="separate"/>
      </w:r>
      <w:r w:rsidR="00C022B9">
        <w:rPr>
          <w:noProof/>
          <w:color w:val="000000" w:themeColor="text1"/>
        </w:rPr>
        <w:t>13</w:t>
      </w:r>
      <w:r w:rsidR="00127CEF" w:rsidRPr="00023155">
        <w:rPr>
          <w:color w:val="000000" w:themeColor="text1"/>
        </w:rPr>
        <w:fldChar w:fldCharType="end"/>
      </w:r>
      <w:bookmarkEnd w:id="13"/>
      <w:r w:rsidRPr="00023155">
        <w:rPr>
          <w:color w:val="000000" w:themeColor="text1"/>
        </w:rPr>
        <w:t>: Operational Modes for Intra-Device Communication</w:t>
      </w:r>
    </w:p>
    <w:p w:rsidR="00E658E9" w:rsidRDefault="00E658E9" w:rsidP="00E658E9">
      <w:pPr>
        <w:pStyle w:val="TextStandard"/>
        <w:ind w:left="708" w:hanging="708"/>
      </w:pPr>
      <w:r>
        <w:t xml:space="preserve">The parameters of the operational modes are summarized in </w:t>
      </w:r>
      <w:r w:rsidR="00127CEF" w:rsidRPr="00127CEF">
        <w:fldChar w:fldCharType="begin"/>
      </w:r>
      <w:r w:rsidR="00202E45">
        <w:instrText xml:space="preserve"> REF _Ref435447681 </w:instrText>
      </w:r>
      <w:r w:rsidR="00127CEF" w:rsidRPr="00127CEF">
        <w:fldChar w:fldCharType="separate"/>
      </w:r>
      <w:r w:rsidR="00C022B9" w:rsidRPr="00737D2B">
        <w:rPr>
          <w:color w:val="000000" w:themeColor="text1"/>
        </w:rPr>
        <w:t xml:space="preserve">Table </w:t>
      </w:r>
      <w:r w:rsidR="00C022B9">
        <w:rPr>
          <w:noProof/>
          <w:color w:val="000000" w:themeColor="text1"/>
        </w:rPr>
        <w:t>1</w:t>
      </w:r>
      <w:r w:rsidR="00127CEF">
        <w:rPr>
          <w:noProof/>
          <w:color w:val="000000" w:themeColor="text1"/>
        </w:rPr>
        <w:fldChar w:fldCharType="end"/>
      </w:r>
    </w:p>
    <w:p w:rsidR="00737D2B" w:rsidRPr="00737D2B" w:rsidRDefault="00737D2B" w:rsidP="00737D2B">
      <w:pPr>
        <w:pStyle w:val="Beschriftung"/>
        <w:keepNext/>
        <w:jc w:val="center"/>
        <w:rPr>
          <w:color w:val="000000" w:themeColor="text1"/>
        </w:rPr>
      </w:pPr>
      <w:bookmarkStart w:id="14" w:name="_Ref435447681"/>
      <w:r w:rsidRPr="00737D2B">
        <w:rPr>
          <w:color w:val="000000" w:themeColor="text1"/>
        </w:rPr>
        <w:t xml:space="preserve">Table </w:t>
      </w:r>
      <w:r w:rsidR="00127CEF" w:rsidRPr="00737D2B">
        <w:rPr>
          <w:color w:val="000000" w:themeColor="text1"/>
        </w:rPr>
        <w:fldChar w:fldCharType="begin"/>
      </w:r>
      <w:r w:rsidRPr="00737D2B">
        <w:rPr>
          <w:color w:val="000000" w:themeColor="text1"/>
        </w:rPr>
        <w:instrText xml:space="preserve"> SEQ Table \* ARABIC </w:instrText>
      </w:r>
      <w:r w:rsidR="00127CEF" w:rsidRPr="00737D2B">
        <w:rPr>
          <w:color w:val="000000" w:themeColor="text1"/>
        </w:rPr>
        <w:fldChar w:fldCharType="separate"/>
      </w:r>
      <w:r w:rsidR="00C022B9">
        <w:rPr>
          <w:noProof/>
          <w:color w:val="000000" w:themeColor="text1"/>
        </w:rPr>
        <w:t>1</w:t>
      </w:r>
      <w:r w:rsidR="00127CEF" w:rsidRPr="00737D2B">
        <w:rPr>
          <w:color w:val="000000" w:themeColor="text1"/>
        </w:rPr>
        <w:fldChar w:fldCharType="end"/>
      </w:r>
      <w:bookmarkEnd w:id="14"/>
      <w:r w:rsidRPr="00737D2B">
        <w:rPr>
          <w:color w:val="000000" w:themeColor="text1"/>
        </w:rPr>
        <w:t>: Parameters of the Intra-Device Operational Modes</w:t>
      </w:r>
    </w:p>
    <w:p w:rsidR="00E658E9" w:rsidRPr="00E658E9" w:rsidRDefault="00E658E9" w:rsidP="00E658E9">
      <w:pPr>
        <w:pStyle w:val="TextStandard"/>
        <w:ind w:left="708" w:hanging="708"/>
      </w:pPr>
      <w:r>
        <w:rPr>
          <w:noProof/>
          <w:lang w:val="de-DE"/>
        </w:rPr>
        <w:drawing>
          <wp:inline distT="0" distB="0" distL="0" distR="0">
            <wp:extent cx="6339058" cy="192405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6343138" cy="1925288"/>
                    </a:xfrm>
                    <a:prstGeom prst="rect">
                      <a:avLst/>
                    </a:prstGeom>
                    <a:noFill/>
                    <a:ln w="9525">
                      <a:noFill/>
                      <a:miter lim="800000"/>
                      <a:headEnd/>
                      <a:tailEnd/>
                    </a:ln>
                    <a:effectLst/>
                  </pic:spPr>
                </pic:pic>
              </a:graphicData>
            </a:graphic>
          </wp:inline>
        </w:drawing>
      </w:r>
    </w:p>
    <w:p w:rsidR="00885840" w:rsidRDefault="00885840" w:rsidP="00885840">
      <w:pPr>
        <w:pStyle w:val="berschrift2"/>
        <w:rPr>
          <w:lang w:val="en-US"/>
        </w:rPr>
      </w:pPr>
      <w:r>
        <w:rPr>
          <w:lang w:val="en-US"/>
        </w:rPr>
        <w:lastRenderedPageBreak/>
        <w:t>Simulation Results</w:t>
      </w:r>
    </w:p>
    <w:p w:rsidR="00DB6EB6" w:rsidRPr="00DB6EB6" w:rsidRDefault="00DB6EB6" w:rsidP="00DB6EB6">
      <w:pPr>
        <w:pStyle w:val="berschrift3"/>
        <w:rPr>
          <w:lang w:val="en-US"/>
        </w:rPr>
      </w:pPr>
      <w:r>
        <w:rPr>
          <w:lang w:val="en-US"/>
        </w:rPr>
        <w:t>Chip-to-Chip Communications</w:t>
      </w:r>
    </w:p>
    <w:p w:rsidR="0019292C" w:rsidRDefault="00127CEF" w:rsidP="0019292C">
      <w:pPr>
        <w:pStyle w:val="TextStandard"/>
        <w:rPr>
          <w:noProof/>
          <w:lang w:val="en-US"/>
        </w:rPr>
      </w:pPr>
      <w:r>
        <w:rPr>
          <w:lang w:val="en-US"/>
        </w:rPr>
        <w:fldChar w:fldCharType="begin"/>
      </w:r>
      <w:r w:rsidR="0019292C">
        <w:rPr>
          <w:lang w:val="en-US"/>
        </w:rPr>
        <w:instrText xml:space="preserve"> REF _Ref435109344 \h </w:instrText>
      </w:r>
      <w:r>
        <w:rPr>
          <w:lang w:val="en-US"/>
        </w:rPr>
      </w:r>
      <w:r>
        <w:rPr>
          <w:lang w:val="en-US"/>
        </w:rPr>
        <w:fldChar w:fldCharType="separate"/>
      </w:r>
      <w:r w:rsidR="00C022B9" w:rsidRPr="00A458D5">
        <w:rPr>
          <w:color w:val="000000" w:themeColor="text1"/>
        </w:rPr>
        <w:t xml:space="preserve">Figure </w:t>
      </w:r>
      <w:r w:rsidR="00C022B9">
        <w:rPr>
          <w:noProof/>
          <w:color w:val="000000" w:themeColor="text1"/>
        </w:rPr>
        <w:t>14</w:t>
      </w:r>
      <w:r>
        <w:rPr>
          <w:lang w:val="en-US"/>
        </w:rPr>
        <w:fldChar w:fldCharType="end"/>
      </w:r>
      <w:r w:rsidR="0019292C">
        <w:rPr>
          <w:lang w:val="en-US"/>
        </w:rPr>
        <w:t xml:space="preserve"> and </w:t>
      </w:r>
      <w:r>
        <w:rPr>
          <w:lang w:val="en-US"/>
        </w:rPr>
        <w:fldChar w:fldCharType="begin"/>
      </w:r>
      <w:r w:rsidR="0019292C">
        <w:rPr>
          <w:lang w:val="en-US"/>
        </w:rPr>
        <w:instrText xml:space="preserve"> REF _Ref435104556 \h </w:instrText>
      </w:r>
      <w:r>
        <w:rPr>
          <w:lang w:val="en-US"/>
        </w:rPr>
      </w:r>
      <w:r>
        <w:rPr>
          <w:lang w:val="en-US"/>
        </w:rPr>
        <w:fldChar w:fldCharType="separate"/>
      </w:r>
      <w:r w:rsidR="00C022B9" w:rsidRPr="00A458D5">
        <w:rPr>
          <w:color w:val="000000" w:themeColor="text1"/>
        </w:rPr>
        <w:t xml:space="preserve">Figure </w:t>
      </w:r>
      <w:r w:rsidR="00C022B9">
        <w:rPr>
          <w:noProof/>
          <w:color w:val="000000" w:themeColor="text1"/>
        </w:rPr>
        <w:t>15</w:t>
      </w:r>
      <w:r>
        <w:rPr>
          <w:lang w:val="en-US"/>
        </w:rPr>
        <w:fldChar w:fldCharType="end"/>
      </w:r>
      <w:r w:rsidR="0019292C">
        <w:rPr>
          <w:lang w:val="en-US"/>
        </w:rPr>
        <w:t xml:space="preserve"> present the mean path loss over distance for the two different operational modes</w:t>
      </w:r>
      <w:r w:rsidR="00DB6EB6">
        <w:rPr>
          <w:lang w:val="en-US"/>
        </w:rPr>
        <w:t xml:space="preserve"> (LOS and NLOS)</w:t>
      </w:r>
      <w:r w:rsidR="0019292C">
        <w:rPr>
          <w:lang w:val="en-US"/>
        </w:rPr>
        <w:t xml:space="preserve"> and polarizations. </w:t>
      </w:r>
      <w:r w:rsidR="0019292C">
        <w:rPr>
          <w:noProof/>
          <w:lang w:val="en-US"/>
        </w:rPr>
        <w:t xml:space="preserve">Again, a numerically fitted function describing the relationship between the separation between Tx and Rx and the observed path losses is shown. </w:t>
      </w:r>
    </w:p>
    <w:p w:rsidR="0019292C" w:rsidRDefault="00B6229F" w:rsidP="0019292C">
      <w:pPr>
        <w:pStyle w:val="TextStandard"/>
        <w:rPr>
          <w:lang w:val="en-US"/>
        </w:rPr>
      </w:pPr>
      <w:r>
        <w:rPr>
          <w:noProof/>
          <w:lang w:val="en-US"/>
        </w:rPr>
        <w:t>The</w:t>
      </w:r>
      <w:r w:rsidR="0019292C">
        <w:rPr>
          <w:noProof/>
          <w:lang w:val="en-US"/>
        </w:rPr>
        <w:t xml:space="preserve"> path-loss of the main signal follows a log-distance dependent behaviour under LOS conditions. This behaviour is illustrated in </w:t>
      </w:r>
      <w:r w:rsidR="00127CEF">
        <w:rPr>
          <w:noProof/>
          <w:lang w:val="en-US"/>
        </w:rPr>
        <w:fldChar w:fldCharType="begin"/>
      </w:r>
      <w:r w:rsidR="0019292C">
        <w:rPr>
          <w:noProof/>
          <w:lang w:val="en-US"/>
        </w:rPr>
        <w:instrText xml:space="preserve"> REF _Ref435109344 \h </w:instrText>
      </w:r>
      <w:r w:rsidR="00127CEF">
        <w:rPr>
          <w:noProof/>
          <w:lang w:val="en-US"/>
        </w:rPr>
      </w:r>
      <w:r w:rsidR="00127CEF">
        <w:rPr>
          <w:noProof/>
          <w:lang w:val="en-US"/>
        </w:rPr>
        <w:fldChar w:fldCharType="separate"/>
      </w:r>
      <w:r w:rsidR="00C022B9" w:rsidRPr="00A458D5">
        <w:rPr>
          <w:color w:val="000000" w:themeColor="text1"/>
        </w:rPr>
        <w:t xml:space="preserve">Figure </w:t>
      </w:r>
      <w:r w:rsidR="00C022B9">
        <w:rPr>
          <w:noProof/>
          <w:color w:val="000000" w:themeColor="text1"/>
        </w:rPr>
        <w:t>14</w:t>
      </w:r>
      <w:r w:rsidR="00127CEF">
        <w:rPr>
          <w:noProof/>
          <w:lang w:val="en-US"/>
        </w:rPr>
        <w:fldChar w:fldCharType="end"/>
      </w:r>
      <w:r w:rsidR="0019292C">
        <w:rPr>
          <w:noProof/>
          <w:lang w:val="en-US"/>
        </w:rPr>
        <w:t xml:space="preserve">. </w:t>
      </w:r>
    </w:p>
    <w:p w:rsidR="0019292C" w:rsidRDefault="00127CEF" w:rsidP="0019292C">
      <w:pPr>
        <w:pStyle w:val="TextStandard"/>
        <w:keepNext/>
      </w:pPr>
      <w:r w:rsidRPr="00127CEF">
        <w:rPr>
          <w:noProof/>
          <w:lang w:val="en-US" w:eastAsia="en-US"/>
        </w:rPr>
        <w:pict>
          <v:shape id="Text Box 42" o:spid="_x0000_s1037" type="#_x0000_t202" style="position:absolute;left:0;text-align:left;margin-left:247.75pt;margin-top:174.9pt;width:23.75pt;height:19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v+hgIAABc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" stroked="f">
            <v:textbox>
              <w:txbxContent>
                <w:p w:rsidR="00202E45" w:rsidRDefault="00202E45" w:rsidP="0019292C">
                  <w:pPr>
                    <w:rPr>
                      <w:lang w:val="de-DE"/>
                    </w:rPr>
                  </w:pPr>
                  <w:r>
                    <w:rPr>
                      <w:lang w:val="de-DE"/>
                    </w:rPr>
                    <w:t>b)</w:t>
                  </w:r>
                </w:p>
              </w:txbxContent>
            </v:textbox>
          </v:shape>
        </w:pict>
      </w:r>
      <w:r w:rsidRPr="00127CEF">
        <w:rPr>
          <w:noProof/>
          <w:lang w:val="en-US" w:eastAsia="en-US"/>
        </w:rPr>
        <w:pict>
          <v:shape id="Text Box 38" o:spid="_x0000_s1038" type="#_x0000_t202" style="position:absolute;left:0;text-align:left;margin-left:21.55pt;margin-top:174.9pt;width:23.7pt;height:19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" stroked="f">
            <v:textbox>
              <w:txbxContent>
                <w:p w:rsidR="00202E45" w:rsidRDefault="00202E45" w:rsidP="0019292C">
                  <w:pPr>
                    <w:rPr>
                      <w:lang w:val="de-DE"/>
                    </w:rPr>
                  </w:pPr>
                  <w:r>
                    <w:rPr>
                      <w:lang w:val="de-DE"/>
                    </w:rPr>
                    <w:t>a)</w:t>
                  </w:r>
                </w:p>
              </w:txbxContent>
            </v:textbox>
          </v:shape>
        </w:pict>
      </w:r>
      <w:r w:rsidR="0019292C">
        <w:rPr>
          <w:noProof/>
          <w:lang w:val="de-DE"/>
        </w:rPr>
        <w:drawing>
          <wp:inline distT="0" distB="0" distL="0" distR="0">
            <wp:extent cx="2844000" cy="2489603"/>
            <wp:effectExtent l="19050" t="0" r="0" b="0"/>
            <wp:docPr id="88"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l="5023" r="9237"/>
                    <a:stretch>
                      <a:fillRect/>
                    </a:stretch>
                  </pic:blipFill>
                  <pic:spPr bwMode="auto">
                    <a:xfrm>
                      <a:off x="0" y="0"/>
                      <a:ext cx="2844000" cy="2489603"/>
                    </a:xfrm>
                    <a:prstGeom prst="rect">
                      <a:avLst/>
                    </a:prstGeom>
                    <a:noFill/>
                    <a:ln w="9525">
                      <a:noFill/>
                      <a:miter lim="800000"/>
                      <a:headEnd/>
                      <a:tailEnd/>
                    </a:ln>
                  </pic:spPr>
                </pic:pic>
              </a:graphicData>
            </a:graphic>
          </wp:inline>
        </w:drawing>
      </w:r>
      <w:r w:rsidR="0019292C">
        <w:rPr>
          <w:noProof/>
          <w:lang w:val="de-DE"/>
        </w:rPr>
        <w:drawing>
          <wp:inline distT="0" distB="0" distL="0" distR="0">
            <wp:extent cx="2844000" cy="2489316"/>
            <wp:effectExtent l="19050" t="0" r="0" b="0"/>
            <wp:docPr id="87"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l="5024" r="9223"/>
                    <a:stretch>
                      <a:fillRect/>
                    </a:stretch>
                  </pic:blipFill>
                  <pic:spPr bwMode="auto">
                    <a:xfrm>
                      <a:off x="0" y="0"/>
                      <a:ext cx="2844000" cy="2489316"/>
                    </a:xfrm>
                    <a:prstGeom prst="rect">
                      <a:avLst/>
                    </a:prstGeom>
                    <a:noFill/>
                    <a:ln w="9525">
                      <a:noFill/>
                      <a:miter lim="800000"/>
                      <a:headEnd/>
                      <a:tailEnd/>
                    </a:ln>
                  </pic:spPr>
                </pic:pic>
              </a:graphicData>
            </a:graphic>
          </wp:inline>
        </w:drawing>
      </w:r>
    </w:p>
    <w:p w:rsidR="0019292C" w:rsidRDefault="0019292C" w:rsidP="0019292C">
      <w:pPr>
        <w:pStyle w:val="Beschriftung"/>
        <w:jc w:val="center"/>
        <w:rPr>
          <w:color w:val="000000" w:themeColor="text1"/>
        </w:rPr>
      </w:pPr>
      <w:bookmarkStart w:id="15" w:name="_Ref435109344"/>
      <w:r w:rsidRPr="00A458D5">
        <w:rPr>
          <w:color w:val="000000" w:themeColor="text1"/>
        </w:rPr>
        <w:t xml:space="preserve">Figure </w:t>
      </w:r>
      <w:r w:rsidR="00127CEF" w:rsidRPr="00A458D5">
        <w:rPr>
          <w:color w:val="000000" w:themeColor="text1"/>
        </w:rPr>
        <w:fldChar w:fldCharType="begin"/>
      </w:r>
      <w:r w:rsidRPr="00A458D5">
        <w:rPr>
          <w:color w:val="000000" w:themeColor="text1"/>
        </w:rPr>
        <w:instrText xml:space="preserve"> SEQ Figure \* ARABIC </w:instrText>
      </w:r>
      <w:r w:rsidR="00127CEF" w:rsidRPr="00A458D5">
        <w:rPr>
          <w:color w:val="000000" w:themeColor="text1"/>
        </w:rPr>
        <w:fldChar w:fldCharType="separate"/>
      </w:r>
      <w:r w:rsidR="00C022B9">
        <w:rPr>
          <w:noProof/>
          <w:color w:val="000000" w:themeColor="text1"/>
        </w:rPr>
        <w:t>14</w:t>
      </w:r>
      <w:r w:rsidR="00127CEF" w:rsidRPr="00A458D5">
        <w:rPr>
          <w:color w:val="000000" w:themeColor="text1"/>
        </w:rPr>
        <w:fldChar w:fldCharType="end"/>
      </w:r>
      <w:bookmarkEnd w:id="15"/>
      <w:r w:rsidRPr="00A458D5">
        <w:rPr>
          <w:color w:val="000000" w:themeColor="text1"/>
        </w:rPr>
        <w:t>: Mean Path Loss for Chip to Chip Communications under LOS condition</w:t>
      </w:r>
      <w:r>
        <w:rPr>
          <w:color w:val="000000" w:themeColor="text1"/>
        </w:rPr>
        <w:br/>
        <w:t>a) Linear Vertical Polarization b) Left-Hand Circular Polarization</w:t>
      </w:r>
    </w:p>
    <w:p w:rsidR="00393126" w:rsidRDefault="0019292C" w:rsidP="0019292C">
      <w:pPr>
        <w:pStyle w:val="TextStandard"/>
      </w:pPr>
      <w:r>
        <w:t>For modelling the path loss of chip to chip communications under LOS conditions, the relationship</w:t>
      </w:r>
      <w:r w:rsidR="00393126">
        <w:t xml:space="preserve"> between the path</w:t>
      </w:r>
      <w:r w:rsidR="00DB6EB6">
        <w:t xml:space="preserve"> </w:t>
      </w:r>
      <w:r w:rsidR="00393126">
        <w:t>loss and the distance is</w:t>
      </w:r>
      <w:r>
        <w:t xml:space="preserve"> defined </w:t>
      </w:r>
      <w:r w:rsidR="00393126">
        <w:t xml:space="preserve">as follows: </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
        <w:gridCol w:w="7114"/>
        <w:gridCol w:w="1431"/>
      </w:tblGrid>
      <w:tr w:rsidR="00393126" w:rsidTr="00393126">
        <w:trPr>
          <w:trHeight w:val="680"/>
        </w:trPr>
        <w:tc>
          <w:tcPr>
            <w:tcW w:w="527" w:type="dxa"/>
            <w:vAlign w:val="center"/>
          </w:tcPr>
          <w:p w:rsidR="00393126" w:rsidRDefault="00393126" w:rsidP="007E5D75">
            <w:pPr>
              <w:contextualSpacing/>
              <w:rPr>
                <w:sz w:val="24"/>
              </w:rPr>
            </w:pPr>
          </w:p>
        </w:tc>
        <w:tc>
          <w:tcPr>
            <w:tcW w:w="7114" w:type="dxa"/>
            <w:vAlign w:val="center"/>
          </w:tcPr>
          <w:p w:rsidR="00393126" w:rsidRDefault="00127CEF" w:rsidP="007E5D75">
            <w:pPr>
              <w:contextualSpacing/>
              <w:rPr>
                <w:sz w:val="24"/>
              </w:rPr>
            </w:pPr>
            <m:oMathPara>
              <m:oMath>
                <m:sSub>
                  <m:sSubPr>
                    <m:ctrlPr>
                      <w:rPr>
                        <w:rFonts w:ascii="Cambria Math" w:hAnsi="Cambria Math"/>
                        <w:i/>
                        <w:sz w:val="24"/>
                      </w:rPr>
                    </m:ctrlPr>
                  </m:sSubPr>
                  <m:e>
                    <m:r>
                      <w:rPr>
                        <w:rFonts w:ascii="Cambria Math" w:hAnsi="Cambria Math"/>
                        <w:sz w:val="24"/>
                      </w:rPr>
                      <m:t>PL(d[m])</m:t>
                    </m:r>
                  </m:e>
                  <m:sub>
                    <m:r>
                      <w:rPr>
                        <w:rFonts w:ascii="Cambria Math" w:hAnsi="Cambria Math"/>
                        <w:sz w:val="24"/>
                      </w:rPr>
                      <m:t>total</m:t>
                    </m:r>
                  </m:sub>
                </m:sSub>
                <m:d>
                  <m:dPr>
                    <m:begChr m:val="["/>
                    <m:endChr m:val="]"/>
                    <m:ctrlPr>
                      <w:rPr>
                        <w:rFonts w:ascii="Cambria Math" w:hAnsi="Cambria Math"/>
                        <w:i/>
                        <w:sz w:val="24"/>
                      </w:rPr>
                    </m:ctrlPr>
                  </m:dPr>
                  <m:e>
                    <m:r>
                      <w:rPr>
                        <w:rFonts w:ascii="Cambria Math" w:hAnsi="Cambria Math"/>
                        <w:sz w:val="24"/>
                      </w:rPr>
                      <m:t>dB</m:t>
                    </m:r>
                  </m:e>
                </m:d>
                <m:r>
                  <w:rPr>
                    <w:rFonts w:ascii="Cambria Math" w:hAnsi="Cambria Math"/>
                    <w:sz w:val="24"/>
                  </w:rPr>
                  <m:t>=</m:t>
                </m:r>
                <m:sSub>
                  <m:sSubPr>
                    <m:ctrlPr>
                      <w:rPr>
                        <w:rFonts w:ascii="Cambria Math" w:hAnsi="Cambria Math"/>
                        <w:i/>
                        <w:sz w:val="24"/>
                      </w:rPr>
                    </m:ctrlPr>
                  </m:sSubPr>
                  <m:e>
                    <m:r>
                      <w:rPr>
                        <w:rFonts w:ascii="Cambria Math" w:hAnsi="Cambria Math"/>
                        <w:sz w:val="24"/>
                      </w:rPr>
                      <m:t>PL</m:t>
                    </m:r>
                  </m:e>
                  <m:sub>
                    <m:sSub>
                      <m:sSubPr>
                        <m:ctrlPr>
                          <w:rPr>
                            <w:rFonts w:ascii="Cambria Math" w:hAnsi="Cambria Math"/>
                            <w:i/>
                            <w:sz w:val="24"/>
                          </w:rPr>
                        </m:ctrlPr>
                      </m:sSubPr>
                      <m:e>
                        <m:r>
                          <w:rPr>
                            <w:rFonts w:ascii="Cambria Math" w:hAnsi="Cambria Math"/>
                            <w:sz w:val="24"/>
                          </w:rPr>
                          <m:t>d</m:t>
                        </m:r>
                      </m:e>
                      <m:sub>
                        <m:r>
                          <w:rPr>
                            <w:rFonts w:ascii="Cambria Math" w:hAnsi="Cambria Math"/>
                            <w:sz w:val="24"/>
                          </w:rPr>
                          <m:t>0</m:t>
                        </m:r>
                      </m:sub>
                    </m:sSub>
                  </m:sub>
                </m:sSub>
                <m:d>
                  <m:dPr>
                    <m:begChr m:val="["/>
                    <m:endChr m:val="]"/>
                    <m:ctrlPr>
                      <w:rPr>
                        <w:rFonts w:ascii="Cambria Math" w:hAnsi="Cambria Math"/>
                        <w:i/>
                        <w:sz w:val="24"/>
                      </w:rPr>
                    </m:ctrlPr>
                  </m:dPr>
                  <m:e>
                    <m:r>
                      <w:rPr>
                        <w:rFonts w:ascii="Cambria Math" w:hAnsi="Cambria Math"/>
                        <w:sz w:val="24"/>
                      </w:rPr>
                      <m:t>dB</m:t>
                    </m:r>
                  </m:e>
                </m:d>
                <m:r>
                  <w:rPr>
                    <w:rFonts w:ascii="Cambria Math" w:hAnsi="Cambria Math"/>
                    <w:sz w:val="24"/>
                  </w:rPr>
                  <m:t>+10∙γ∙</m:t>
                </m:r>
                <m:sSub>
                  <m:sSubPr>
                    <m:ctrlPr>
                      <w:rPr>
                        <w:rFonts w:ascii="Cambria Math" w:hAnsi="Cambria Math"/>
                        <w:i/>
                        <w:sz w:val="24"/>
                      </w:rPr>
                    </m:ctrlPr>
                  </m:sSubPr>
                  <m:e>
                    <m:r>
                      <w:rPr>
                        <w:rFonts w:ascii="Cambria Math" w:hAnsi="Cambria Math"/>
                        <w:sz w:val="24"/>
                      </w:rPr>
                      <m:t>log</m:t>
                    </m:r>
                  </m:e>
                  <m:sub>
                    <m:r>
                      <w:rPr>
                        <w:rFonts w:ascii="Cambria Math" w:hAnsi="Cambria Math"/>
                        <w:sz w:val="24"/>
                      </w:rPr>
                      <m:t>10</m:t>
                    </m:r>
                  </m:sub>
                </m:sSub>
                <m:d>
                  <m:dPr>
                    <m:ctrlPr>
                      <w:rPr>
                        <w:rFonts w:ascii="Cambria Math" w:hAnsi="Cambria Math"/>
                        <w:i/>
                        <w:sz w:val="24"/>
                      </w:rPr>
                    </m:ctrlPr>
                  </m:dPr>
                  <m:e>
                    <m:f>
                      <m:fPr>
                        <m:ctrlPr>
                          <w:rPr>
                            <w:rFonts w:ascii="Cambria Math" w:hAnsi="Cambria Math"/>
                            <w:i/>
                            <w:sz w:val="24"/>
                          </w:rPr>
                        </m:ctrlPr>
                      </m:fPr>
                      <m:num>
                        <m:r>
                          <w:rPr>
                            <w:rFonts w:ascii="Cambria Math" w:hAnsi="Cambria Math"/>
                            <w:sz w:val="24"/>
                          </w:rPr>
                          <m:t>d</m:t>
                        </m:r>
                        <m:d>
                          <m:dPr>
                            <m:begChr m:val="["/>
                            <m:endChr m:val="]"/>
                            <m:ctrlPr>
                              <w:rPr>
                                <w:rFonts w:ascii="Cambria Math" w:hAnsi="Cambria Math"/>
                                <w:i/>
                                <w:sz w:val="24"/>
                              </w:rPr>
                            </m:ctrlPr>
                          </m:dPr>
                          <m:e>
                            <m:r>
                              <w:rPr>
                                <w:rFonts w:ascii="Cambria Math" w:hAnsi="Cambria Math"/>
                                <w:sz w:val="24"/>
                              </w:rPr>
                              <m:t>m</m:t>
                            </m:r>
                          </m:e>
                        </m:d>
                      </m:num>
                      <m:den>
                        <m:sSub>
                          <m:sSubPr>
                            <m:ctrlPr>
                              <w:rPr>
                                <w:rFonts w:ascii="Cambria Math" w:hAnsi="Cambria Math"/>
                                <w:i/>
                                <w:sz w:val="24"/>
                              </w:rPr>
                            </m:ctrlPr>
                          </m:sSubPr>
                          <m:e>
                            <m:r>
                              <w:rPr>
                                <w:rFonts w:ascii="Cambria Math" w:hAnsi="Cambria Math"/>
                                <w:sz w:val="24"/>
                              </w:rPr>
                              <m:t>d</m:t>
                            </m:r>
                          </m:e>
                          <m:sub>
                            <m:r>
                              <w:rPr>
                                <w:rFonts w:ascii="Cambria Math" w:hAnsi="Cambria Math"/>
                                <w:sz w:val="24"/>
                              </w:rPr>
                              <m:t>0</m:t>
                            </m:r>
                          </m:sub>
                        </m:sSub>
                        <m:d>
                          <m:dPr>
                            <m:begChr m:val="["/>
                            <m:endChr m:val="]"/>
                            <m:ctrlPr>
                              <w:rPr>
                                <w:rFonts w:ascii="Cambria Math" w:hAnsi="Cambria Math"/>
                                <w:i/>
                                <w:sz w:val="24"/>
                              </w:rPr>
                            </m:ctrlPr>
                          </m:dPr>
                          <m:e>
                            <m:r>
                              <w:rPr>
                                <w:rFonts w:ascii="Cambria Math" w:hAnsi="Cambria Math"/>
                                <w:sz w:val="24"/>
                              </w:rPr>
                              <m:t>m</m:t>
                            </m:r>
                          </m:e>
                        </m:d>
                      </m:den>
                    </m:f>
                  </m:e>
                </m:d>
                <m:r>
                  <w:rPr>
                    <w:rFonts w:ascii="Cambria Math" w:hAnsi="Cambria Math"/>
                    <w:sz w:val="24"/>
                  </w:rPr>
                  <m:t>+</m:t>
                </m:r>
                <m:sSub>
                  <m:sSubPr>
                    <m:ctrlPr>
                      <w:rPr>
                        <w:rFonts w:ascii="Cambria Math" w:hAnsi="Cambria Math"/>
                        <w:i/>
                        <w:sz w:val="24"/>
                      </w:rPr>
                    </m:ctrlPr>
                  </m:sSubPr>
                  <m:e>
                    <m:r>
                      <w:rPr>
                        <w:rFonts w:ascii="Cambria Math" w:hAnsi="Cambria Math"/>
                        <w:sz w:val="24"/>
                      </w:rPr>
                      <m:t>χ</m:t>
                    </m:r>
                  </m:e>
                  <m:sub>
                    <m:r>
                      <w:rPr>
                        <w:rFonts w:ascii="Cambria Math" w:hAnsi="Cambria Math"/>
                        <w:sz w:val="24"/>
                      </w:rPr>
                      <m:t>g</m:t>
                    </m:r>
                  </m:sub>
                </m:sSub>
              </m:oMath>
            </m:oMathPara>
          </w:p>
        </w:tc>
        <w:tc>
          <w:tcPr>
            <w:tcW w:w="1431" w:type="dxa"/>
            <w:vAlign w:val="center"/>
          </w:tcPr>
          <w:p w:rsidR="00393126" w:rsidRDefault="00C022B9" w:rsidP="007E5D75">
            <w:pPr>
              <w:contextualSpacing/>
              <w:jc w:val="right"/>
              <w:rPr>
                <w:sz w:val="24"/>
              </w:rPr>
            </w:pPr>
            <w:r>
              <w:rPr>
                <w:sz w:val="24"/>
              </w:rPr>
              <w:t>(7)</w:t>
            </w:r>
          </w:p>
        </w:tc>
      </w:tr>
    </w:tbl>
    <w:p w:rsidR="00393126" w:rsidRDefault="00393126" w:rsidP="00393126">
      <w:pPr>
        <w:pStyle w:val="TextStandard"/>
      </w:pPr>
    </w:p>
    <w:p w:rsidR="00393126" w:rsidRDefault="00393126" w:rsidP="00393126">
      <w:pPr>
        <w:pStyle w:val="TextStandard"/>
      </w:pPr>
      <w:r>
        <w:rPr>
          <w:lang w:val="en-US"/>
        </w:rPr>
        <w:t xml:space="preserve">In this expression, </w:t>
      </w:r>
      <m:oMath>
        <m:sSub>
          <m:sSubPr>
            <m:ctrlPr>
              <w:rPr>
                <w:rFonts w:ascii="Cambria Math" w:hAnsi="Cambria Math"/>
                <w:i/>
              </w:rPr>
            </m:ctrlPr>
          </m:sSubPr>
          <m:e>
            <m:r>
              <w:rPr>
                <w:rFonts w:ascii="Cambria Math" w:hAnsi="Cambria Math"/>
              </w:rPr>
              <m:t>PL</m:t>
            </m:r>
          </m:e>
          <m:sub>
            <m:r>
              <w:rPr>
                <w:rFonts w:ascii="Cambria Math" w:hAnsi="Cambria Math"/>
              </w:rPr>
              <m:t>total</m:t>
            </m:r>
          </m:sub>
        </m:sSub>
      </m:oMath>
      <w:r>
        <w:t xml:space="preserve"> </w:t>
      </w:r>
      <w:r>
        <w:rPr>
          <w:lang w:val="en-US"/>
        </w:rPr>
        <w:t xml:space="preserve">is the total path loss, </w:t>
      </w:r>
      <m:oMath>
        <m:sSub>
          <m:sSubPr>
            <m:ctrlPr>
              <w:rPr>
                <w:rFonts w:ascii="Cambria Math" w:hAnsi="Cambria Math"/>
                <w:i/>
                <w:szCs w:val="22"/>
              </w:rPr>
            </m:ctrlPr>
          </m:sSubPr>
          <m:e>
            <m:r>
              <w:rPr>
                <w:rFonts w:ascii="Cambria Math" w:hAnsi="Cambria Math"/>
              </w:rPr>
              <m:t>PL</m:t>
            </m:r>
          </m:e>
          <m:sub>
            <m:sSub>
              <m:sSubPr>
                <m:ctrlPr>
                  <w:rPr>
                    <w:rFonts w:ascii="Cambria Math" w:hAnsi="Cambria Math"/>
                    <w:i/>
                    <w:szCs w:val="22"/>
                  </w:rPr>
                </m:ctrlPr>
              </m:sSubPr>
              <m:e>
                <m:r>
                  <w:rPr>
                    <w:rFonts w:ascii="Cambria Math" w:hAnsi="Cambria Math"/>
                  </w:rPr>
                  <m:t>d</m:t>
                </m:r>
              </m:e>
              <m:sub>
                <m:r>
                  <w:rPr>
                    <w:rFonts w:ascii="Cambria Math" w:hAnsi="Cambria Math"/>
                  </w:rPr>
                  <m:t>0</m:t>
                </m:r>
              </m:sub>
            </m:sSub>
          </m:sub>
        </m:sSub>
      </m:oMath>
      <w:r>
        <w:rPr>
          <w:szCs w:val="22"/>
        </w:rPr>
        <w:t xml:space="preserve"> </w:t>
      </w:r>
      <w:r>
        <w:rPr>
          <w:lang w:val="en-US"/>
        </w:rPr>
        <w:t xml:space="preserve">is the path loss at the reference </w:t>
      </w:r>
      <w:r w:rsidR="00341BC0">
        <w:rPr>
          <w:lang w:val="en-US"/>
        </w:rPr>
        <w:t xml:space="preserve">distance </w:t>
      </w:r>
      <m:oMath>
        <m:sSub>
          <m:sSubPr>
            <m:ctrlPr>
              <w:rPr>
                <w:rFonts w:ascii="Cambria Math" w:hAnsi="Cambria Math"/>
                <w:i/>
                <w:szCs w:val="22"/>
              </w:rPr>
            </m:ctrlPr>
          </m:sSubPr>
          <m:e>
            <m:r>
              <w:rPr>
                <w:rFonts w:ascii="Cambria Math" w:hAnsi="Cambria Math"/>
              </w:rPr>
              <m:t>d</m:t>
            </m:r>
          </m:e>
          <m:sub>
            <m:r>
              <w:rPr>
                <w:rFonts w:ascii="Cambria Math" w:hAnsi="Cambria Math"/>
              </w:rPr>
              <m:t>0</m:t>
            </m:r>
          </m:sub>
        </m:sSub>
      </m:oMath>
      <w:r>
        <w:rPr>
          <w:lang w:val="en-US"/>
        </w:rPr>
        <w:t xml:space="preserve">, </w:t>
      </w:r>
      <m:oMath>
        <m:r>
          <w:rPr>
            <w:rFonts w:ascii="Cambria Math" w:hAnsi="Cambria Math"/>
          </w:rPr>
          <m:t>γ</m:t>
        </m:r>
      </m:oMath>
      <w:r>
        <w:rPr>
          <w:lang w:val="en-US"/>
        </w:rPr>
        <w:t xml:space="preserve"> is the path loss exponent, </w:t>
      </w:r>
      <m:oMath>
        <m:r>
          <w:rPr>
            <w:rFonts w:ascii="Cambria Math" w:hAnsi="Cambria Math"/>
          </w:rPr>
          <m:t>d</m:t>
        </m:r>
      </m:oMath>
      <w:r>
        <w:rPr>
          <w:lang w:val="en-US"/>
        </w:rPr>
        <w:t xml:space="preserve"> is the distance at which the expression is evaluated and </w:t>
      </w:r>
      <m:oMath>
        <m:sSub>
          <m:sSubPr>
            <m:ctrlPr>
              <w:rPr>
                <w:rFonts w:ascii="Cambria Math" w:hAnsi="Cambria Math"/>
                <w:i/>
                <w:szCs w:val="22"/>
              </w:rPr>
            </m:ctrlPr>
          </m:sSubPr>
          <m:e>
            <m:r>
              <w:rPr>
                <w:rFonts w:ascii="Cambria Math" w:hAnsi="Cambria Math"/>
              </w:rPr>
              <m:t>χ</m:t>
            </m:r>
          </m:e>
          <m:sub>
            <m:r>
              <w:rPr>
                <w:rFonts w:ascii="Cambria Math" w:hAnsi="Cambria Math"/>
              </w:rPr>
              <m:t>g</m:t>
            </m:r>
          </m:sub>
        </m:sSub>
      </m:oMath>
      <w:r>
        <w:rPr>
          <w:szCs w:val="22"/>
        </w:rPr>
        <w:t xml:space="preserve"> is a normally distributed random variable with zero mean.</w:t>
      </w:r>
    </w:p>
    <w:p w:rsidR="0019292C" w:rsidRPr="0088601D" w:rsidRDefault="0019292C" w:rsidP="0019292C">
      <w:pPr>
        <w:pStyle w:val="TextStandard"/>
      </w:pPr>
      <w:r>
        <w:t xml:space="preserve">The corresponding parameters of the equation are listed in </w:t>
      </w:r>
      <w:r w:rsidR="00127CEF">
        <w:fldChar w:fldCharType="begin"/>
      </w:r>
      <w:r>
        <w:instrText xml:space="preserve"> REF _Ref435109712 \h </w:instrText>
      </w:r>
      <w:r w:rsidR="00127CEF">
        <w:fldChar w:fldCharType="separate"/>
      </w:r>
      <w:r w:rsidR="00C022B9" w:rsidRPr="0088601D">
        <w:rPr>
          <w:color w:val="000000" w:themeColor="text1"/>
        </w:rPr>
        <w:t xml:space="preserve">Table </w:t>
      </w:r>
      <w:r w:rsidR="00C022B9">
        <w:rPr>
          <w:noProof/>
          <w:color w:val="000000" w:themeColor="text1"/>
        </w:rPr>
        <w:t>2</w:t>
      </w:r>
      <w:r w:rsidR="00127CEF">
        <w:fldChar w:fldCharType="end"/>
      </w:r>
      <w:r>
        <w:t>.</w:t>
      </w:r>
    </w:p>
    <w:p w:rsidR="0019292C" w:rsidRPr="0088601D" w:rsidRDefault="0019292C" w:rsidP="0019292C">
      <w:pPr>
        <w:pStyle w:val="Beschriftung"/>
        <w:keepNext/>
        <w:jc w:val="center"/>
        <w:rPr>
          <w:color w:val="000000" w:themeColor="text1"/>
        </w:rPr>
      </w:pPr>
      <w:bookmarkStart w:id="16" w:name="_Ref435109712"/>
      <w:r w:rsidRPr="0088601D">
        <w:rPr>
          <w:color w:val="000000" w:themeColor="text1"/>
        </w:rPr>
        <w:lastRenderedPageBreak/>
        <w:t xml:space="preserve">Table </w:t>
      </w:r>
      <w:r w:rsidR="00127CEF" w:rsidRPr="0088601D">
        <w:rPr>
          <w:color w:val="000000" w:themeColor="text1"/>
        </w:rPr>
        <w:fldChar w:fldCharType="begin"/>
      </w:r>
      <w:r w:rsidRPr="0088601D">
        <w:rPr>
          <w:color w:val="000000" w:themeColor="text1"/>
        </w:rPr>
        <w:instrText xml:space="preserve"> SEQ Table \* ARABIC </w:instrText>
      </w:r>
      <w:r w:rsidR="00127CEF" w:rsidRPr="0088601D">
        <w:rPr>
          <w:color w:val="000000" w:themeColor="text1"/>
        </w:rPr>
        <w:fldChar w:fldCharType="separate"/>
      </w:r>
      <w:r w:rsidR="00C022B9">
        <w:rPr>
          <w:noProof/>
          <w:color w:val="000000" w:themeColor="text1"/>
        </w:rPr>
        <w:t>2</w:t>
      </w:r>
      <w:r w:rsidR="00127CEF" w:rsidRPr="0088601D">
        <w:rPr>
          <w:color w:val="000000" w:themeColor="text1"/>
        </w:rPr>
        <w:fldChar w:fldCharType="end"/>
      </w:r>
      <w:bookmarkEnd w:id="16"/>
      <w:r w:rsidRPr="0088601D">
        <w:rPr>
          <w:color w:val="000000" w:themeColor="text1"/>
        </w:rPr>
        <w:t>: Parameters of the Path Loss Model for Chip to Chip Communications under LOS Conditions</w:t>
      </w:r>
    </w:p>
    <w:tbl>
      <w:tblPr>
        <w:tblStyle w:val="Tabellengitternetz"/>
        <w:tblW w:w="0" w:type="auto"/>
        <w:tblLook w:val="04A0"/>
      </w:tblPr>
      <w:tblGrid>
        <w:gridCol w:w="2376"/>
        <w:gridCol w:w="1728"/>
        <w:gridCol w:w="1728"/>
        <w:gridCol w:w="1728"/>
        <w:gridCol w:w="1728"/>
      </w:tblGrid>
      <w:tr w:rsidR="0019292C" w:rsidTr="00202E45">
        <w:trPr>
          <w:trHeight w:val="285"/>
        </w:trPr>
        <w:tc>
          <w:tcPr>
            <w:tcW w:w="2376" w:type="dxa"/>
          </w:tcPr>
          <w:p w:rsidR="0019292C" w:rsidRPr="00584198" w:rsidRDefault="0019292C" w:rsidP="00202E45">
            <w:pPr>
              <w:pStyle w:val="TextStandard"/>
              <w:spacing w:after="240" w:line="240" w:lineRule="auto"/>
              <w:contextualSpacing/>
              <w:jc w:val="center"/>
              <w:rPr>
                <w:b/>
                <w:lang w:val="en-US"/>
              </w:rPr>
            </w:pPr>
            <w:r w:rsidRPr="00584198">
              <w:rPr>
                <w:b/>
                <w:lang w:val="en-US"/>
              </w:rPr>
              <w:t>Scenario</w:t>
            </w:r>
          </w:p>
        </w:tc>
        <w:tc>
          <w:tcPr>
            <w:tcW w:w="1728" w:type="dxa"/>
          </w:tcPr>
          <w:p w:rsidR="0019292C" w:rsidRPr="00584198" w:rsidRDefault="00127CEF" w:rsidP="00202E45">
            <w:pPr>
              <w:pStyle w:val="TextStandard"/>
              <w:spacing w:after="240" w:line="240" w:lineRule="auto"/>
              <w:contextualSpacing/>
              <w:jc w:val="center"/>
              <w:rPr>
                <w:b/>
                <w:szCs w:val="22"/>
              </w:rPr>
            </w:pPr>
            <m:oMathPara>
              <m:oMath>
                <m:sSub>
                  <m:sSubPr>
                    <m:ctrlPr>
                      <w:rPr>
                        <w:rFonts w:ascii="Cambria Math" w:hAnsi="Cambria Math"/>
                        <w:b/>
                        <w:i/>
                        <w:szCs w:val="22"/>
                      </w:rPr>
                    </m:ctrlPr>
                  </m:sSubPr>
                  <m:e>
                    <m:r>
                      <m:rPr>
                        <m:sty m:val="bi"/>
                      </m:rPr>
                      <w:rPr>
                        <w:rFonts w:ascii="Cambria Math" w:hAnsi="Cambria Math"/>
                      </w:rPr>
                      <m:t>PL</m:t>
                    </m:r>
                  </m:e>
                  <m:sub>
                    <m:sSub>
                      <m:sSubPr>
                        <m:ctrlPr>
                          <w:rPr>
                            <w:rFonts w:ascii="Cambria Math" w:hAnsi="Cambria Math"/>
                            <w:b/>
                            <w:i/>
                            <w:szCs w:val="22"/>
                          </w:rPr>
                        </m:ctrlPr>
                      </m:sSubPr>
                      <m:e>
                        <m:r>
                          <m:rPr>
                            <m:sty m:val="bi"/>
                          </m:rPr>
                          <w:rPr>
                            <w:rFonts w:ascii="Cambria Math" w:hAnsi="Cambria Math"/>
                          </w:rPr>
                          <m:t>d</m:t>
                        </m:r>
                      </m:e>
                      <m:sub>
                        <m:r>
                          <m:rPr>
                            <m:sty m:val="bi"/>
                          </m:rPr>
                          <w:rPr>
                            <w:rFonts w:ascii="Cambria Math" w:hAnsi="Cambria Math"/>
                          </w:rPr>
                          <m:t>0</m:t>
                        </m:r>
                      </m:sub>
                    </m:sSub>
                  </m:sub>
                </m:sSub>
              </m:oMath>
            </m:oMathPara>
          </w:p>
        </w:tc>
        <w:tc>
          <w:tcPr>
            <w:tcW w:w="1728" w:type="dxa"/>
          </w:tcPr>
          <w:p w:rsidR="0019292C" w:rsidRPr="00584198" w:rsidRDefault="00127CEF" w:rsidP="00202E45">
            <w:pPr>
              <w:pStyle w:val="TextStandard"/>
              <w:spacing w:after="240" w:line="240" w:lineRule="auto"/>
              <w:contextualSpacing/>
              <w:jc w:val="center"/>
              <w:rPr>
                <w:b/>
                <w:lang w:val="en-US"/>
              </w:rPr>
            </w:pPr>
            <m:oMathPara>
              <m:oMath>
                <m:sSub>
                  <m:sSubPr>
                    <m:ctrlPr>
                      <w:rPr>
                        <w:rFonts w:ascii="Cambria Math" w:hAnsi="Cambria Math"/>
                        <w:b/>
                        <w:i/>
                        <w:szCs w:val="22"/>
                      </w:rPr>
                    </m:ctrlPr>
                  </m:sSubPr>
                  <m:e>
                    <m:r>
                      <m:rPr>
                        <m:sty m:val="bi"/>
                      </m:rPr>
                      <w:rPr>
                        <w:rFonts w:ascii="Cambria Math" w:hAnsi="Cambria Math"/>
                      </w:rPr>
                      <m:t>d</m:t>
                    </m:r>
                  </m:e>
                  <m:sub>
                    <m:r>
                      <m:rPr>
                        <m:sty m:val="bi"/>
                      </m:rPr>
                      <w:rPr>
                        <w:rFonts w:ascii="Cambria Math" w:hAnsi="Cambria Math"/>
                      </w:rPr>
                      <m:t>0</m:t>
                    </m:r>
                  </m:sub>
                </m:sSub>
              </m:oMath>
            </m:oMathPara>
          </w:p>
        </w:tc>
        <w:tc>
          <w:tcPr>
            <w:tcW w:w="1728" w:type="dxa"/>
          </w:tcPr>
          <w:p w:rsidR="0019292C" w:rsidRPr="00584198" w:rsidRDefault="0019292C" w:rsidP="00202E45">
            <w:pPr>
              <w:pStyle w:val="TextStandard"/>
              <w:spacing w:after="240" w:line="240" w:lineRule="auto"/>
              <w:contextualSpacing/>
              <w:jc w:val="center"/>
              <w:rPr>
                <w:b/>
                <w:lang w:val="en-US"/>
              </w:rPr>
            </w:pPr>
            <m:oMathPara>
              <m:oMath>
                <m:r>
                  <m:rPr>
                    <m:sty m:val="bi"/>
                  </m:rPr>
                  <w:rPr>
                    <w:rFonts w:ascii="Cambria Math" w:hAnsi="Cambria Math"/>
                  </w:rPr>
                  <m:t>γ</m:t>
                </m:r>
              </m:oMath>
            </m:oMathPara>
          </w:p>
        </w:tc>
        <w:tc>
          <w:tcPr>
            <w:tcW w:w="1728" w:type="dxa"/>
          </w:tcPr>
          <w:p w:rsidR="0019292C" w:rsidRPr="00584198" w:rsidRDefault="0019292C" w:rsidP="00202E45">
            <w:pPr>
              <w:pStyle w:val="TextStandard"/>
              <w:spacing w:after="240" w:line="240" w:lineRule="auto"/>
              <w:contextualSpacing/>
              <w:jc w:val="center"/>
              <w:rPr>
                <w:b/>
                <w:lang w:val="en-US"/>
              </w:rPr>
            </w:pPr>
            <w:r>
              <w:rPr>
                <w:b/>
              </w:rPr>
              <w:t>RMSE</w:t>
            </w:r>
            <w:r w:rsidRPr="006C7A9B">
              <w:rPr>
                <w:b/>
              </w:rPr>
              <w:t>(</w:t>
            </w:r>
            <w:proofErr w:type="spellStart"/>
            <w:r w:rsidRPr="006C7A9B">
              <w:rPr>
                <w:b/>
                <w:i/>
              </w:rPr>
              <w:t>χ</w:t>
            </w:r>
            <w:r w:rsidRPr="006C7A9B">
              <w:rPr>
                <w:b/>
                <w:i/>
                <w:vertAlign w:val="subscript"/>
              </w:rPr>
              <w:t>g</w:t>
            </w:r>
            <w:proofErr w:type="spellEnd"/>
            <w:r w:rsidRPr="006C7A9B">
              <w:rPr>
                <w:b/>
              </w:rPr>
              <w:t>)</w:t>
            </w:r>
          </w:p>
        </w:tc>
      </w:tr>
      <w:tr w:rsidR="0019292C" w:rsidTr="00202E45">
        <w:trPr>
          <w:trHeight w:val="227"/>
        </w:trPr>
        <w:tc>
          <w:tcPr>
            <w:tcW w:w="2376" w:type="dxa"/>
          </w:tcPr>
          <w:p w:rsidR="0019292C" w:rsidRDefault="0019292C" w:rsidP="00202E45">
            <w:pPr>
              <w:pStyle w:val="TextStandard"/>
              <w:spacing w:after="240" w:line="240" w:lineRule="auto"/>
              <w:contextualSpacing/>
              <w:jc w:val="center"/>
              <w:rPr>
                <w:lang w:val="en-US"/>
              </w:rPr>
            </w:pPr>
            <w:r>
              <w:rPr>
                <w:lang w:val="en-US"/>
              </w:rPr>
              <w:t>Chip to Chip LOS,</w:t>
            </w:r>
          </w:p>
          <w:p w:rsidR="0019292C" w:rsidRDefault="0019292C" w:rsidP="00202E45">
            <w:pPr>
              <w:pStyle w:val="TextStandard"/>
              <w:spacing w:after="240" w:line="240" w:lineRule="auto"/>
              <w:contextualSpacing/>
              <w:jc w:val="center"/>
              <w:rPr>
                <w:lang w:val="en-US"/>
              </w:rPr>
            </w:pPr>
            <w:r>
              <w:rPr>
                <w:lang w:val="en-US"/>
              </w:rPr>
              <w:t>vertical</w:t>
            </w:r>
          </w:p>
        </w:tc>
        <w:tc>
          <w:tcPr>
            <w:tcW w:w="1728" w:type="dxa"/>
          </w:tcPr>
          <w:p w:rsidR="0019292C" w:rsidRDefault="0019292C" w:rsidP="00202E45">
            <w:pPr>
              <w:pStyle w:val="TextStandard"/>
              <w:spacing w:after="240" w:line="240" w:lineRule="auto"/>
              <w:contextualSpacing/>
              <w:jc w:val="center"/>
              <w:rPr>
                <w:lang w:val="en-US"/>
              </w:rPr>
            </w:pPr>
            <w:r>
              <w:rPr>
                <w:lang w:val="en-US"/>
              </w:rPr>
              <w:t>16.5</w:t>
            </w:r>
          </w:p>
        </w:tc>
        <w:tc>
          <w:tcPr>
            <w:tcW w:w="1728" w:type="dxa"/>
          </w:tcPr>
          <w:p w:rsidR="0019292C" w:rsidRDefault="0019292C" w:rsidP="00202E45">
            <w:pPr>
              <w:pStyle w:val="TextStandard"/>
              <w:spacing w:after="240" w:line="240" w:lineRule="auto"/>
              <w:contextualSpacing/>
              <w:jc w:val="center"/>
              <w:rPr>
                <w:lang w:val="en-US"/>
              </w:rPr>
            </w:pPr>
            <w:r>
              <w:rPr>
                <w:lang w:val="en-US"/>
              </w:rPr>
              <w:t>0.05</w:t>
            </w:r>
          </w:p>
        </w:tc>
        <w:tc>
          <w:tcPr>
            <w:tcW w:w="1728" w:type="dxa"/>
          </w:tcPr>
          <w:p w:rsidR="0019292C" w:rsidRDefault="0019292C" w:rsidP="00202E45">
            <w:pPr>
              <w:pStyle w:val="TextStandard"/>
              <w:spacing w:after="240" w:line="240" w:lineRule="auto"/>
              <w:contextualSpacing/>
              <w:jc w:val="center"/>
              <w:rPr>
                <w:lang w:val="en-US"/>
              </w:rPr>
            </w:pPr>
            <w:r>
              <w:rPr>
                <w:lang w:val="en-US"/>
              </w:rPr>
              <w:t>2.007</w:t>
            </w:r>
          </w:p>
        </w:tc>
        <w:tc>
          <w:tcPr>
            <w:tcW w:w="1728" w:type="dxa"/>
          </w:tcPr>
          <w:p w:rsidR="0019292C" w:rsidRDefault="0019292C" w:rsidP="00202E45">
            <w:pPr>
              <w:pStyle w:val="TextStandard"/>
              <w:spacing w:after="240" w:line="240" w:lineRule="auto"/>
              <w:contextualSpacing/>
              <w:jc w:val="center"/>
              <w:rPr>
                <w:lang w:val="en-US"/>
              </w:rPr>
            </w:pPr>
            <w:r>
              <w:rPr>
                <w:lang w:val="en-US"/>
              </w:rPr>
              <w:t>1.1934</w:t>
            </w:r>
          </w:p>
        </w:tc>
      </w:tr>
      <w:tr w:rsidR="0019292C" w:rsidTr="00202E45">
        <w:trPr>
          <w:trHeight w:val="227"/>
        </w:trPr>
        <w:tc>
          <w:tcPr>
            <w:tcW w:w="2376" w:type="dxa"/>
          </w:tcPr>
          <w:p w:rsidR="0019292C" w:rsidRDefault="0019292C" w:rsidP="00202E45">
            <w:pPr>
              <w:pStyle w:val="TextStandard"/>
              <w:spacing w:after="240" w:line="240" w:lineRule="auto"/>
              <w:contextualSpacing/>
              <w:jc w:val="center"/>
              <w:rPr>
                <w:lang w:val="en-US"/>
              </w:rPr>
            </w:pPr>
            <w:r>
              <w:rPr>
                <w:lang w:val="en-US"/>
              </w:rPr>
              <w:t>Chip to Chip LOS,</w:t>
            </w:r>
          </w:p>
          <w:p w:rsidR="0019292C" w:rsidRDefault="0019292C" w:rsidP="00202E45">
            <w:pPr>
              <w:pStyle w:val="TextStandard"/>
              <w:spacing w:after="240" w:line="240" w:lineRule="auto"/>
              <w:contextualSpacing/>
              <w:jc w:val="center"/>
              <w:rPr>
                <w:lang w:val="en-US"/>
              </w:rPr>
            </w:pPr>
            <w:r>
              <w:rPr>
                <w:lang w:val="en-US"/>
              </w:rPr>
              <w:t>circular</w:t>
            </w:r>
          </w:p>
        </w:tc>
        <w:tc>
          <w:tcPr>
            <w:tcW w:w="1728" w:type="dxa"/>
          </w:tcPr>
          <w:p w:rsidR="0019292C" w:rsidRDefault="0019292C" w:rsidP="00202E45">
            <w:pPr>
              <w:pStyle w:val="TextStandard"/>
              <w:spacing w:after="240" w:line="240" w:lineRule="auto"/>
              <w:contextualSpacing/>
              <w:jc w:val="center"/>
              <w:rPr>
                <w:lang w:val="en-US"/>
              </w:rPr>
            </w:pPr>
            <w:r>
              <w:rPr>
                <w:lang w:val="en-US"/>
              </w:rPr>
              <w:t>16.5</w:t>
            </w:r>
          </w:p>
        </w:tc>
        <w:tc>
          <w:tcPr>
            <w:tcW w:w="1728" w:type="dxa"/>
          </w:tcPr>
          <w:p w:rsidR="0019292C" w:rsidRDefault="0019292C" w:rsidP="00202E45">
            <w:pPr>
              <w:pStyle w:val="TextStandard"/>
              <w:spacing w:after="240" w:line="240" w:lineRule="auto"/>
              <w:contextualSpacing/>
              <w:jc w:val="center"/>
              <w:rPr>
                <w:lang w:val="en-US"/>
              </w:rPr>
            </w:pPr>
            <w:r>
              <w:rPr>
                <w:lang w:val="en-US"/>
              </w:rPr>
              <w:t>0.05</w:t>
            </w:r>
          </w:p>
        </w:tc>
        <w:tc>
          <w:tcPr>
            <w:tcW w:w="1728" w:type="dxa"/>
          </w:tcPr>
          <w:p w:rsidR="0019292C" w:rsidRDefault="0019292C" w:rsidP="00202E45">
            <w:pPr>
              <w:pStyle w:val="TextStandard"/>
              <w:spacing w:after="240" w:line="240" w:lineRule="auto"/>
              <w:contextualSpacing/>
              <w:jc w:val="center"/>
              <w:rPr>
                <w:lang w:val="en-US"/>
              </w:rPr>
            </w:pPr>
            <w:r>
              <w:rPr>
                <w:lang w:val="en-US"/>
              </w:rPr>
              <w:t>1.969</w:t>
            </w:r>
          </w:p>
        </w:tc>
        <w:tc>
          <w:tcPr>
            <w:tcW w:w="1728" w:type="dxa"/>
          </w:tcPr>
          <w:p w:rsidR="0019292C" w:rsidRDefault="0019292C" w:rsidP="00202E45">
            <w:pPr>
              <w:pStyle w:val="TextStandard"/>
              <w:spacing w:after="240" w:line="240" w:lineRule="auto"/>
              <w:contextualSpacing/>
              <w:jc w:val="center"/>
              <w:rPr>
                <w:lang w:val="en-US"/>
              </w:rPr>
            </w:pPr>
            <w:r>
              <w:rPr>
                <w:lang w:val="en-US"/>
              </w:rPr>
              <w:t>1.1020</w:t>
            </w:r>
          </w:p>
        </w:tc>
      </w:tr>
    </w:tbl>
    <w:p w:rsidR="0019292C" w:rsidRDefault="0019292C" w:rsidP="0019292C">
      <w:pPr>
        <w:pStyle w:val="TextStandard"/>
      </w:pPr>
    </w:p>
    <w:p w:rsidR="0019292C" w:rsidRDefault="0019292C" w:rsidP="0019292C">
      <w:pPr>
        <w:pStyle w:val="TextStandard"/>
      </w:pPr>
      <w:r>
        <w:t xml:space="preserve">For the directed NLOS operational mode, the log-distance dependency of the path loss is not valid anymore. As seen in </w:t>
      </w:r>
      <w:r w:rsidR="00127CEF">
        <w:fldChar w:fldCharType="begin"/>
      </w:r>
      <w:r>
        <w:instrText xml:space="preserve"> REF _Ref435104556 \h </w:instrText>
      </w:r>
      <w:r w:rsidR="00127CEF">
        <w:fldChar w:fldCharType="separate"/>
      </w:r>
      <w:r w:rsidR="00C022B9" w:rsidRPr="00A458D5">
        <w:rPr>
          <w:color w:val="000000" w:themeColor="text1"/>
        </w:rPr>
        <w:t xml:space="preserve">Figure </w:t>
      </w:r>
      <w:r w:rsidR="00C022B9">
        <w:rPr>
          <w:noProof/>
          <w:color w:val="000000" w:themeColor="text1"/>
        </w:rPr>
        <w:t>15</w:t>
      </w:r>
      <w:r w:rsidR="00127CEF">
        <w:fldChar w:fldCharType="end"/>
      </w:r>
      <w:r>
        <w:t xml:space="preserve">, the simulated path losses are rather equally distributed over a certain amplitude range incorporating only a weak relationship between the distance between </w:t>
      </w:r>
      <w:proofErr w:type="spellStart"/>
      <w:r>
        <w:t>Tx</w:t>
      </w:r>
      <w:proofErr w:type="spellEnd"/>
      <w:r>
        <w:t xml:space="preserve"> and Rx and the signal path loss. Comparing the results for linear ( Figure a) ) and circular ( Figure b) ) polarization, it can be seen that the directed NLOS signal is around 5dB weaker in case of circular polarization, which is consistent to the expected behaviour of reflected circularly polarized propagation paths.</w:t>
      </w:r>
    </w:p>
    <w:p w:rsidR="0019292C" w:rsidRDefault="00127CEF" w:rsidP="0019292C">
      <w:pPr>
        <w:keepNext/>
        <w:jc w:val="both"/>
      </w:pPr>
      <w:r w:rsidRPr="00127CEF">
        <w:rPr>
          <w:noProof/>
          <w:lang w:val="en-US" w:eastAsia="en-US"/>
        </w:rPr>
        <w:pict>
          <v:shape id="Text Box 43" o:spid="_x0000_s1039" type="#_x0000_t202" style="position:absolute;left:0;text-align:left;margin-left:246.4pt;margin-top:174.35pt;width:23.75pt;height:19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4GhwIAABc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" stroked="f">
            <v:textbox>
              <w:txbxContent>
                <w:p w:rsidR="00202E45" w:rsidRDefault="00202E45" w:rsidP="0019292C">
                  <w:pPr>
                    <w:rPr>
                      <w:lang w:val="de-DE"/>
                    </w:rPr>
                  </w:pPr>
                  <w:r>
                    <w:rPr>
                      <w:lang w:val="de-DE"/>
                    </w:rPr>
                    <w:t>b)</w:t>
                  </w:r>
                </w:p>
              </w:txbxContent>
            </v:textbox>
          </v:shape>
        </w:pict>
      </w:r>
      <w:r w:rsidRPr="00127CEF">
        <w:rPr>
          <w:noProof/>
          <w:lang w:val="en-US" w:eastAsia="en-US"/>
        </w:rPr>
        <w:pict>
          <v:shape id="Text Box 39" o:spid="_x0000_s1040" type="#_x0000_t202" style="position:absolute;left:0;text-align:left;margin-left:21.85pt;margin-top:174.35pt;width:23.7pt;height:19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K9hAIAABc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" stroked="f">
            <v:textbox>
              <w:txbxContent>
                <w:p w:rsidR="00202E45" w:rsidRDefault="00202E45" w:rsidP="0019292C">
                  <w:pPr>
                    <w:rPr>
                      <w:lang w:val="de-DE"/>
                    </w:rPr>
                  </w:pPr>
                  <w:r>
                    <w:rPr>
                      <w:lang w:val="de-DE"/>
                    </w:rPr>
                    <w:t>a)</w:t>
                  </w:r>
                </w:p>
              </w:txbxContent>
            </v:textbox>
          </v:shape>
        </w:pict>
      </w:r>
      <w:r w:rsidR="0019292C">
        <w:rPr>
          <w:noProof/>
          <w:lang w:val="de-DE"/>
        </w:rPr>
        <w:drawing>
          <wp:inline distT="0" distB="0" distL="0" distR="0">
            <wp:extent cx="2844000" cy="2488623"/>
            <wp:effectExtent l="19050" t="0" r="0" b="0"/>
            <wp:docPr id="9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l="5023" r="9237"/>
                    <a:stretch>
                      <a:fillRect/>
                    </a:stretch>
                  </pic:blipFill>
                  <pic:spPr bwMode="auto">
                    <a:xfrm>
                      <a:off x="0" y="0"/>
                      <a:ext cx="2844000" cy="2488623"/>
                    </a:xfrm>
                    <a:prstGeom prst="rect">
                      <a:avLst/>
                    </a:prstGeom>
                    <a:noFill/>
                    <a:ln w="9525">
                      <a:noFill/>
                      <a:miter lim="800000"/>
                      <a:headEnd/>
                      <a:tailEnd/>
                    </a:ln>
                  </pic:spPr>
                </pic:pic>
              </a:graphicData>
            </a:graphic>
          </wp:inline>
        </w:drawing>
      </w:r>
      <w:r w:rsidR="0019292C">
        <w:rPr>
          <w:noProof/>
          <w:lang w:val="de-DE"/>
        </w:rPr>
        <w:drawing>
          <wp:inline distT="0" distB="0" distL="0" distR="0">
            <wp:extent cx="2844000" cy="2498066"/>
            <wp:effectExtent l="19050" t="0" r="0" b="0"/>
            <wp:docPr id="92"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l="5024" r="9547"/>
                    <a:stretch>
                      <a:fillRect/>
                    </a:stretch>
                  </pic:blipFill>
                  <pic:spPr bwMode="auto">
                    <a:xfrm>
                      <a:off x="0" y="0"/>
                      <a:ext cx="2844000" cy="2498066"/>
                    </a:xfrm>
                    <a:prstGeom prst="rect">
                      <a:avLst/>
                    </a:prstGeom>
                    <a:noFill/>
                    <a:ln w="9525">
                      <a:noFill/>
                      <a:miter lim="800000"/>
                      <a:headEnd/>
                      <a:tailEnd/>
                    </a:ln>
                  </pic:spPr>
                </pic:pic>
              </a:graphicData>
            </a:graphic>
          </wp:inline>
        </w:drawing>
      </w:r>
    </w:p>
    <w:p w:rsidR="0019292C" w:rsidRPr="00AD3478" w:rsidRDefault="0019292C" w:rsidP="0019292C">
      <w:pPr>
        <w:pStyle w:val="Beschriftung"/>
        <w:jc w:val="center"/>
        <w:rPr>
          <w:color w:val="000000" w:themeColor="text1"/>
        </w:rPr>
      </w:pPr>
      <w:bookmarkStart w:id="17" w:name="_Ref435104556"/>
      <w:r w:rsidRPr="00A458D5">
        <w:rPr>
          <w:color w:val="000000" w:themeColor="text1"/>
        </w:rPr>
        <w:t xml:space="preserve">Figure </w:t>
      </w:r>
      <w:r w:rsidR="00127CEF" w:rsidRPr="00A458D5">
        <w:rPr>
          <w:color w:val="000000" w:themeColor="text1"/>
        </w:rPr>
        <w:fldChar w:fldCharType="begin"/>
      </w:r>
      <w:r w:rsidRPr="00A458D5">
        <w:rPr>
          <w:color w:val="000000" w:themeColor="text1"/>
        </w:rPr>
        <w:instrText xml:space="preserve"> SEQ Figure \* ARABIC </w:instrText>
      </w:r>
      <w:r w:rsidR="00127CEF" w:rsidRPr="00A458D5">
        <w:rPr>
          <w:color w:val="000000" w:themeColor="text1"/>
        </w:rPr>
        <w:fldChar w:fldCharType="separate"/>
      </w:r>
      <w:r w:rsidR="00C022B9">
        <w:rPr>
          <w:noProof/>
          <w:color w:val="000000" w:themeColor="text1"/>
        </w:rPr>
        <w:t>15</w:t>
      </w:r>
      <w:r w:rsidR="00127CEF" w:rsidRPr="00A458D5">
        <w:rPr>
          <w:color w:val="000000" w:themeColor="text1"/>
        </w:rPr>
        <w:fldChar w:fldCharType="end"/>
      </w:r>
      <w:bookmarkEnd w:id="17"/>
      <w:r w:rsidRPr="00A458D5">
        <w:rPr>
          <w:color w:val="000000" w:themeColor="text1"/>
        </w:rPr>
        <w:t>: Mean Path Loss for Chip to Chip Communications under NLOS condition</w:t>
      </w:r>
      <w:r>
        <w:rPr>
          <w:color w:val="000000" w:themeColor="text1"/>
        </w:rPr>
        <w:br/>
        <w:t>a) Linear Vertical Polarization b) Left-Hand Circular Polarization</w:t>
      </w:r>
    </w:p>
    <w:p w:rsidR="0019292C" w:rsidRDefault="0019292C" w:rsidP="0019292C">
      <w:pPr>
        <w:pStyle w:val="TextStandard"/>
        <w:rPr>
          <w:lang w:val="en-US"/>
        </w:rPr>
      </w:pPr>
      <w:r>
        <w:rPr>
          <w:lang w:val="en-US"/>
        </w:rPr>
        <w:t>As mentioned above, the path los</w:t>
      </w:r>
      <w:r w:rsidR="00FE57E9">
        <w:rPr>
          <w:lang w:val="en-US"/>
        </w:rPr>
        <w:t>s</w:t>
      </w:r>
      <w:r>
        <w:rPr>
          <w:lang w:val="en-US"/>
        </w:rPr>
        <w:t xml:space="preserve"> of the NLOS configuration does not follow a </w:t>
      </w:r>
      <w:proofErr w:type="spellStart"/>
      <w:r>
        <w:rPr>
          <w:lang w:val="en-US"/>
        </w:rPr>
        <w:t>log</w:t>
      </w:r>
      <w:proofErr w:type="spellEnd"/>
      <w:r>
        <w:rPr>
          <w:lang w:val="en-US"/>
        </w:rPr>
        <w:t xml:space="preserve">-distance dependency regarding the separation between </w:t>
      </w:r>
      <w:proofErr w:type="spellStart"/>
      <w:r>
        <w:rPr>
          <w:lang w:val="en-US"/>
        </w:rPr>
        <w:t>Tx</w:t>
      </w:r>
      <w:proofErr w:type="spellEnd"/>
      <w:r>
        <w:rPr>
          <w:lang w:val="en-US"/>
        </w:rPr>
        <w:t xml:space="preserve"> and Rx. This is comprehensible since the length of the propagation path is only indirectly coupled to the separation between </w:t>
      </w:r>
      <w:proofErr w:type="spellStart"/>
      <w:r>
        <w:rPr>
          <w:lang w:val="en-US"/>
        </w:rPr>
        <w:t>Tx</w:t>
      </w:r>
      <w:proofErr w:type="spellEnd"/>
      <w:r>
        <w:rPr>
          <w:lang w:val="en-US"/>
        </w:rPr>
        <w:t xml:space="preserve"> and Rx. In addition to the separation, the implicit variation of box size between the maximum size of L and the minimum size of M leads to a rather uniform distribution of the directed NLOS propagation path length. However, the reflection angle of that path is also influenced by the </w:t>
      </w:r>
      <w:proofErr w:type="spellStart"/>
      <w:r>
        <w:rPr>
          <w:lang w:val="en-US"/>
        </w:rPr>
        <w:t>Tx</w:t>
      </w:r>
      <w:proofErr w:type="spellEnd"/>
      <w:r>
        <w:rPr>
          <w:lang w:val="en-US"/>
        </w:rPr>
        <w:t xml:space="preserve">-Rx separation, leading to </w:t>
      </w:r>
      <w:r>
        <w:rPr>
          <w:lang w:val="en-US"/>
        </w:rPr>
        <w:lastRenderedPageBreak/>
        <w:t>a slight variation of the reflection loss over distance. The overall impact on the main signal for the NLOS transmission mode can be modeled by means of a linear equation</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19292C" w:rsidTr="00202E45">
        <w:trPr>
          <w:trHeight w:val="680"/>
        </w:trPr>
        <w:tc>
          <w:tcPr>
            <w:tcW w:w="534" w:type="dxa"/>
            <w:vAlign w:val="center"/>
          </w:tcPr>
          <w:p w:rsidR="0019292C" w:rsidRDefault="0019292C" w:rsidP="00202E45">
            <w:pPr>
              <w:contextualSpacing/>
              <w:rPr>
                <w:sz w:val="24"/>
              </w:rPr>
            </w:pPr>
          </w:p>
        </w:tc>
        <w:tc>
          <w:tcPr>
            <w:tcW w:w="7229" w:type="dxa"/>
            <w:vAlign w:val="center"/>
          </w:tcPr>
          <w:p w:rsidR="0019292C" w:rsidRDefault="00127CEF" w:rsidP="00202E45">
            <w:pPr>
              <w:contextualSpacing/>
              <w:rPr>
                <w:sz w:val="24"/>
              </w:rPr>
            </w:pPr>
            <m:oMathPara>
              <m:oMath>
                <m:sSub>
                  <m:sSubPr>
                    <m:ctrlPr>
                      <w:rPr>
                        <w:rFonts w:ascii="Cambria Math" w:hAnsi="Cambria Math"/>
                        <w:i/>
                        <w:sz w:val="24"/>
                      </w:rPr>
                    </m:ctrlPr>
                  </m:sSubPr>
                  <m:e>
                    <m:r>
                      <w:rPr>
                        <w:rFonts w:ascii="Cambria Math" w:hAnsi="Cambria Math"/>
                        <w:sz w:val="24"/>
                      </w:rPr>
                      <m:t>PL(d[m])</m:t>
                    </m:r>
                  </m:e>
                  <m:sub>
                    <m:r>
                      <w:rPr>
                        <w:rFonts w:ascii="Cambria Math" w:hAnsi="Cambria Math"/>
                        <w:sz w:val="24"/>
                      </w:rPr>
                      <m:t>total</m:t>
                    </m:r>
                  </m:sub>
                </m:sSub>
                <m:d>
                  <m:dPr>
                    <m:begChr m:val="["/>
                    <m:endChr m:val="]"/>
                    <m:ctrlPr>
                      <w:rPr>
                        <w:rFonts w:ascii="Cambria Math" w:hAnsi="Cambria Math"/>
                        <w:i/>
                        <w:sz w:val="24"/>
                      </w:rPr>
                    </m:ctrlPr>
                  </m:dPr>
                  <m:e>
                    <m:r>
                      <w:rPr>
                        <w:rFonts w:ascii="Cambria Math" w:hAnsi="Cambria Math"/>
                        <w:sz w:val="24"/>
                      </w:rPr>
                      <m:t>dB</m:t>
                    </m:r>
                  </m:e>
                </m:d>
                <m:r>
                  <w:rPr>
                    <w:rFonts w:ascii="Cambria Math" w:hAnsi="Cambria Math"/>
                    <w:sz w:val="24"/>
                  </w:rPr>
                  <m:t>=</m:t>
                </m:r>
                <m:sSub>
                  <m:sSubPr>
                    <m:ctrlPr>
                      <w:rPr>
                        <w:rFonts w:ascii="Cambria Math" w:hAnsi="Cambria Math"/>
                        <w:i/>
                        <w:sz w:val="24"/>
                      </w:rPr>
                    </m:ctrlPr>
                  </m:sSubPr>
                  <m:e>
                    <m:r>
                      <w:rPr>
                        <w:rFonts w:ascii="Cambria Math" w:hAnsi="Cambria Math"/>
                        <w:sz w:val="24"/>
                      </w:rPr>
                      <m:t>PL</m:t>
                    </m:r>
                  </m:e>
                  <m:sub>
                    <m:r>
                      <w:rPr>
                        <w:rFonts w:ascii="Cambria Math" w:hAnsi="Cambria Math"/>
                        <w:sz w:val="24"/>
                      </w:rPr>
                      <m:t>0</m:t>
                    </m:r>
                  </m:sub>
                </m:sSub>
                <m:d>
                  <m:dPr>
                    <m:begChr m:val="["/>
                    <m:endChr m:val="]"/>
                    <m:ctrlPr>
                      <w:rPr>
                        <w:rFonts w:ascii="Cambria Math" w:hAnsi="Cambria Math"/>
                        <w:i/>
                        <w:sz w:val="24"/>
                      </w:rPr>
                    </m:ctrlPr>
                  </m:dPr>
                  <m:e>
                    <m:r>
                      <w:rPr>
                        <w:rFonts w:ascii="Cambria Math" w:hAnsi="Cambria Math"/>
                        <w:sz w:val="24"/>
                      </w:rPr>
                      <m:t>dB</m:t>
                    </m:r>
                  </m:e>
                </m:d>
                <m:r>
                  <w:rPr>
                    <w:rFonts w:ascii="Cambria Math" w:hAnsi="Cambria Math"/>
                    <w:sz w:val="24"/>
                  </w:rPr>
                  <m:t>+</m:t>
                </m:r>
                <m:r>
                  <m:rPr>
                    <m:sty m:val="bi"/>
                  </m:rPr>
                  <w:rPr>
                    <w:rFonts w:ascii="Cambria Math" w:hAnsi="Cambria Math"/>
                  </w:rPr>
                  <m:t>ζ</m:t>
                </m:r>
                <m:r>
                  <w:rPr>
                    <w:rFonts w:ascii="Cambria Math" w:hAnsi="Cambria Math"/>
                    <w:sz w:val="24"/>
                  </w:rPr>
                  <m:t>∙d</m:t>
                </m:r>
                <m:d>
                  <m:dPr>
                    <m:begChr m:val="["/>
                    <m:endChr m:val="]"/>
                    <m:ctrlPr>
                      <w:rPr>
                        <w:rFonts w:ascii="Cambria Math" w:hAnsi="Cambria Math"/>
                        <w:i/>
                        <w:sz w:val="24"/>
                      </w:rPr>
                    </m:ctrlPr>
                  </m:dPr>
                  <m:e>
                    <m:r>
                      <w:rPr>
                        <w:rFonts w:ascii="Cambria Math" w:hAnsi="Cambria Math"/>
                        <w:sz w:val="24"/>
                      </w:rPr>
                      <m:t>m</m:t>
                    </m:r>
                  </m:e>
                </m:d>
                <m:r>
                  <w:rPr>
                    <w:rFonts w:ascii="Cambria Math" w:hAnsi="Cambria Math"/>
                    <w:sz w:val="24"/>
                  </w:rPr>
                  <m:t>+</m:t>
                </m:r>
                <m:sSub>
                  <m:sSubPr>
                    <m:ctrlPr>
                      <w:rPr>
                        <w:rFonts w:ascii="Cambria Math" w:hAnsi="Cambria Math"/>
                        <w:i/>
                        <w:sz w:val="24"/>
                      </w:rPr>
                    </m:ctrlPr>
                  </m:sSubPr>
                  <m:e>
                    <m:r>
                      <w:rPr>
                        <w:rFonts w:ascii="Cambria Math" w:hAnsi="Cambria Math"/>
                        <w:sz w:val="24"/>
                      </w:rPr>
                      <m:t>χ</m:t>
                    </m:r>
                  </m:e>
                  <m:sub>
                    <m:r>
                      <w:rPr>
                        <w:rFonts w:ascii="Cambria Math" w:hAnsi="Cambria Math"/>
                        <w:sz w:val="24"/>
                      </w:rPr>
                      <m:t>g</m:t>
                    </m:r>
                  </m:sub>
                </m:sSub>
              </m:oMath>
            </m:oMathPara>
          </w:p>
        </w:tc>
        <w:tc>
          <w:tcPr>
            <w:tcW w:w="1449" w:type="dxa"/>
            <w:vAlign w:val="center"/>
          </w:tcPr>
          <w:p w:rsidR="0019292C" w:rsidRDefault="00C022B9" w:rsidP="00040F2C">
            <w:pPr>
              <w:contextualSpacing/>
              <w:jc w:val="right"/>
              <w:rPr>
                <w:sz w:val="24"/>
              </w:rPr>
            </w:pPr>
            <w:r>
              <w:rPr>
                <w:sz w:val="24"/>
              </w:rPr>
              <w:t>(8)</w:t>
            </w:r>
          </w:p>
        </w:tc>
      </w:tr>
    </w:tbl>
    <w:p w:rsidR="0019292C" w:rsidRDefault="0019292C" w:rsidP="0019292C">
      <w:pPr>
        <w:pStyle w:val="TextStandard"/>
        <w:rPr>
          <w:lang w:val="en-US"/>
        </w:rPr>
      </w:pPr>
    </w:p>
    <w:p w:rsidR="0019292C" w:rsidRDefault="0019292C" w:rsidP="0019292C">
      <w:pPr>
        <w:pStyle w:val="TextStandard"/>
        <w:rPr>
          <w:szCs w:val="22"/>
        </w:rPr>
      </w:pPr>
      <w:r>
        <w:rPr>
          <w:lang w:val="en-US"/>
        </w:rPr>
        <w:t xml:space="preserve">In this, </w:t>
      </w:r>
      <m:oMath>
        <m:sSub>
          <m:sSubPr>
            <m:ctrlPr>
              <w:rPr>
                <w:rFonts w:ascii="Cambria Math" w:hAnsi="Cambria Math"/>
                <w:i/>
              </w:rPr>
            </m:ctrlPr>
          </m:sSubPr>
          <m:e>
            <m:r>
              <w:rPr>
                <w:rFonts w:ascii="Cambria Math" w:hAnsi="Cambria Math"/>
              </w:rPr>
              <m:t>PL(d)</m:t>
            </m:r>
          </m:e>
          <m:sub>
            <m:r>
              <w:rPr>
                <w:rFonts w:ascii="Cambria Math" w:hAnsi="Cambria Math"/>
              </w:rPr>
              <m:t>total</m:t>
            </m:r>
          </m:sub>
        </m:sSub>
      </m:oMath>
      <w:r>
        <w:t xml:space="preserve"> is the distance-dependent path loss, </w:t>
      </w:r>
      <m:oMath>
        <m:sSub>
          <m:sSubPr>
            <m:ctrlPr>
              <w:rPr>
                <w:rFonts w:ascii="Cambria Math" w:hAnsi="Cambria Math"/>
                <w:i/>
                <w:szCs w:val="22"/>
              </w:rPr>
            </m:ctrlPr>
          </m:sSubPr>
          <m:e>
            <m:r>
              <w:rPr>
                <w:rFonts w:ascii="Cambria Math" w:hAnsi="Cambria Math"/>
              </w:rPr>
              <m:t>PL</m:t>
            </m:r>
          </m:e>
          <m:sub>
            <m:r>
              <w:rPr>
                <w:rFonts w:ascii="Cambria Math" w:hAnsi="Cambria Math"/>
              </w:rPr>
              <m:t>0</m:t>
            </m:r>
          </m:sub>
        </m:sSub>
      </m:oMath>
      <w:r>
        <w:rPr>
          <w:szCs w:val="22"/>
        </w:rPr>
        <w:t xml:space="preserve"> is the path loss when the separation between Tx and Rx becomes zero, </w:t>
      </w:r>
      <m:oMath>
        <m:r>
          <m:rPr>
            <m:sty m:val="bi"/>
          </m:rPr>
          <w:rPr>
            <w:rFonts w:ascii="Cambria Math" w:hAnsi="Cambria Math"/>
          </w:rPr>
          <m:t>ζ</m:t>
        </m:r>
      </m:oMath>
      <w:r>
        <w:rPr>
          <w:b/>
        </w:rPr>
        <w:t xml:space="preserve"> </w:t>
      </w:r>
      <w:r>
        <w:t xml:space="preserve">is the path-loss coefficient, </w:t>
      </w:r>
      <m:oMath>
        <m:r>
          <w:rPr>
            <w:rFonts w:ascii="Cambria Math" w:hAnsi="Cambria Math"/>
          </w:rPr>
          <m:t>d</m:t>
        </m:r>
      </m:oMath>
      <w:r>
        <w:t xml:space="preserve"> is the separation between Tx and Rx and </w:t>
      </w:r>
      <m:oMath>
        <m:sSub>
          <m:sSubPr>
            <m:ctrlPr>
              <w:rPr>
                <w:rFonts w:ascii="Cambria Math" w:hAnsi="Cambria Math"/>
                <w:i/>
                <w:szCs w:val="22"/>
              </w:rPr>
            </m:ctrlPr>
          </m:sSubPr>
          <m:e>
            <m:r>
              <w:rPr>
                <w:rFonts w:ascii="Cambria Math" w:hAnsi="Cambria Math"/>
              </w:rPr>
              <m:t>χ</m:t>
            </m:r>
          </m:e>
          <m:sub>
            <m:r>
              <w:rPr>
                <w:rFonts w:ascii="Cambria Math" w:hAnsi="Cambria Math"/>
              </w:rPr>
              <m:t>g</m:t>
            </m:r>
          </m:sub>
        </m:sSub>
      </m:oMath>
      <w:r>
        <w:rPr>
          <w:szCs w:val="22"/>
        </w:rPr>
        <w:t xml:space="preserve"> is a normal-distributed random variable with zero mean. Note that the path loss does not become zero for zero antenna separation; as explained above, the target NLOS propagation path is still of a certain length that leads to the path loss of </w:t>
      </w:r>
      <m:oMath>
        <m:sSub>
          <m:sSubPr>
            <m:ctrlPr>
              <w:rPr>
                <w:rFonts w:ascii="Cambria Math" w:hAnsi="Cambria Math"/>
                <w:i/>
                <w:szCs w:val="22"/>
              </w:rPr>
            </m:ctrlPr>
          </m:sSubPr>
          <m:e>
            <m:r>
              <w:rPr>
                <w:rFonts w:ascii="Cambria Math" w:hAnsi="Cambria Math"/>
              </w:rPr>
              <m:t>PL</m:t>
            </m:r>
          </m:e>
          <m:sub>
            <m:r>
              <w:rPr>
                <w:rFonts w:ascii="Cambria Math" w:hAnsi="Cambria Math"/>
              </w:rPr>
              <m:t>0</m:t>
            </m:r>
          </m:sub>
        </m:sSub>
      </m:oMath>
      <w:r>
        <w:rPr>
          <w:szCs w:val="22"/>
        </w:rPr>
        <w:t xml:space="preserve">. The parameters of </w:t>
      </w:r>
      <w:r w:rsidR="00127CEF">
        <w:rPr>
          <w:szCs w:val="22"/>
        </w:rPr>
        <w:fldChar w:fldCharType="begin"/>
      </w:r>
      <w:r>
        <w:rPr>
          <w:szCs w:val="22"/>
        </w:rPr>
        <w:instrText xml:space="preserve"> REF _Ref435110041 \h </w:instrText>
      </w:r>
      <w:r w:rsidR="00127CEF">
        <w:rPr>
          <w:szCs w:val="22"/>
        </w:rPr>
      </w:r>
      <w:r w:rsidR="00127CEF">
        <w:rPr>
          <w:szCs w:val="22"/>
        </w:rPr>
        <w:fldChar w:fldCharType="separate"/>
      </w:r>
      <w:r w:rsidR="00C022B9">
        <w:t>(8)</w:t>
      </w:r>
      <w:r w:rsidR="00127CEF">
        <w:rPr>
          <w:szCs w:val="22"/>
        </w:rPr>
        <w:fldChar w:fldCharType="end"/>
      </w:r>
      <w:r>
        <w:rPr>
          <w:szCs w:val="22"/>
        </w:rPr>
        <w:t xml:space="preserve"> are listed in </w:t>
      </w:r>
      <w:r w:rsidR="00127CEF">
        <w:rPr>
          <w:szCs w:val="22"/>
        </w:rPr>
        <w:fldChar w:fldCharType="begin"/>
      </w:r>
      <w:r>
        <w:rPr>
          <w:szCs w:val="22"/>
        </w:rPr>
        <w:instrText xml:space="preserve"> REF _Ref435110061 \h </w:instrText>
      </w:r>
      <w:r w:rsidR="00127CEF">
        <w:rPr>
          <w:szCs w:val="22"/>
        </w:rPr>
      </w:r>
      <w:r w:rsidR="00127CEF">
        <w:rPr>
          <w:szCs w:val="22"/>
        </w:rPr>
        <w:fldChar w:fldCharType="separate"/>
      </w:r>
      <w:r w:rsidR="00C022B9" w:rsidRPr="00E910DC">
        <w:rPr>
          <w:color w:val="000000" w:themeColor="text1"/>
        </w:rPr>
        <w:t xml:space="preserve">Table </w:t>
      </w:r>
      <w:r w:rsidR="00C022B9">
        <w:rPr>
          <w:noProof/>
          <w:color w:val="000000" w:themeColor="text1"/>
        </w:rPr>
        <w:t>3</w:t>
      </w:r>
      <w:r w:rsidR="00127CEF">
        <w:rPr>
          <w:szCs w:val="22"/>
        </w:rPr>
        <w:fldChar w:fldCharType="end"/>
      </w:r>
      <w:r>
        <w:rPr>
          <w:szCs w:val="22"/>
        </w:rPr>
        <w:t>.</w:t>
      </w:r>
    </w:p>
    <w:p w:rsidR="0019292C" w:rsidRPr="0067441C" w:rsidRDefault="0019292C" w:rsidP="0019292C">
      <w:pPr>
        <w:pStyle w:val="TextStandard"/>
        <w:rPr>
          <w:lang w:val="en-US"/>
        </w:rPr>
      </w:pPr>
      <w:bookmarkStart w:id="18" w:name="_GoBack"/>
      <w:bookmarkEnd w:id="18"/>
    </w:p>
    <w:p w:rsidR="0019292C" w:rsidRPr="00E910DC" w:rsidRDefault="0019292C" w:rsidP="0019292C">
      <w:pPr>
        <w:pStyle w:val="Beschriftung"/>
        <w:keepNext/>
        <w:jc w:val="center"/>
        <w:rPr>
          <w:color w:val="000000" w:themeColor="text1"/>
        </w:rPr>
      </w:pPr>
      <w:bookmarkStart w:id="19" w:name="_Ref435110061"/>
      <w:r w:rsidRPr="00E910DC">
        <w:rPr>
          <w:color w:val="000000" w:themeColor="text1"/>
        </w:rPr>
        <w:t xml:space="preserve">Table </w:t>
      </w:r>
      <w:r w:rsidR="00127CEF" w:rsidRPr="00E910DC">
        <w:rPr>
          <w:color w:val="000000" w:themeColor="text1"/>
        </w:rPr>
        <w:fldChar w:fldCharType="begin"/>
      </w:r>
      <w:r w:rsidRPr="00E910DC">
        <w:rPr>
          <w:color w:val="000000" w:themeColor="text1"/>
        </w:rPr>
        <w:instrText xml:space="preserve"> SEQ Table \* ARABIC </w:instrText>
      </w:r>
      <w:r w:rsidR="00127CEF" w:rsidRPr="00E910DC">
        <w:rPr>
          <w:color w:val="000000" w:themeColor="text1"/>
        </w:rPr>
        <w:fldChar w:fldCharType="separate"/>
      </w:r>
      <w:r w:rsidR="00C022B9">
        <w:rPr>
          <w:noProof/>
          <w:color w:val="000000" w:themeColor="text1"/>
        </w:rPr>
        <w:t>3</w:t>
      </w:r>
      <w:r w:rsidR="00127CEF" w:rsidRPr="00E910DC">
        <w:rPr>
          <w:color w:val="000000" w:themeColor="text1"/>
        </w:rPr>
        <w:fldChar w:fldCharType="end"/>
      </w:r>
      <w:bookmarkEnd w:id="19"/>
      <w:r w:rsidRPr="00E910DC">
        <w:rPr>
          <w:color w:val="000000" w:themeColor="text1"/>
        </w:rPr>
        <w:t>: Parameters of the Path Loss Model for Chip to Chip Communications under NLOS Conditions</w:t>
      </w:r>
    </w:p>
    <w:tbl>
      <w:tblPr>
        <w:tblStyle w:val="Tabellengitternetz"/>
        <w:tblW w:w="0" w:type="auto"/>
        <w:tblLook w:val="04A0"/>
      </w:tblPr>
      <w:tblGrid>
        <w:gridCol w:w="2376"/>
        <w:gridCol w:w="2291"/>
        <w:gridCol w:w="2291"/>
        <w:gridCol w:w="2291"/>
      </w:tblGrid>
      <w:tr w:rsidR="0019292C" w:rsidTr="00202E45">
        <w:trPr>
          <w:trHeight w:val="285"/>
        </w:trPr>
        <w:tc>
          <w:tcPr>
            <w:tcW w:w="2376" w:type="dxa"/>
          </w:tcPr>
          <w:p w:rsidR="0019292C" w:rsidRPr="00584198" w:rsidRDefault="0019292C" w:rsidP="00202E45">
            <w:pPr>
              <w:pStyle w:val="TextStandard"/>
              <w:spacing w:after="240" w:line="240" w:lineRule="auto"/>
              <w:contextualSpacing/>
              <w:jc w:val="center"/>
              <w:rPr>
                <w:b/>
                <w:lang w:val="en-US"/>
              </w:rPr>
            </w:pPr>
            <w:r w:rsidRPr="00584198">
              <w:rPr>
                <w:b/>
                <w:lang w:val="en-US"/>
              </w:rPr>
              <w:t>Scenario</w:t>
            </w:r>
          </w:p>
        </w:tc>
        <w:tc>
          <w:tcPr>
            <w:tcW w:w="2291" w:type="dxa"/>
          </w:tcPr>
          <w:p w:rsidR="0019292C" w:rsidRPr="00584198" w:rsidRDefault="00127CEF" w:rsidP="00202E45">
            <w:pPr>
              <w:pStyle w:val="TextStandard"/>
              <w:spacing w:after="240" w:line="240" w:lineRule="auto"/>
              <w:contextualSpacing/>
              <w:jc w:val="center"/>
              <w:rPr>
                <w:b/>
                <w:szCs w:val="22"/>
              </w:rPr>
            </w:pPr>
            <m:oMathPara>
              <m:oMath>
                <m:sSub>
                  <m:sSubPr>
                    <m:ctrlPr>
                      <w:rPr>
                        <w:rFonts w:ascii="Cambria Math" w:hAnsi="Cambria Math"/>
                        <w:b/>
                        <w:i/>
                        <w:szCs w:val="22"/>
                      </w:rPr>
                    </m:ctrlPr>
                  </m:sSubPr>
                  <m:e>
                    <m:r>
                      <m:rPr>
                        <m:sty m:val="bi"/>
                      </m:rPr>
                      <w:rPr>
                        <w:rFonts w:ascii="Cambria Math" w:hAnsi="Cambria Math"/>
                      </w:rPr>
                      <m:t>PL</m:t>
                    </m:r>
                  </m:e>
                  <m:sub>
                    <m:r>
                      <m:rPr>
                        <m:sty m:val="bi"/>
                      </m:rPr>
                      <w:rPr>
                        <w:rFonts w:ascii="Cambria Math" w:hAnsi="Cambria Math"/>
                        <w:szCs w:val="22"/>
                      </w:rPr>
                      <m:t>0</m:t>
                    </m:r>
                  </m:sub>
                </m:sSub>
              </m:oMath>
            </m:oMathPara>
          </w:p>
        </w:tc>
        <w:tc>
          <w:tcPr>
            <w:tcW w:w="2291" w:type="dxa"/>
          </w:tcPr>
          <w:p w:rsidR="0019292C" w:rsidRPr="00584198" w:rsidRDefault="0019292C" w:rsidP="00202E45">
            <w:pPr>
              <w:pStyle w:val="TextStandard"/>
              <w:spacing w:after="240" w:line="240" w:lineRule="auto"/>
              <w:contextualSpacing/>
              <w:jc w:val="center"/>
              <w:rPr>
                <w:b/>
                <w:lang w:val="en-US"/>
              </w:rPr>
            </w:pPr>
            <m:oMathPara>
              <m:oMath>
                <m:r>
                  <m:rPr>
                    <m:sty m:val="bi"/>
                  </m:rPr>
                  <w:rPr>
                    <w:rFonts w:ascii="Cambria Math" w:hAnsi="Cambria Math"/>
                  </w:rPr>
                  <m:t>ζ</m:t>
                </m:r>
              </m:oMath>
            </m:oMathPara>
          </w:p>
        </w:tc>
        <w:tc>
          <w:tcPr>
            <w:tcW w:w="2291" w:type="dxa"/>
          </w:tcPr>
          <w:p w:rsidR="0019292C" w:rsidRPr="00584198" w:rsidRDefault="0019292C" w:rsidP="00202E45">
            <w:pPr>
              <w:pStyle w:val="TextStandard"/>
              <w:spacing w:after="240" w:line="240" w:lineRule="auto"/>
              <w:contextualSpacing/>
              <w:jc w:val="center"/>
              <w:rPr>
                <w:b/>
                <w:lang w:val="en-US"/>
              </w:rPr>
            </w:pPr>
            <w:r>
              <w:rPr>
                <w:b/>
              </w:rPr>
              <w:t>RMSE</w:t>
            </w:r>
            <w:r w:rsidRPr="006C7A9B">
              <w:rPr>
                <w:b/>
              </w:rPr>
              <w:t>(</w:t>
            </w:r>
            <w:proofErr w:type="spellStart"/>
            <w:r w:rsidRPr="006C7A9B">
              <w:rPr>
                <w:b/>
                <w:i/>
              </w:rPr>
              <w:t>χ</w:t>
            </w:r>
            <w:r w:rsidRPr="006C7A9B">
              <w:rPr>
                <w:b/>
                <w:i/>
                <w:vertAlign w:val="subscript"/>
              </w:rPr>
              <w:t>g</w:t>
            </w:r>
            <w:proofErr w:type="spellEnd"/>
            <w:r w:rsidRPr="006C7A9B">
              <w:rPr>
                <w:b/>
              </w:rPr>
              <w:t>)</w:t>
            </w:r>
          </w:p>
        </w:tc>
      </w:tr>
      <w:tr w:rsidR="0019292C" w:rsidTr="00202E45">
        <w:trPr>
          <w:trHeight w:val="227"/>
        </w:trPr>
        <w:tc>
          <w:tcPr>
            <w:tcW w:w="2376" w:type="dxa"/>
          </w:tcPr>
          <w:p w:rsidR="0019292C" w:rsidRDefault="0019292C" w:rsidP="00202E45">
            <w:pPr>
              <w:pStyle w:val="TextStandard"/>
              <w:spacing w:after="240" w:line="240" w:lineRule="auto"/>
              <w:contextualSpacing/>
              <w:jc w:val="center"/>
              <w:rPr>
                <w:lang w:val="en-US"/>
              </w:rPr>
            </w:pPr>
            <w:r>
              <w:rPr>
                <w:lang w:val="en-US"/>
              </w:rPr>
              <w:t>Chip to Chip NLOS,</w:t>
            </w:r>
          </w:p>
          <w:p w:rsidR="0019292C" w:rsidRDefault="0019292C" w:rsidP="00202E45">
            <w:pPr>
              <w:pStyle w:val="TextStandard"/>
              <w:spacing w:after="240" w:line="240" w:lineRule="auto"/>
              <w:contextualSpacing/>
              <w:jc w:val="center"/>
              <w:rPr>
                <w:lang w:val="en-US"/>
              </w:rPr>
            </w:pPr>
            <w:r>
              <w:rPr>
                <w:lang w:val="en-US"/>
              </w:rPr>
              <w:t>vertical</w:t>
            </w:r>
          </w:p>
        </w:tc>
        <w:tc>
          <w:tcPr>
            <w:tcW w:w="2291" w:type="dxa"/>
          </w:tcPr>
          <w:p w:rsidR="0019292C" w:rsidRDefault="0019292C" w:rsidP="00202E45">
            <w:pPr>
              <w:pStyle w:val="TextStandard"/>
              <w:spacing w:after="240" w:line="240" w:lineRule="auto"/>
              <w:contextualSpacing/>
              <w:jc w:val="center"/>
              <w:rPr>
                <w:lang w:val="en-US"/>
              </w:rPr>
            </w:pPr>
            <w:r>
              <w:rPr>
                <w:lang w:val="en-US"/>
              </w:rPr>
              <w:t>44.85</w:t>
            </w:r>
          </w:p>
        </w:tc>
        <w:tc>
          <w:tcPr>
            <w:tcW w:w="2291" w:type="dxa"/>
          </w:tcPr>
          <w:p w:rsidR="0019292C" w:rsidRDefault="0019292C" w:rsidP="00202E45">
            <w:pPr>
              <w:pStyle w:val="TextStandard"/>
              <w:spacing w:after="240" w:line="240" w:lineRule="auto"/>
              <w:contextualSpacing/>
              <w:jc w:val="center"/>
              <w:rPr>
                <w:lang w:val="en-US"/>
              </w:rPr>
            </w:pPr>
            <w:r>
              <w:rPr>
                <w:lang w:val="en-US"/>
              </w:rPr>
              <w:t>40.64</w:t>
            </w:r>
          </w:p>
        </w:tc>
        <w:tc>
          <w:tcPr>
            <w:tcW w:w="2291" w:type="dxa"/>
          </w:tcPr>
          <w:p w:rsidR="0019292C" w:rsidRDefault="0019292C" w:rsidP="00202E45">
            <w:pPr>
              <w:pStyle w:val="TextStandard"/>
              <w:spacing w:after="240" w:line="240" w:lineRule="auto"/>
              <w:contextualSpacing/>
              <w:jc w:val="center"/>
              <w:rPr>
                <w:lang w:val="en-US"/>
              </w:rPr>
            </w:pPr>
            <w:r>
              <w:rPr>
                <w:lang w:val="en-US"/>
              </w:rPr>
              <w:t>1.1934</w:t>
            </w:r>
          </w:p>
        </w:tc>
      </w:tr>
      <w:tr w:rsidR="0019292C" w:rsidTr="00202E45">
        <w:trPr>
          <w:trHeight w:val="227"/>
        </w:trPr>
        <w:tc>
          <w:tcPr>
            <w:tcW w:w="2376" w:type="dxa"/>
          </w:tcPr>
          <w:p w:rsidR="0019292C" w:rsidRDefault="0019292C" w:rsidP="00202E45">
            <w:pPr>
              <w:pStyle w:val="TextStandard"/>
              <w:spacing w:after="240" w:line="240" w:lineRule="auto"/>
              <w:contextualSpacing/>
              <w:jc w:val="center"/>
              <w:rPr>
                <w:lang w:val="en-US"/>
              </w:rPr>
            </w:pPr>
            <w:r>
              <w:rPr>
                <w:lang w:val="en-US"/>
              </w:rPr>
              <w:t>Chip to Chip NLOS,</w:t>
            </w:r>
          </w:p>
          <w:p w:rsidR="0019292C" w:rsidRDefault="0019292C" w:rsidP="00202E45">
            <w:pPr>
              <w:pStyle w:val="TextStandard"/>
              <w:spacing w:after="240" w:line="240" w:lineRule="auto"/>
              <w:contextualSpacing/>
              <w:jc w:val="center"/>
              <w:rPr>
                <w:lang w:val="en-US"/>
              </w:rPr>
            </w:pPr>
            <w:r>
              <w:rPr>
                <w:lang w:val="en-US"/>
              </w:rPr>
              <w:t>circular</w:t>
            </w:r>
          </w:p>
        </w:tc>
        <w:tc>
          <w:tcPr>
            <w:tcW w:w="2291" w:type="dxa"/>
          </w:tcPr>
          <w:p w:rsidR="0019292C" w:rsidRDefault="0019292C" w:rsidP="00202E45">
            <w:pPr>
              <w:pStyle w:val="TextStandard"/>
              <w:spacing w:after="240" w:line="240" w:lineRule="auto"/>
              <w:contextualSpacing/>
              <w:jc w:val="center"/>
              <w:rPr>
                <w:lang w:val="en-US"/>
              </w:rPr>
            </w:pPr>
            <w:r>
              <w:rPr>
                <w:lang w:val="en-US"/>
              </w:rPr>
              <w:t>51.49</w:t>
            </w:r>
          </w:p>
        </w:tc>
        <w:tc>
          <w:tcPr>
            <w:tcW w:w="2291" w:type="dxa"/>
          </w:tcPr>
          <w:p w:rsidR="0019292C" w:rsidRDefault="0019292C" w:rsidP="00202E45">
            <w:pPr>
              <w:pStyle w:val="TextStandard"/>
              <w:spacing w:after="240" w:line="240" w:lineRule="auto"/>
              <w:contextualSpacing/>
              <w:jc w:val="center"/>
              <w:rPr>
                <w:lang w:val="en-US"/>
              </w:rPr>
            </w:pPr>
            <w:r>
              <w:rPr>
                <w:lang w:val="en-US"/>
              </w:rPr>
              <w:t>43.13</w:t>
            </w:r>
          </w:p>
        </w:tc>
        <w:tc>
          <w:tcPr>
            <w:tcW w:w="2291" w:type="dxa"/>
          </w:tcPr>
          <w:p w:rsidR="0019292C" w:rsidRDefault="0019292C" w:rsidP="00202E45">
            <w:pPr>
              <w:pStyle w:val="TextStandard"/>
              <w:spacing w:after="240" w:line="240" w:lineRule="auto"/>
              <w:contextualSpacing/>
              <w:jc w:val="center"/>
              <w:rPr>
                <w:lang w:val="en-US"/>
              </w:rPr>
            </w:pPr>
            <w:r>
              <w:rPr>
                <w:lang w:val="en-US"/>
              </w:rPr>
              <w:t>1.1020</w:t>
            </w:r>
          </w:p>
        </w:tc>
      </w:tr>
    </w:tbl>
    <w:p w:rsidR="0019292C" w:rsidRDefault="0019292C" w:rsidP="0019292C">
      <w:pPr>
        <w:pStyle w:val="TextStandard"/>
        <w:rPr>
          <w:lang w:val="en-US"/>
        </w:rPr>
      </w:pPr>
    </w:p>
    <w:p w:rsidR="0019292C" w:rsidRDefault="00127CEF" w:rsidP="0019292C">
      <w:pPr>
        <w:pStyle w:val="TextStandard"/>
        <w:rPr>
          <w:lang w:val="en-US"/>
        </w:rPr>
      </w:pPr>
      <w:r>
        <w:rPr>
          <w:lang w:val="en-US"/>
        </w:rPr>
        <w:fldChar w:fldCharType="begin"/>
      </w:r>
      <w:r w:rsidR="0019292C">
        <w:rPr>
          <w:lang w:val="en-US"/>
        </w:rPr>
        <w:instrText xml:space="preserve"> REF _Ref435110086 \h </w:instrText>
      </w:r>
      <w:r>
        <w:rPr>
          <w:lang w:val="en-US"/>
        </w:rPr>
      </w:r>
      <w:r>
        <w:rPr>
          <w:lang w:val="en-US"/>
        </w:rPr>
        <w:fldChar w:fldCharType="separate"/>
      </w:r>
      <w:r w:rsidR="00C022B9" w:rsidRPr="00A458D5">
        <w:rPr>
          <w:color w:val="000000" w:themeColor="text1"/>
        </w:rPr>
        <w:t xml:space="preserve">Figure </w:t>
      </w:r>
      <w:r w:rsidR="00C022B9">
        <w:rPr>
          <w:noProof/>
          <w:color w:val="000000" w:themeColor="text1"/>
        </w:rPr>
        <w:t>16</w:t>
      </w:r>
      <w:r>
        <w:rPr>
          <w:lang w:val="en-US"/>
        </w:rPr>
        <w:fldChar w:fldCharType="end"/>
      </w:r>
      <w:r w:rsidR="0019292C">
        <w:rPr>
          <w:lang w:val="en-US"/>
        </w:rPr>
        <w:t xml:space="preserve"> and </w:t>
      </w:r>
      <w:r>
        <w:rPr>
          <w:lang w:val="en-US"/>
        </w:rPr>
        <w:fldChar w:fldCharType="begin"/>
      </w:r>
      <w:r w:rsidR="0019292C">
        <w:rPr>
          <w:lang w:val="en-US"/>
        </w:rPr>
        <w:instrText xml:space="preserve"> REF _Ref435110089 \h </w:instrText>
      </w:r>
      <w:r>
        <w:rPr>
          <w:lang w:val="en-US"/>
        </w:rPr>
      </w:r>
      <w:r>
        <w:rPr>
          <w:lang w:val="en-US"/>
        </w:rPr>
        <w:fldChar w:fldCharType="separate"/>
      </w:r>
      <w:r w:rsidR="00C022B9" w:rsidRPr="00A458D5">
        <w:rPr>
          <w:color w:val="000000" w:themeColor="text1"/>
        </w:rPr>
        <w:t xml:space="preserve">Figure </w:t>
      </w:r>
      <w:r w:rsidR="00C022B9">
        <w:rPr>
          <w:noProof/>
          <w:color w:val="000000" w:themeColor="text1"/>
        </w:rPr>
        <w:t>17</w:t>
      </w:r>
      <w:r>
        <w:rPr>
          <w:lang w:val="en-US"/>
        </w:rPr>
        <w:fldChar w:fldCharType="end"/>
      </w:r>
      <w:r w:rsidR="0019292C">
        <w:rPr>
          <w:lang w:val="en-US"/>
        </w:rPr>
        <w:t xml:space="preserve"> present the envelopes of the channel impulse responses generated for every scenario. Along with the path loss, they can be utilized to create a mask in time domain that represents the worst-case assumption regarding temporal channel dispersion.</w:t>
      </w:r>
    </w:p>
    <w:p w:rsidR="0019292C" w:rsidRDefault="00127CEF" w:rsidP="0019292C">
      <w:pPr>
        <w:pStyle w:val="TextStandard"/>
        <w:keepNext/>
      </w:pPr>
      <w:r w:rsidRPr="00127CEF">
        <w:rPr>
          <w:noProof/>
          <w:lang w:val="en-US" w:eastAsia="en-US"/>
        </w:rPr>
        <w:lastRenderedPageBreak/>
        <w:pict>
          <v:shape id="Text Box 44" o:spid="_x0000_s1041" type="#_x0000_t202" style="position:absolute;left:0;text-align:left;margin-left:253.25pt;margin-top:167.85pt;width:23.75pt;height:19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uChwIAABc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" stroked="f">
            <v:textbox>
              <w:txbxContent>
                <w:p w:rsidR="00202E45" w:rsidRDefault="00202E45" w:rsidP="0019292C">
                  <w:pPr>
                    <w:rPr>
                      <w:lang w:val="de-DE"/>
                    </w:rPr>
                  </w:pPr>
                  <w:r>
                    <w:rPr>
                      <w:lang w:val="de-DE"/>
                    </w:rPr>
                    <w:t>b)</w:t>
                  </w:r>
                </w:p>
              </w:txbxContent>
            </v:textbox>
          </v:shape>
        </w:pict>
      </w:r>
      <w:r w:rsidRPr="00127CEF">
        <w:rPr>
          <w:noProof/>
          <w:lang w:val="en-US" w:eastAsia="en-US"/>
        </w:rPr>
        <w:pict>
          <v:shape id="Text Box 40" o:spid="_x0000_s1042" type="#_x0000_t202" style="position:absolute;left:0;text-align:left;margin-left:28.3pt;margin-top:167.85pt;width:23.7pt;height:19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" stroked="f">
            <v:textbox>
              <w:txbxContent>
                <w:p w:rsidR="00202E45" w:rsidRDefault="00202E45" w:rsidP="0019292C">
                  <w:pPr>
                    <w:rPr>
                      <w:lang w:val="de-DE"/>
                    </w:rPr>
                  </w:pPr>
                  <w:r>
                    <w:rPr>
                      <w:lang w:val="de-DE"/>
                    </w:rPr>
                    <w:t>a)</w:t>
                  </w:r>
                </w:p>
              </w:txbxContent>
            </v:textbox>
          </v:shape>
        </w:pict>
      </w:r>
      <w:r w:rsidR="0019292C">
        <w:rPr>
          <w:noProof/>
          <w:lang w:val="de-DE"/>
        </w:rPr>
        <w:drawing>
          <wp:inline distT="0" distB="0" distL="0" distR="0">
            <wp:extent cx="2844000" cy="2430403"/>
            <wp:effectExtent l="19050" t="0" r="0" b="0"/>
            <wp:docPr id="103"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l="3566" r="8588"/>
                    <a:stretch>
                      <a:fillRect/>
                    </a:stretch>
                  </pic:blipFill>
                  <pic:spPr bwMode="auto">
                    <a:xfrm>
                      <a:off x="0" y="0"/>
                      <a:ext cx="2844000" cy="2430403"/>
                    </a:xfrm>
                    <a:prstGeom prst="rect">
                      <a:avLst/>
                    </a:prstGeom>
                    <a:noFill/>
                    <a:ln w="9525">
                      <a:noFill/>
                      <a:miter lim="800000"/>
                      <a:headEnd/>
                      <a:tailEnd/>
                    </a:ln>
                  </pic:spPr>
                </pic:pic>
              </a:graphicData>
            </a:graphic>
          </wp:inline>
        </w:drawing>
      </w:r>
      <w:r w:rsidR="0019292C">
        <w:rPr>
          <w:noProof/>
          <w:lang w:val="de-DE"/>
        </w:rPr>
        <w:drawing>
          <wp:inline distT="0" distB="0" distL="0" distR="0">
            <wp:extent cx="2844000" cy="2435229"/>
            <wp:effectExtent l="19050" t="0" r="0" b="0"/>
            <wp:docPr id="102"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l="3566" r="8750"/>
                    <a:stretch>
                      <a:fillRect/>
                    </a:stretch>
                  </pic:blipFill>
                  <pic:spPr bwMode="auto">
                    <a:xfrm>
                      <a:off x="0" y="0"/>
                      <a:ext cx="2844000" cy="2435229"/>
                    </a:xfrm>
                    <a:prstGeom prst="rect">
                      <a:avLst/>
                    </a:prstGeom>
                    <a:noFill/>
                    <a:ln w="9525">
                      <a:noFill/>
                      <a:miter lim="800000"/>
                      <a:headEnd/>
                      <a:tailEnd/>
                    </a:ln>
                  </pic:spPr>
                </pic:pic>
              </a:graphicData>
            </a:graphic>
          </wp:inline>
        </w:drawing>
      </w:r>
    </w:p>
    <w:p w:rsidR="0019292C" w:rsidRDefault="0019292C" w:rsidP="0019292C">
      <w:pPr>
        <w:pStyle w:val="Beschriftung"/>
        <w:jc w:val="center"/>
        <w:rPr>
          <w:color w:val="000000" w:themeColor="text1"/>
        </w:rPr>
      </w:pPr>
      <w:bookmarkStart w:id="20" w:name="_Ref435110086"/>
      <w:r w:rsidRPr="00A458D5">
        <w:rPr>
          <w:color w:val="000000" w:themeColor="text1"/>
        </w:rPr>
        <w:t xml:space="preserve">Figure </w:t>
      </w:r>
      <w:r w:rsidR="00127CEF" w:rsidRPr="00A458D5">
        <w:rPr>
          <w:color w:val="000000" w:themeColor="text1"/>
        </w:rPr>
        <w:fldChar w:fldCharType="begin"/>
      </w:r>
      <w:r w:rsidRPr="00A458D5">
        <w:rPr>
          <w:color w:val="000000" w:themeColor="text1"/>
        </w:rPr>
        <w:instrText xml:space="preserve"> SEQ Figure \* ARABIC </w:instrText>
      </w:r>
      <w:r w:rsidR="00127CEF" w:rsidRPr="00A458D5">
        <w:rPr>
          <w:color w:val="000000" w:themeColor="text1"/>
        </w:rPr>
        <w:fldChar w:fldCharType="separate"/>
      </w:r>
      <w:r w:rsidR="00C022B9">
        <w:rPr>
          <w:noProof/>
          <w:color w:val="000000" w:themeColor="text1"/>
        </w:rPr>
        <w:t>16</w:t>
      </w:r>
      <w:r w:rsidR="00127CEF" w:rsidRPr="00A458D5">
        <w:rPr>
          <w:color w:val="000000" w:themeColor="text1"/>
        </w:rPr>
        <w:fldChar w:fldCharType="end"/>
      </w:r>
      <w:bookmarkEnd w:id="20"/>
      <w:r w:rsidRPr="00A458D5">
        <w:rPr>
          <w:color w:val="000000" w:themeColor="text1"/>
        </w:rPr>
        <w:t xml:space="preserve">: Envelope of the Channel Impulse Responses for Chip to Chip Communications </w:t>
      </w:r>
      <w:r w:rsidRPr="00A458D5">
        <w:rPr>
          <w:color w:val="000000" w:themeColor="text1"/>
        </w:rPr>
        <w:br/>
        <w:t>under LOS Condition</w:t>
      </w:r>
      <w:r>
        <w:rPr>
          <w:color w:val="000000" w:themeColor="text1"/>
        </w:rPr>
        <w:br/>
        <w:t>a) Linear Vertical Polarization b) Left-Hand Circular Polarization</w:t>
      </w:r>
    </w:p>
    <w:p w:rsidR="0019292C" w:rsidRPr="00847FFC" w:rsidRDefault="0019292C" w:rsidP="0019292C">
      <w:pPr>
        <w:pStyle w:val="TextStandard"/>
      </w:pPr>
      <w:r>
        <w:t xml:space="preserve">From </w:t>
      </w:r>
      <w:r w:rsidR="00127CEF">
        <w:fldChar w:fldCharType="begin"/>
      </w:r>
      <w:r>
        <w:instrText xml:space="preserve"> REF _Ref435110086 \h </w:instrText>
      </w:r>
      <w:r w:rsidR="00127CEF">
        <w:fldChar w:fldCharType="separate"/>
      </w:r>
      <w:r w:rsidR="00C022B9" w:rsidRPr="00A458D5">
        <w:rPr>
          <w:color w:val="000000" w:themeColor="text1"/>
        </w:rPr>
        <w:t xml:space="preserve">Figure </w:t>
      </w:r>
      <w:r w:rsidR="00C022B9">
        <w:rPr>
          <w:noProof/>
          <w:color w:val="000000" w:themeColor="text1"/>
        </w:rPr>
        <w:t>16</w:t>
      </w:r>
      <w:r w:rsidR="00127CEF">
        <w:fldChar w:fldCharType="end"/>
      </w:r>
      <w:r>
        <w:t xml:space="preserve">, it becomes evident that a multipath profile exists even under the assumption of high-gain antennas for chip-to-chip communications. However, comparing Figure a) and Figure b), the multipath richness can be </w:t>
      </w:r>
      <w:r w:rsidR="007E38E5">
        <w:t>significantly</w:t>
      </w:r>
      <w:r>
        <w:t xml:space="preserve"> reduced if circular polarization is applied.</w:t>
      </w:r>
    </w:p>
    <w:p w:rsidR="0019292C" w:rsidRDefault="00127CEF" w:rsidP="0019292C">
      <w:pPr>
        <w:pStyle w:val="TextStandard"/>
        <w:keepNext/>
      </w:pPr>
      <w:r w:rsidRPr="00127CEF">
        <w:rPr>
          <w:noProof/>
          <w:lang w:val="en-US" w:eastAsia="en-US"/>
        </w:rPr>
        <w:pict>
          <v:shape id="Text Box 45" o:spid="_x0000_s1043" type="#_x0000_t202" style="position:absolute;left:0;text-align:left;margin-left:257.25pt;margin-top:166.85pt;width:23.75pt;height:19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" stroked="f">
            <v:textbox>
              <w:txbxContent>
                <w:p w:rsidR="00202E45" w:rsidRDefault="00202E45" w:rsidP="0019292C">
                  <w:pPr>
                    <w:rPr>
                      <w:lang w:val="de-DE"/>
                    </w:rPr>
                  </w:pPr>
                  <w:r>
                    <w:rPr>
                      <w:lang w:val="de-DE"/>
                    </w:rPr>
                    <w:t>b)</w:t>
                  </w:r>
                </w:p>
              </w:txbxContent>
            </v:textbox>
          </v:shape>
        </w:pict>
      </w:r>
      <w:r w:rsidRPr="00127CEF">
        <w:rPr>
          <w:noProof/>
          <w:lang w:val="en-US" w:eastAsia="en-US"/>
        </w:rPr>
        <w:pict>
          <v:shape id="Text Box 41" o:spid="_x0000_s1044" type="#_x0000_t202" style="position:absolute;left:0;text-align:left;margin-left:34.05pt;margin-top:167.55pt;width:23.7pt;height:19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" stroked="f">
            <v:textbox>
              <w:txbxContent>
                <w:p w:rsidR="00202E45" w:rsidRDefault="00202E45" w:rsidP="0019292C">
                  <w:pPr>
                    <w:rPr>
                      <w:lang w:val="de-DE"/>
                    </w:rPr>
                  </w:pPr>
                  <w:r>
                    <w:rPr>
                      <w:lang w:val="de-DE"/>
                    </w:rPr>
                    <w:t>a)</w:t>
                  </w:r>
                </w:p>
              </w:txbxContent>
            </v:textbox>
          </v:shape>
        </w:pict>
      </w:r>
      <w:r w:rsidR="0019292C" w:rsidRPr="000F216C">
        <w:rPr>
          <w:lang w:val="en-US"/>
        </w:rPr>
        <w:t xml:space="preserve"> </w:t>
      </w:r>
      <w:r w:rsidR="0019292C">
        <w:rPr>
          <w:noProof/>
          <w:lang w:val="de-DE"/>
        </w:rPr>
        <w:drawing>
          <wp:inline distT="0" distB="0" distL="0" distR="0">
            <wp:extent cx="2836800" cy="2425706"/>
            <wp:effectExtent l="19050" t="0" r="1650" b="0"/>
            <wp:docPr id="159"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srcRect l="3566" r="8750"/>
                    <a:stretch>
                      <a:fillRect/>
                    </a:stretch>
                  </pic:blipFill>
                  <pic:spPr bwMode="auto">
                    <a:xfrm>
                      <a:off x="0" y="0"/>
                      <a:ext cx="2836800" cy="2425706"/>
                    </a:xfrm>
                    <a:prstGeom prst="rect">
                      <a:avLst/>
                    </a:prstGeom>
                    <a:noFill/>
                    <a:ln w="9525">
                      <a:noFill/>
                      <a:miter lim="800000"/>
                      <a:headEnd/>
                      <a:tailEnd/>
                    </a:ln>
                  </pic:spPr>
                </pic:pic>
              </a:graphicData>
            </a:graphic>
          </wp:inline>
        </w:drawing>
      </w:r>
      <w:r w:rsidR="0019292C">
        <w:rPr>
          <w:noProof/>
          <w:lang w:val="de-DE"/>
        </w:rPr>
        <w:drawing>
          <wp:inline distT="0" distB="0" distL="0" distR="0">
            <wp:extent cx="2836800" cy="2417104"/>
            <wp:effectExtent l="19050" t="0" r="1650" b="0"/>
            <wp:docPr id="158"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srcRect l="3404" r="8588"/>
                    <a:stretch>
                      <a:fillRect/>
                    </a:stretch>
                  </pic:blipFill>
                  <pic:spPr bwMode="auto">
                    <a:xfrm>
                      <a:off x="0" y="0"/>
                      <a:ext cx="2836800" cy="2417104"/>
                    </a:xfrm>
                    <a:prstGeom prst="rect">
                      <a:avLst/>
                    </a:prstGeom>
                    <a:noFill/>
                    <a:ln w="9525">
                      <a:noFill/>
                      <a:miter lim="800000"/>
                      <a:headEnd/>
                      <a:tailEnd/>
                    </a:ln>
                  </pic:spPr>
                </pic:pic>
              </a:graphicData>
            </a:graphic>
          </wp:inline>
        </w:drawing>
      </w:r>
    </w:p>
    <w:p w:rsidR="0019292C" w:rsidRPr="00A458D5" w:rsidRDefault="0019292C" w:rsidP="0019292C">
      <w:pPr>
        <w:pStyle w:val="Beschriftung"/>
        <w:jc w:val="center"/>
        <w:rPr>
          <w:color w:val="000000" w:themeColor="text1"/>
        </w:rPr>
      </w:pPr>
      <w:bookmarkStart w:id="21" w:name="_Ref435110089"/>
      <w:r w:rsidRPr="00A458D5">
        <w:rPr>
          <w:color w:val="000000" w:themeColor="text1"/>
        </w:rPr>
        <w:t xml:space="preserve">Figure </w:t>
      </w:r>
      <w:r w:rsidR="00127CEF" w:rsidRPr="00A458D5">
        <w:rPr>
          <w:color w:val="000000" w:themeColor="text1"/>
        </w:rPr>
        <w:fldChar w:fldCharType="begin"/>
      </w:r>
      <w:r w:rsidRPr="00A458D5">
        <w:rPr>
          <w:color w:val="000000" w:themeColor="text1"/>
        </w:rPr>
        <w:instrText xml:space="preserve"> SEQ Figure \* ARABIC </w:instrText>
      </w:r>
      <w:r w:rsidR="00127CEF" w:rsidRPr="00A458D5">
        <w:rPr>
          <w:color w:val="000000" w:themeColor="text1"/>
        </w:rPr>
        <w:fldChar w:fldCharType="separate"/>
      </w:r>
      <w:r w:rsidR="00C022B9">
        <w:rPr>
          <w:noProof/>
          <w:color w:val="000000" w:themeColor="text1"/>
        </w:rPr>
        <w:t>17</w:t>
      </w:r>
      <w:r w:rsidR="00127CEF" w:rsidRPr="00A458D5">
        <w:rPr>
          <w:color w:val="000000" w:themeColor="text1"/>
        </w:rPr>
        <w:fldChar w:fldCharType="end"/>
      </w:r>
      <w:bookmarkEnd w:id="21"/>
      <w:r w:rsidRPr="00A458D5">
        <w:rPr>
          <w:color w:val="000000" w:themeColor="text1"/>
        </w:rPr>
        <w:t>: Envelope of the Channel Impulse Responses for Chip to Chip Communications</w:t>
      </w:r>
      <w:r w:rsidRPr="00A458D5">
        <w:rPr>
          <w:color w:val="000000" w:themeColor="text1"/>
        </w:rPr>
        <w:br/>
        <w:t>under NLOS Condition</w:t>
      </w:r>
      <w:r>
        <w:rPr>
          <w:color w:val="000000" w:themeColor="text1"/>
        </w:rPr>
        <w:br/>
        <w:t>a) Linear Vertical Polarization b) Left-Hand Circular Polarization</w:t>
      </w:r>
    </w:p>
    <w:p w:rsidR="004C1DAD" w:rsidRDefault="0019292C" w:rsidP="0019292C">
      <w:pPr>
        <w:pStyle w:val="TextStandard"/>
        <w:rPr>
          <w:lang w:val="en-US"/>
        </w:rPr>
      </w:pPr>
      <w:r w:rsidRPr="00BC5BBC">
        <w:rPr>
          <w:lang w:val="en-US"/>
        </w:rPr>
        <w:t xml:space="preserve"> </w:t>
      </w:r>
      <w:r>
        <w:rPr>
          <w:lang w:val="en-US"/>
        </w:rPr>
        <w:t xml:space="preserve">In the case of directed NLOS communications, as depicted in </w:t>
      </w:r>
      <w:r w:rsidR="00127CEF">
        <w:rPr>
          <w:lang w:val="en-US"/>
        </w:rPr>
        <w:fldChar w:fldCharType="begin"/>
      </w:r>
      <w:r>
        <w:rPr>
          <w:lang w:val="en-US"/>
        </w:rPr>
        <w:instrText xml:space="preserve"> REF _Ref435110089 \h </w:instrText>
      </w:r>
      <w:r w:rsidR="00127CEF">
        <w:rPr>
          <w:lang w:val="en-US"/>
        </w:rPr>
      </w:r>
      <w:r w:rsidR="00127CEF">
        <w:rPr>
          <w:lang w:val="en-US"/>
        </w:rPr>
        <w:fldChar w:fldCharType="separate"/>
      </w:r>
      <w:r w:rsidR="00C022B9" w:rsidRPr="00A458D5">
        <w:rPr>
          <w:color w:val="000000" w:themeColor="text1"/>
        </w:rPr>
        <w:t xml:space="preserve">Figure </w:t>
      </w:r>
      <w:r w:rsidR="00C022B9">
        <w:rPr>
          <w:noProof/>
          <w:color w:val="000000" w:themeColor="text1"/>
        </w:rPr>
        <w:t>17</w:t>
      </w:r>
      <w:r w:rsidR="00127CEF">
        <w:rPr>
          <w:lang w:val="en-US"/>
        </w:rPr>
        <w:fldChar w:fldCharType="end"/>
      </w:r>
      <w:r>
        <w:rPr>
          <w:lang w:val="en-US"/>
        </w:rPr>
        <w:t xml:space="preserve">, a couple of very strong multipath components might occur for some geometrical configurations. As seen in Figure a), these reflected paths can reach the amplitude of the main signal and thus lead to strong </w:t>
      </w:r>
      <w:proofErr w:type="spellStart"/>
      <w:r>
        <w:rPr>
          <w:lang w:val="en-US"/>
        </w:rPr>
        <w:t>intersymbol</w:t>
      </w:r>
      <w:proofErr w:type="spellEnd"/>
      <w:r>
        <w:rPr>
          <w:lang w:val="en-US"/>
        </w:rPr>
        <w:t xml:space="preserve"> interference when not properly treated e.g. by equalization techniques or forward error coding. Again, the application of circular </w:t>
      </w:r>
      <w:r>
        <w:rPr>
          <w:lang w:val="en-US"/>
        </w:rPr>
        <w:lastRenderedPageBreak/>
        <w:t>polarization provides a flatter temporal profile of the channel. In Figure b), the strongest multipath components are already attenuated by around -10dB compared to the case of linear polarization, providing a much better position for deploying a communication system.</w:t>
      </w:r>
    </w:p>
    <w:p w:rsidR="004C1DAD" w:rsidRDefault="004C1DAD">
      <w:pPr>
        <w:spacing w:after="200" w:line="276" w:lineRule="auto"/>
        <w:rPr>
          <w:sz w:val="24"/>
          <w:szCs w:val="20"/>
          <w:lang w:val="en-US"/>
        </w:rPr>
      </w:pPr>
      <w:r>
        <w:rPr>
          <w:lang w:val="en-US"/>
        </w:rPr>
        <w:br w:type="page"/>
      </w:r>
    </w:p>
    <w:p w:rsidR="00DB6EB6" w:rsidRDefault="00DB6EB6" w:rsidP="00DB6EB6">
      <w:pPr>
        <w:pStyle w:val="berschrift3"/>
        <w:rPr>
          <w:lang w:val="en-US"/>
        </w:rPr>
      </w:pPr>
      <w:r>
        <w:rPr>
          <w:lang w:val="en-US"/>
        </w:rPr>
        <w:lastRenderedPageBreak/>
        <w:t>Board-to-Board Communications</w:t>
      </w:r>
    </w:p>
    <w:p w:rsidR="0019292C" w:rsidRDefault="00127CEF" w:rsidP="0019292C">
      <w:pPr>
        <w:pStyle w:val="TextStandard"/>
        <w:rPr>
          <w:lang w:val="en-US"/>
        </w:rPr>
      </w:pPr>
      <w:r>
        <w:rPr>
          <w:lang w:val="en-US"/>
        </w:rPr>
        <w:fldChar w:fldCharType="begin"/>
      </w:r>
      <w:r w:rsidR="0019292C">
        <w:rPr>
          <w:lang w:val="en-US"/>
        </w:rPr>
        <w:instrText xml:space="preserve"> REF _Ref435183235 \h </w:instrText>
      </w:r>
      <w:r>
        <w:rPr>
          <w:lang w:val="en-US"/>
        </w:rPr>
      </w:r>
      <w:r>
        <w:rPr>
          <w:lang w:val="en-US"/>
        </w:rPr>
        <w:fldChar w:fldCharType="separate"/>
      </w:r>
      <w:r w:rsidR="00C022B9" w:rsidRPr="00A458D5">
        <w:rPr>
          <w:color w:val="000000" w:themeColor="text1"/>
        </w:rPr>
        <w:t xml:space="preserve">Figure </w:t>
      </w:r>
      <w:r w:rsidR="00C022B9">
        <w:rPr>
          <w:noProof/>
          <w:color w:val="000000" w:themeColor="text1"/>
        </w:rPr>
        <w:t>18</w:t>
      </w:r>
      <w:r>
        <w:rPr>
          <w:lang w:val="en-US"/>
        </w:rPr>
        <w:fldChar w:fldCharType="end"/>
      </w:r>
      <w:r w:rsidR="0019292C">
        <w:rPr>
          <w:lang w:val="en-US"/>
        </w:rPr>
        <w:t xml:space="preserve"> shows the mean path loss</w:t>
      </w:r>
      <w:r w:rsidR="004C1DAD">
        <w:rPr>
          <w:lang w:val="en-US"/>
        </w:rPr>
        <w:t xml:space="preserve"> for Board to Board Communications</w:t>
      </w:r>
      <w:r w:rsidR="0019292C">
        <w:rPr>
          <w:lang w:val="en-US"/>
        </w:rPr>
        <w:t xml:space="preserve"> over </w:t>
      </w:r>
      <w:proofErr w:type="spellStart"/>
      <w:r w:rsidR="0019292C">
        <w:rPr>
          <w:lang w:val="en-US"/>
        </w:rPr>
        <w:t>Tx</w:t>
      </w:r>
      <w:proofErr w:type="spellEnd"/>
      <w:r w:rsidR="0019292C">
        <w:rPr>
          <w:lang w:val="en-US"/>
        </w:rPr>
        <w:t>-Rx separation for the two different polarizations.</w:t>
      </w:r>
    </w:p>
    <w:p w:rsidR="0019292C" w:rsidRDefault="00127CEF" w:rsidP="0019292C">
      <w:pPr>
        <w:pStyle w:val="TextStandard"/>
        <w:keepNext/>
      </w:pPr>
      <w:r w:rsidRPr="00127CEF">
        <w:rPr>
          <w:noProof/>
          <w:lang w:val="en-US" w:eastAsia="en-US"/>
        </w:rPr>
        <w:pict>
          <v:shape id="Text Box 53" o:spid="_x0000_s1045" type="#_x0000_t202" style="position:absolute;left:0;text-align:left;margin-left:249.65pt;margin-top:173.45pt;width:23.75pt;height:19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lAiA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" stroked="f">
            <v:textbox>
              <w:txbxContent>
                <w:p w:rsidR="00202E45" w:rsidRDefault="00202E45" w:rsidP="0019292C">
                  <w:pPr>
                    <w:rPr>
                      <w:lang w:val="de-DE"/>
                    </w:rPr>
                  </w:pPr>
                  <w:r>
                    <w:rPr>
                      <w:lang w:val="de-DE"/>
                    </w:rPr>
                    <w:t>b)</w:t>
                  </w:r>
                </w:p>
              </w:txbxContent>
            </v:textbox>
          </v:shape>
        </w:pict>
      </w:r>
      <w:r w:rsidRPr="00127CEF">
        <w:rPr>
          <w:noProof/>
          <w:lang w:val="en-US" w:eastAsia="en-US"/>
        </w:rPr>
        <w:pict>
          <v:shape id="Text Box 50" o:spid="_x0000_s1046" type="#_x0000_t202" style="position:absolute;left:0;text-align:left;margin-left:23.2pt;margin-top:174.15pt;width:23.7pt;height:19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" stroked="f">
            <v:textbox>
              <w:txbxContent>
                <w:p w:rsidR="00202E45" w:rsidRDefault="00202E45" w:rsidP="0019292C">
                  <w:pPr>
                    <w:rPr>
                      <w:lang w:val="de-DE"/>
                    </w:rPr>
                  </w:pPr>
                  <w:r>
                    <w:rPr>
                      <w:lang w:val="de-DE"/>
                    </w:rPr>
                    <w:t>a)</w:t>
                  </w:r>
                </w:p>
              </w:txbxContent>
            </v:textbox>
          </v:shape>
        </w:pict>
      </w:r>
      <w:r w:rsidR="0019292C">
        <w:rPr>
          <w:noProof/>
          <w:lang w:val="de-DE"/>
        </w:rPr>
        <w:drawing>
          <wp:inline distT="0" distB="0" distL="0" distR="0">
            <wp:extent cx="2844000" cy="2489603"/>
            <wp:effectExtent l="19050" t="0" r="0" b="0"/>
            <wp:docPr id="26"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l="5023" r="9237"/>
                    <a:stretch>
                      <a:fillRect/>
                    </a:stretch>
                  </pic:blipFill>
                  <pic:spPr bwMode="auto">
                    <a:xfrm>
                      <a:off x="0" y="0"/>
                      <a:ext cx="2844000" cy="2489603"/>
                    </a:xfrm>
                    <a:prstGeom prst="rect">
                      <a:avLst/>
                    </a:prstGeom>
                    <a:noFill/>
                    <a:ln w="9525">
                      <a:noFill/>
                      <a:miter lim="800000"/>
                      <a:headEnd/>
                      <a:tailEnd/>
                    </a:ln>
                  </pic:spPr>
                </pic:pic>
              </a:graphicData>
            </a:graphic>
          </wp:inline>
        </w:drawing>
      </w:r>
      <w:r w:rsidR="0019292C">
        <w:rPr>
          <w:noProof/>
          <w:lang w:val="de-DE"/>
        </w:rPr>
        <w:drawing>
          <wp:inline distT="0" distB="0" distL="0" distR="0">
            <wp:extent cx="2844000" cy="2485452"/>
            <wp:effectExtent l="19050" t="0" r="0" b="0"/>
            <wp:docPr id="28"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l="5024" r="9075"/>
                    <a:stretch>
                      <a:fillRect/>
                    </a:stretch>
                  </pic:blipFill>
                  <pic:spPr bwMode="auto">
                    <a:xfrm>
                      <a:off x="0" y="0"/>
                      <a:ext cx="2844000" cy="2485452"/>
                    </a:xfrm>
                    <a:prstGeom prst="rect">
                      <a:avLst/>
                    </a:prstGeom>
                    <a:noFill/>
                    <a:ln w="9525">
                      <a:noFill/>
                      <a:miter lim="800000"/>
                      <a:headEnd/>
                      <a:tailEnd/>
                    </a:ln>
                  </pic:spPr>
                </pic:pic>
              </a:graphicData>
            </a:graphic>
          </wp:inline>
        </w:drawing>
      </w:r>
    </w:p>
    <w:p w:rsidR="0019292C" w:rsidRPr="00A458D5" w:rsidRDefault="0019292C" w:rsidP="0019292C">
      <w:pPr>
        <w:pStyle w:val="Beschriftung"/>
        <w:jc w:val="center"/>
        <w:rPr>
          <w:color w:val="000000" w:themeColor="text1"/>
        </w:rPr>
      </w:pPr>
      <w:bookmarkStart w:id="22" w:name="_Ref435183235"/>
      <w:r w:rsidRPr="00A458D5">
        <w:rPr>
          <w:color w:val="000000" w:themeColor="text1"/>
        </w:rPr>
        <w:t xml:space="preserve">Figure </w:t>
      </w:r>
      <w:r w:rsidR="00127CEF" w:rsidRPr="00A458D5">
        <w:rPr>
          <w:color w:val="000000" w:themeColor="text1"/>
        </w:rPr>
        <w:fldChar w:fldCharType="begin"/>
      </w:r>
      <w:r w:rsidRPr="00A458D5">
        <w:rPr>
          <w:color w:val="000000" w:themeColor="text1"/>
        </w:rPr>
        <w:instrText xml:space="preserve"> SEQ Figure \* ARABIC </w:instrText>
      </w:r>
      <w:r w:rsidR="00127CEF" w:rsidRPr="00A458D5">
        <w:rPr>
          <w:color w:val="000000" w:themeColor="text1"/>
        </w:rPr>
        <w:fldChar w:fldCharType="separate"/>
      </w:r>
      <w:r w:rsidR="00C022B9">
        <w:rPr>
          <w:noProof/>
          <w:color w:val="000000" w:themeColor="text1"/>
        </w:rPr>
        <w:t>18</w:t>
      </w:r>
      <w:r w:rsidR="00127CEF" w:rsidRPr="00A458D5">
        <w:rPr>
          <w:color w:val="000000" w:themeColor="text1"/>
        </w:rPr>
        <w:fldChar w:fldCharType="end"/>
      </w:r>
      <w:bookmarkEnd w:id="22"/>
      <w:r w:rsidRPr="00A458D5">
        <w:rPr>
          <w:color w:val="000000" w:themeColor="text1"/>
        </w:rPr>
        <w:t>: Mean Path Loss for Board to Board Communications</w:t>
      </w:r>
      <w:r>
        <w:rPr>
          <w:color w:val="000000" w:themeColor="text1"/>
        </w:rPr>
        <w:br/>
        <w:t>a) Linear Vertical Polarization b) Left-Hand Circular Polarization</w:t>
      </w:r>
    </w:p>
    <w:p w:rsidR="0019292C" w:rsidRDefault="0019292C" w:rsidP="0019292C">
      <w:pPr>
        <w:pStyle w:val="TextStandard"/>
        <w:rPr>
          <w:lang w:val="en-US"/>
        </w:rPr>
      </w:pPr>
      <w:r w:rsidRPr="00497104">
        <w:rPr>
          <w:lang w:val="en-US"/>
        </w:rPr>
        <w:t xml:space="preserve"> </w:t>
      </w:r>
    </w:p>
    <w:p w:rsidR="0019292C" w:rsidRDefault="0019292C" w:rsidP="0019292C">
      <w:pPr>
        <w:pStyle w:val="TextStandard"/>
        <w:rPr>
          <w:lang w:val="en-US"/>
        </w:rPr>
      </w:pPr>
      <w:r>
        <w:rPr>
          <w:lang w:val="en-US"/>
        </w:rPr>
        <w:t xml:space="preserve">As depicted above, the path-loss characteristics for board to board communications show the same log-distance dependent behavior as for the </w:t>
      </w:r>
      <w:r w:rsidR="00F56F3E">
        <w:rPr>
          <w:lang w:val="en-US"/>
        </w:rPr>
        <w:t>chip to chip</w:t>
      </w:r>
      <w:r>
        <w:rPr>
          <w:lang w:val="en-US"/>
        </w:rPr>
        <w:t xml:space="preserve"> types. The corresponding equations for the log-distance path loss models of the two polarizations are</w:t>
      </w:r>
    </w:p>
    <w:tbl>
      <w:tblPr>
        <w:tblStyle w:val="Tabellengitternetz"/>
        <w:tblW w:w="0" w:type="auto"/>
        <w:tblLook w:val="04A0"/>
      </w:tblPr>
      <w:tblGrid>
        <w:gridCol w:w="1974"/>
        <w:gridCol w:w="1664"/>
        <w:gridCol w:w="1806"/>
        <w:gridCol w:w="1847"/>
        <w:gridCol w:w="1997"/>
      </w:tblGrid>
      <w:tr w:rsidR="0019292C" w:rsidTr="00202E45">
        <w:trPr>
          <w:trHeight w:val="285"/>
        </w:trPr>
        <w:tc>
          <w:tcPr>
            <w:tcW w:w="1974" w:type="dxa"/>
          </w:tcPr>
          <w:p w:rsidR="0019292C" w:rsidRPr="00584198" w:rsidRDefault="0019292C" w:rsidP="00202E45">
            <w:pPr>
              <w:pStyle w:val="TextStandard"/>
              <w:spacing w:after="240" w:line="240" w:lineRule="auto"/>
              <w:contextualSpacing/>
              <w:jc w:val="center"/>
              <w:rPr>
                <w:b/>
                <w:lang w:val="en-US"/>
              </w:rPr>
            </w:pPr>
            <w:r w:rsidRPr="00584198">
              <w:rPr>
                <w:b/>
                <w:lang w:val="en-US"/>
              </w:rPr>
              <w:t>Scenario</w:t>
            </w:r>
          </w:p>
        </w:tc>
        <w:tc>
          <w:tcPr>
            <w:tcW w:w="1664" w:type="dxa"/>
          </w:tcPr>
          <w:p w:rsidR="0019292C" w:rsidRPr="00584198" w:rsidRDefault="00127CEF" w:rsidP="00202E45">
            <w:pPr>
              <w:pStyle w:val="TextStandard"/>
              <w:spacing w:after="240" w:line="240" w:lineRule="auto"/>
              <w:contextualSpacing/>
              <w:jc w:val="center"/>
              <w:rPr>
                <w:b/>
                <w:szCs w:val="22"/>
              </w:rPr>
            </w:pPr>
            <m:oMathPara>
              <m:oMath>
                <m:sSub>
                  <m:sSubPr>
                    <m:ctrlPr>
                      <w:rPr>
                        <w:rFonts w:ascii="Cambria Math" w:hAnsi="Cambria Math"/>
                        <w:b/>
                        <w:i/>
                        <w:szCs w:val="22"/>
                      </w:rPr>
                    </m:ctrlPr>
                  </m:sSubPr>
                  <m:e>
                    <m:r>
                      <m:rPr>
                        <m:sty m:val="bi"/>
                      </m:rPr>
                      <w:rPr>
                        <w:rFonts w:ascii="Cambria Math" w:hAnsi="Cambria Math"/>
                      </w:rPr>
                      <m:t>PL</m:t>
                    </m:r>
                  </m:e>
                  <m:sub>
                    <m:sSub>
                      <m:sSubPr>
                        <m:ctrlPr>
                          <w:rPr>
                            <w:rFonts w:ascii="Cambria Math" w:hAnsi="Cambria Math"/>
                            <w:b/>
                            <w:i/>
                            <w:szCs w:val="22"/>
                          </w:rPr>
                        </m:ctrlPr>
                      </m:sSubPr>
                      <m:e>
                        <m:r>
                          <m:rPr>
                            <m:sty m:val="bi"/>
                          </m:rPr>
                          <w:rPr>
                            <w:rFonts w:ascii="Cambria Math" w:hAnsi="Cambria Math"/>
                          </w:rPr>
                          <m:t>d</m:t>
                        </m:r>
                      </m:e>
                      <m:sub>
                        <m:r>
                          <m:rPr>
                            <m:sty m:val="bi"/>
                          </m:rPr>
                          <w:rPr>
                            <w:rFonts w:ascii="Cambria Math" w:hAnsi="Cambria Math"/>
                          </w:rPr>
                          <m:t>0</m:t>
                        </m:r>
                      </m:sub>
                    </m:sSub>
                  </m:sub>
                </m:sSub>
              </m:oMath>
            </m:oMathPara>
          </w:p>
        </w:tc>
        <w:tc>
          <w:tcPr>
            <w:tcW w:w="1806" w:type="dxa"/>
          </w:tcPr>
          <w:p w:rsidR="0019292C" w:rsidRPr="00584198" w:rsidRDefault="00127CEF" w:rsidP="00202E45">
            <w:pPr>
              <w:pStyle w:val="TextStandard"/>
              <w:spacing w:after="240" w:line="240" w:lineRule="auto"/>
              <w:contextualSpacing/>
              <w:jc w:val="center"/>
              <w:rPr>
                <w:b/>
                <w:lang w:val="en-US"/>
              </w:rPr>
            </w:pPr>
            <m:oMathPara>
              <m:oMath>
                <m:sSub>
                  <m:sSubPr>
                    <m:ctrlPr>
                      <w:rPr>
                        <w:rFonts w:ascii="Cambria Math" w:hAnsi="Cambria Math"/>
                        <w:b/>
                        <w:i/>
                        <w:szCs w:val="22"/>
                      </w:rPr>
                    </m:ctrlPr>
                  </m:sSubPr>
                  <m:e>
                    <m:r>
                      <m:rPr>
                        <m:sty m:val="bi"/>
                      </m:rPr>
                      <w:rPr>
                        <w:rFonts w:ascii="Cambria Math" w:hAnsi="Cambria Math"/>
                      </w:rPr>
                      <m:t>d</m:t>
                    </m:r>
                  </m:e>
                  <m:sub>
                    <m:r>
                      <m:rPr>
                        <m:sty m:val="bi"/>
                      </m:rPr>
                      <w:rPr>
                        <w:rFonts w:ascii="Cambria Math" w:hAnsi="Cambria Math"/>
                      </w:rPr>
                      <m:t>0</m:t>
                    </m:r>
                  </m:sub>
                </m:sSub>
              </m:oMath>
            </m:oMathPara>
          </w:p>
        </w:tc>
        <w:tc>
          <w:tcPr>
            <w:tcW w:w="1847" w:type="dxa"/>
          </w:tcPr>
          <w:p w:rsidR="0019292C" w:rsidRPr="00584198" w:rsidRDefault="0019292C" w:rsidP="00202E45">
            <w:pPr>
              <w:pStyle w:val="TextStandard"/>
              <w:spacing w:after="240" w:line="240" w:lineRule="auto"/>
              <w:contextualSpacing/>
              <w:jc w:val="center"/>
              <w:rPr>
                <w:b/>
                <w:lang w:val="en-US"/>
              </w:rPr>
            </w:pPr>
            <m:oMathPara>
              <m:oMath>
                <m:r>
                  <m:rPr>
                    <m:sty m:val="bi"/>
                  </m:rPr>
                  <w:rPr>
                    <w:rFonts w:ascii="Cambria Math" w:hAnsi="Cambria Math"/>
                  </w:rPr>
                  <m:t>γ</m:t>
                </m:r>
              </m:oMath>
            </m:oMathPara>
          </w:p>
        </w:tc>
        <w:tc>
          <w:tcPr>
            <w:tcW w:w="1997" w:type="dxa"/>
          </w:tcPr>
          <w:p w:rsidR="0019292C" w:rsidRPr="00584198" w:rsidRDefault="0019292C" w:rsidP="00202E45">
            <w:pPr>
              <w:pStyle w:val="TextStandard"/>
              <w:spacing w:after="240" w:line="240" w:lineRule="auto"/>
              <w:contextualSpacing/>
              <w:jc w:val="center"/>
              <w:rPr>
                <w:b/>
                <w:lang w:val="en-US"/>
              </w:rPr>
            </w:pPr>
            <w:r>
              <w:rPr>
                <w:b/>
              </w:rPr>
              <w:t>RMSE</w:t>
            </w:r>
            <w:r w:rsidRPr="006C7A9B">
              <w:rPr>
                <w:b/>
              </w:rPr>
              <w:t>(</w:t>
            </w:r>
            <w:proofErr w:type="spellStart"/>
            <w:r w:rsidRPr="006C7A9B">
              <w:rPr>
                <w:b/>
                <w:i/>
              </w:rPr>
              <w:t>χ</w:t>
            </w:r>
            <w:r w:rsidRPr="006C7A9B">
              <w:rPr>
                <w:b/>
                <w:i/>
                <w:vertAlign w:val="subscript"/>
              </w:rPr>
              <w:t>g</w:t>
            </w:r>
            <w:proofErr w:type="spellEnd"/>
            <w:r w:rsidRPr="006C7A9B">
              <w:rPr>
                <w:b/>
              </w:rPr>
              <w:t>)</w:t>
            </w:r>
          </w:p>
        </w:tc>
      </w:tr>
      <w:tr w:rsidR="0019292C" w:rsidTr="00202E45">
        <w:trPr>
          <w:trHeight w:val="227"/>
        </w:trPr>
        <w:tc>
          <w:tcPr>
            <w:tcW w:w="1974" w:type="dxa"/>
          </w:tcPr>
          <w:p w:rsidR="0019292C" w:rsidRDefault="0019292C" w:rsidP="00202E45">
            <w:pPr>
              <w:pStyle w:val="TextStandard"/>
              <w:spacing w:after="240" w:line="240" w:lineRule="auto"/>
              <w:contextualSpacing/>
              <w:jc w:val="center"/>
              <w:rPr>
                <w:lang w:val="en-US"/>
              </w:rPr>
            </w:pPr>
            <w:r>
              <w:rPr>
                <w:lang w:val="en-US"/>
              </w:rPr>
              <w:t>Board to Board,</w:t>
            </w:r>
          </w:p>
          <w:p w:rsidR="0019292C" w:rsidRDefault="0019292C" w:rsidP="00202E45">
            <w:pPr>
              <w:pStyle w:val="TextStandard"/>
              <w:spacing w:after="240" w:line="240" w:lineRule="auto"/>
              <w:contextualSpacing/>
              <w:jc w:val="center"/>
              <w:rPr>
                <w:lang w:val="en-US"/>
              </w:rPr>
            </w:pPr>
            <w:r>
              <w:rPr>
                <w:lang w:val="en-US"/>
              </w:rPr>
              <w:t>vertical</w:t>
            </w:r>
          </w:p>
        </w:tc>
        <w:tc>
          <w:tcPr>
            <w:tcW w:w="1664" w:type="dxa"/>
          </w:tcPr>
          <w:p w:rsidR="0019292C" w:rsidRDefault="0019292C" w:rsidP="00202E45">
            <w:pPr>
              <w:pStyle w:val="TextStandard"/>
              <w:spacing w:after="240" w:line="240" w:lineRule="auto"/>
              <w:contextualSpacing/>
              <w:jc w:val="center"/>
              <w:rPr>
                <w:lang w:val="en-US"/>
              </w:rPr>
            </w:pPr>
            <w:r>
              <w:rPr>
                <w:lang w:val="en-US"/>
              </w:rPr>
              <w:t>16.5</w:t>
            </w:r>
          </w:p>
        </w:tc>
        <w:tc>
          <w:tcPr>
            <w:tcW w:w="1806" w:type="dxa"/>
          </w:tcPr>
          <w:p w:rsidR="0019292C" w:rsidRDefault="0019292C" w:rsidP="00202E45">
            <w:pPr>
              <w:pStyle w:val="TextStandard"/>
              <w:spacing w:after="240" w:line="240" w:lineRule="auto"/>
              <w:contextualSpacing/>
              <w:jc w:val="center"/>
              <w:rPr>
                <w:lang w:val="en-US"/>
              </w:rPr>
            </w:pPr>
            <w:r>
              <w:rPr>
                <w:lang w:val="en-US"/>
              </w:rPr>
              <w:t>0.05</w:t>
            </w:r>
          </w:p>
        </w:tc>
        <w:tc>
          <w:tcPr>
            <w:tcW w:w="1847" w:type="dxa"/>
          </w:tcPr>
          <w:p w:rsidR="0019292C" w:rsidRDefault="0019292C" w:rsidP="00202E45">
            <w:pPr>
              <w:pStyle w:val="TextStandard"/>
              <w:spacing w:after="240" w:line="240" w:lineRule="auto"/>
              <w:contextualSpacing/>
              <w:jc w:val="center"/>
              <w:rPr>
                <w:lang w:val="en-US"/>
              </w:rPr>
            </w:pPr>
            <w:r>
              <w:rPr>
                <w:lang w:val="en-US"/>
              </w:rPr>
              <w:t>1.977</w:t>
            </w:r>
          </w:p>
        </w:tc>
        <w:tc>
          <w:tcPr>
            <w:tcW w:w="1997" w:type="dxa"/>
          </w:tcPr>
          <w:p w:rsidR="0019292C" w:rsidRDefault="0019292C" w:rsidP="00202E45">
            <w:pPr>
              <w:pStyle w:val="TextStandard"/>
              <w:spacing w:after="240" w:line="240" w:lineRule="auto"/>
              <w:contextualSpacing/>
              <w:jc w:val="center"/>
              <w:rPr>
                <w:lang w:val="en-US"/>
              </w:rPr>
            </w:pPr>
            <w:r>
              <w:rPr>
                <w:lang w:val="en-US"/>
              </w:rPr>
              <w:t>1.1502</w:t>
            </w:r>
          </w:p>
        </w:tc>
      </w:tr>
      <w:tr w:rsidR="0019292C" w:rsidTr="00202E45">
        <w:trPr>
          <w:trHeight w:val="227"/>
        </w:trPr>
        <w:tc>
          <w:tcPr>
            <w:tcW w:w="1974" w:type="dxa"/>
          </w:tcPr>
          <w:p w:rsidR="0019292C" w:rsidRDefault="0019292C" w:rsidP="00202E45">
            <w:pPr>
              <w:pStyle w:val="TextStandard"/>
              <w:spacing w:after="240" w:line="240" w:lineRule="auto"/>
              <w:contextualSpacing/>
              <w:jc w:val="center"/>
              <w:rPr>
                <w:lang w:val="en-US"/>
              </w:rPr>
            </w:pPr>
            <w:r>
              <w:rPr>
                <w:lang w:val="en-US"/>
              </w:rPr>
              <w:t>Board to Board,</w:t>
            </w:r>
          </w:p>
          <w:p w:rsidR="0019292C" w:rsidRDefault="0019292C" w:rsidP="00202E45">
            <w:pPr>
              <w:pStyle w:val="TextStandard"/>
              <w:spacing w:after="240" w:line="240" w:lineRule="auto"/>
              <w:contextualSpacing/>
              <w:jc w:val="center"/>
              <w:rPr>
                <w:lang w:val="en-US"/>
              </w:rPr>
            </w:pPr>
            <w:r>
              <w:rPr>
                <w:lang w:val="en-US"/>
              </w:rPr>
              <w:t>circular</w:t>
            </w:r>
          </w:p>
        </w:tc>
        <w:tc>
          <w:tcPr>
            <w:tcW w:w="1664" w:type="dxa"/>
          </w:tcPr>
          <w:p w:rsidR="0019292C" w:rsidRDefault="0019292C" w:rsidP="00202E45">
            <w:pPr>
              <w:pStyle w:val="TextStandard"/>
              <w:spacing w:after="240" w:line="240" w:lineRule="auto"/>
              <w:contextualSpacing/>
              <w:jc w:val="center"/>
              <w:rPr>
                <w:lang w:val="en-US"/>
              </w:rPr>
            </w:pPr>
            <w:r>
              <w:rPr>
                <w:lang w:val="en-US"/>
              </w:rPr>
              <w:t>16.5</w:t>
            </w:r>
          </w:p>
        </w:tc>
        <w:tc>
          <w:tcPr>
            <w:tcW w:w="1806" w:type="dxa"/>
          </w:tcPr>
          <w:p w:rsidR="0019292C" w:rsidRDefault="0019292C" w:rsidP="00202E45">
            <w:pPr>
              <w:pStyle w:val="TextStandard"/>
              <w:spacing w:after="240" w:line="240" w:lineRule="auto"/>
              <w:contextualSpacing/>
              <w:jc w:val="center"/>
              <w:rPr>
                <w:lang w:val="en-US"/>
              </w:rPr>
            </w:pPr>
            <w:r>
              <w:rPr>
                <w:lang w:val="en-US"/>
              </w:rPr>
              <w:t>0.05</w:t>
            </w:r>
          </w:p>
        </w:tc>
        <w:tc>
          <w:tcPr>
            <w:tcW w:w="1847" w:type="dxa"/>
          </w:tcPr>
          <w:p w:rsidR="0019292C" w:rsidRDefault="0019292C" w:rsidP="00202E45">
            <w:pPr>
              <w:pStyle w:val="TextStandard"/>
              <w:spacing w:after="240" w:line="240" w:lineRule="auto"/>
              <w:contextualSpacing/>
              <w:jc w:val="center"/>
              <w:rPr>
                <w:lang w:val="en-US"/>
              </w:rPr>
            </w:pPr>
            <w:r>
              <w:rPr>
                <w:lang w:val="en-US"/>
              </w:rPr>
              <w:t>1.951</w:t>
            </w:r>
          </w:p>
        </w:tc>
        <w:tc>
          <w:tcPr>
            <w:tcW w:w="1997" w:type="dxa"/>
          </w:tcPr>
          <w:p w:rsidR="0019292C" w:rsidRDefault="0019292C" w:rsidP="00202E45">
            <w:pPr>
              <w:pStyle w:val="TextStandard"/>
              <w:spacing w:after="240" w:line="240" w:lineRule="auto"/>
              <w:contextualSpacing/>
              <w:jc w:val="center"/>
              <w:rPr>
                <w:lang w:val="en-US"/>
              </w:rPr>
            </w:pPr>
            <w:r>
              <w:rPr>
                <w:lang w:val="en-US"/>
              </w:rPr>
              <w:t>1.1437</w:t>
            </w:r>
          </w:p>
        </w:tc>
      </w:tr>
    </w:tbl>
    <w:p w:rsidR="0019292C" w:rsidRDefault="0019292C" w:rsidP="0019292C">
      <w:pPr>
        <w:pStyle w:val="TextStandard"/>
        <w:rPr>
          <w:lang w:val="en-US"/>
        </w:rPr>
      </w:pPr>
    </w:p>
    <w:p w:rsidR="0019292C" w:rsidRDefault="00127CEF" w:rsidP="0019292C">
      <w:pPr>
        <w:pStyle w:val="TextStandard"/>
        <w:rPr>
          <w:lang w:val="en-US"/>
        </w:rPr>
      </w:pPr>
      <w:r>
        <w:rPr>
          <w:lang w:val="en-US"/>
        </w:rPr>
        <w:fldChar w:fldCharType="begin"/>
      </w:r>
      <w:r w:rsidR="0019292C">
        <w:rPr>
          <w:lang w:val="en-US"/>
        </w:rPr>
        <w:instrText xml:space="preserve"> REF _Ref435183399 \h </w:instrText>
      </w:r>
      <w:r>
        <w:rPr>
          <w:lang w:val="en-US"/>
        </w:rPr>
      </w:r>
      <w:r>
        <w:rPr>
          <w:lang w:val="en-US"/>
        </w:rPr>
        <w:fldChar w:fldCharType="separate"/>
      </w:r>
      <w:r w:rsidR="00C022B9" w:rsidRPr="00134CBD">
        <w:rPr>
          <w:color w:val="000000" w:themeColor="text1"/>
        </w:rPr>
        <w:t xml:space="preserve">Figure </w:t>
      </w:r>
      <w:r w:rsidR="00C022B9">
        <w:rPr>
          <w:noProof/>
          <w:color w:val="000000" w:themeColor="text1"/>
        </w:rPr>
        <w:t>19</w:t>
      </w:r>
      <w:r>
        <w:rPr>
          <w:lang w:val="en-US"/>
        </w:rPr>
        <w:fldChar w:fldCharType="end"/>
      </w:r>
      <w:r w:rsidR="0019292C">
        <w:rPr>
          <w:lang w:val="en-US"/>
        </w:rPr>
        <w:t xml:space="preserve"> presents the envelopes of the channel impulse responses. Compared to the situation of chip to chip communications, the multipath profile features a similar number of multipath components. However, their amplitude does not reach above -20dB below the main signal and is again effectively attenuated by the application of circularly polarized antennas.</w:t>
      </w:r>
    </w:p>
    <w:p w:rsidR="0019292C" w:rsidRDefault="00127CEF" w:rsidP="0019292C">
      <w:pPr>
        <w:pStyle w:val="TextStandard"/>
        <w:keepNext/>
      </w:pPr>
      <w:r w:rsidRPr="00127CEF">
        <w:rPr>
          <w:noProof/>
          <w:lang w:val="en-US" w:eastAsia="en-US"/>
        </w:rPr>
        <w:lastRenderedPageBreak/>
        <w:pict>
          <v:shape id="Text Box 52" o:spid="_x0000_s1047" type="#_x0000_t202" style="position:absolute;left:0;text-align:left;margin-left:253.95pt;margin-top:168.35pt;width:23.75pt;height:19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" stroked="f">
            <v:textbox>
              <w:txbxContent>
                <w:p w:rsidR="00202E45" w:rsidRDefault="00202E45" w:rsidP="0019292C">
                  <w:pPr>
                    <w:rPr>
                      <w:lang w:val="de-DE"/>
                    </w:rPr>
                  </w:pPr>
                  <w:r>
                    <w:rPr>
                      <w:lang w:val="de-DE"/>
                    </w:rPr>
                    <w:t>b)</w:t>
                  </w:r>
                </w:p>
              </w:txbxContent>
            </v:textbox>
          </v:shape>
        </w:pict>
      </w:r>
      <w:r w:rsidRPr="00127CEF">
        <w:rPr>
          <w:noProof/>
          <w:lang w:val="en-US" w:eastAsia="en-US"/>
        </w:rPr>
        <w:pict>
          <v:shape id="Text Box 51" o:spid="_x0000_s1048" type="#_x0000_t202" style="position:absolute;left:0;text-align:left;margin-left:24.55pt;margin-top:168.35pt;width:23.7pt;height:19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" stroked="f">
            <v:textbox>
              <w:txbxContent>
                <w:p w:rsidR="00202E45" w:rsidRDefault="00202E45" w:rsidP="0019292C">
                  <w:pPr>
                    <w:rPr>
                      <w:lang w:val="de-DE"/>
                    </w:rPr>
                  </w:pPr>
                  <w:r>
                    <w:rPr>
                      <w:lang w:val="de-DE"/>
                    </w:rPr>
                    <w:t>a)</w:t>
                  </w:r>
                </w:p>
              </w:txbxContent>
            </v:textbox>
          </v:shape>
        </w:pict>
      </w:r>
      <w:r w:rsidR="0019292C">
        <w:rPr>
          <w:noProof/>
          <w:lang w:val="de-DE"/>
        </w:rPr>
        <w:drawing>
          <wp:inline distT="0" distB="0" distL="0" distR="0">
            <wp:extent cx="2844000" cy="2439408"/>
            <wp:effectExtent l="19050" t="0" r="0" b="0"/>
            <wp:docPr id="29"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srcRect l="3729" r="8750"/>
                    <a:stretch>
                      <a:fillRect/>
                    </a:stretch>
                  </pic:blipFill>
                  <pic:spPr bwMode="auto">
                    <a:xfrm>
                      <a:off x="0" y="0"/>
                      <a:ext cx="2844000" cy="2439408"/>
                    </a:xfrm>
                    <a:prstGeom prst="rect">
                      <a:avLst/>
                    </a:prstGeom>
                    <a:noFill/>
                    <a:ln w="9525">
                      <a:noFill/>
                      <a:miter lim="800000"/>
                      <a:headEnd/>
                      <a:tailEnd/>
                    </a:ln>
                  </pic:spPr>
                </pic:pic>
              </a:graphicData>
            </a:graphic>
          </wp:inline>
        </w:drawing>
      </w:r>
      <w:r w:rsidR="0019292C">
        <w:rPr>
          <w:noProof/>
          <w:lang w:val="de-DE"/>
        </w:rPr>
        <w:drawing>
          <wp:inline distT="0" distB="0" distL="0" distR="0">
            <wp:extent cx="2844000" cy="2439408"/>
            <wp:effectExtent l="19050" t="0" r="0" b="0"/>
            <wp:docPr id="3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l="3728" r="8755"/>
                    <a:stretch>
                      <a:fillRect/>
                    </a:stretch>
                  </pic:blipFill>
                  <pic:spPr bwMode="auto">
                    <a:xfrm>
                      <a:off x="0" y="0"/>
                      <a:ext cx="2844000" cy="2439408"/>
                    </a:xfrm>
                    <a:prstGeom prst="rect">
                      <a:avLst/>
                    </a:prstGeom>
                    <a:noFill/>
                    <a:ln w="9525">
                      <a:noFill/>
                      <a:miter lim="800000"/>
                      <a:headEnd/>
                      <a:tailEnd/>
                    </a:ln>
                  </pic:spPr>
                </pic:pic>
              </a:graphicData>
            </a:graphic>
          </wp:inline>
        </w:drawing>
      </w:r>
    </w:p>
    <w:p w:rsidR="0019292C" w:rsidRPr="00134CBD" w:rsidRDefault="0019292C" w:rsidP="0019292C">
      <w:pPr>
        <w:pStyle w:val="Beschriftung"/>
        <w:jc w:val="center"/>
        <w:rPr>
          <w:color w:val="000000" w:themeColor="text1"/>
        </w:rPr>
      </w:pPr>
      <w:bookmarkStart w:id="23" w:name="_Ref435183399"/>
      <w:r w:rsidRPr="00134CBD">
        <w:rPr>
          <w:color w:val="000000" w:themeColor="text1"/>
        </w:rPr>
        <w:t xml:space="preserve">Figure </w:t>
      </w:r>
      <w:r w:rsidR="00127CEF" w:rsidRPr="00134CBD">
        <w:rPr>
          <w:color w:val="000000" w:themeColor="text1"/>
        </w:rPr>
        <w:fldChar w:fldCharType="begin"/>
      </w:r>
      <w:r w:rsidRPr="00134CBD">
        <w:rPr>
          <w:color w:val="000000" w:themeColor="text1"/>
        </w:rPr>
        <w:instrText xml:space="preserve"> SEQ Figure \* ARABIC </w:instrText>
      </w:r>
      <w:r w:rsidR="00127CEF" w:rsidRPr="00134CBD">
        <w:rPr>
          <w:color w:val="000000" w:themeColor="text1"/>
        </w:rPr>
        <w:fldChar w:fldCharType="separate"/>
      </w:r>
      <w:r w:rsidR="00C022B9">
        <w:rPr>
          <w:noProof/>
          <w:color w:val="000000" w:themeColor="text1"/>
        </w:rPr>
        <w:t>19</w:t>
      </w:r>
      <w:r w:rsidR="00127CEF" w:rsidRPr="00134CBD">
        <w:rPr>
          <w:color w:val="000000" w:themeColor="text1"/>
        </w:rPr>
        <w:fldChar w:fldCharType="end"/>
      </w:r>
      <w:bookmarkEnd w:id="23"/>
      <w:r w:rsidRPr="00134CBD">
        <w:rPr>
          <w:color w:val="000000" w:themeColor="text1"/>
        </w:rPr>
        <w:t xml:space="preserve">: Envelope of the Channel Impulse Responses for </w:t>
      </w:r>
      <w:proofErr w:type="spellStart"/>
      <w:r w:rsidRPr="00134CBD">
        <w:rPr>
          <w:color w:val="000000" w:themeColor="text1"/>
        </w:rPr>
        <w:t>Bord</w:t>
      </w:r>
      <w:proofErr w:type="spellEnd"/>
      <w:r w:rsidRPr="00134CBD">
        <w:rPr>
          <w:color w:val="000000" w:themeColor="text1"/>
        </w:rPr>
        <w:t xml:space="preserve"> to Board Communications</w:t>
      </w:r>
      <w:r>
        <w:rPr>
          <w:color w:val="000000" w:themeColor="text1"/>
        </w:rPr>
        <w:br/>
        <w:t>a) Linear Vertical Polarization b) Left-Hand Circular Polarization</w:t>
      </w:r>
    </w:p>
    <w:p w:rsidR="0019292C" w:rsidRPr="00604DBD" w:rsidRDefault="0019292C" w:rsidP="0019292C">
      <w:pPr>
        <w:pStyle w:val="TextStandard"/>
        <w:rPr>
          <w:lang w:val="en-US"/>
        </w:rPr>
      </w:pPr>
      <w:r w:rsidRPr="00A120F2">
        <w:rPr>
          <w:lang w:val="en-US"/>
        </w:rPr>
        <w:t xml:space="preserve"> </w:t>
      </w:r>
    </w:p>
    <w:p w:rsidR="004C1DAD" w:rsidRDefault="004C1DAD">
      <w:pPr>
        <w:spacing w:after="200" w:line="276" w:lineRule="auto"/>
        <w:rPr>
          <w:sz w:val="24"/>
          <w:szCs w:val="20"/>
          <w:lang w:val="en-US"/>
        </w:rPr>
      </w:pPr>
      <w:r>
        <w:rPr>
          <w:lang w:val="en-US"/>
        </w:rPr>
        <w:br w:type="page"/>
      </w:r>
    </w:p>
    <w:p w:rsidR="00F56780" w:rsidRDefault="00F56780" w:rsidP="00F56780">
      <w:pPr>
        <w:pStyle w:val="berschrift1"/>
        <w:rPr>
          <w:lang w:val="en-US"/>
        </w:rPr>
      </w:pPr>
      <w:r>
        <w:rPr>
          <w:lang w:val="en-US"/>
        </w:rPr>
        <w:lastRenderedPageBreak/>
        <w:t>References</w:t>
      </w:r>
    </w:p>
    <w:p w:rsidR="00F56780" w:rsidRDefault="00F56780" w:rsidP="00F56780">
      <w:pPr>
        <w:spacing w:line="240" w:lineRule="auto"/>
        <w:contextualSpacing/>
        <w:rPr>
          <w:sz w:val="24"/>
        </w:rPr>
      </w:pPr>
      <w:r w:rsidRPr="00F56780">
        <w:rPr>
          <w:sz w:val="24"/>
          <w:lang w:val="en-US"/>
        </w:rPr>
        <w:t>[1]</w:t>
      </w:r>
      <w:r>
        <w:rPr>
          <w:lang w:val="en-US"/>
        </w:rPr>
        <w:t xml:space="preserve">  </w:t>
      </w:r>
      <w:r>
        <w:rPr>
          <w:sz w:val="24"/>
        </w:rPr>
        <w:t xml:space="preserve">R. Jones, “A new Calculus for the Treatment of Optical Systems”, Journal of the </w:t>
      </w:r>
    </w:p>
    <w:p w:rsidR="00F56780" w:rsidRDefault="00F56780" w:rsidP="00F56780">
      <w:pPr>
        <w:spacing w:line="240" w:lineRule="auto"/>
        <w:contextualSpacing/>
        <w:rPr>
          <w:sz w:val="24"/>
        </w:rPr>
      </w:pPr>
      <w:r>
        <w:rPr>
          <w:sz w:val="24"/>
        </w:rPr>
        <w:t xml:space="preserve">      optical Society of America, vol. 32, no. 7, pp. 500-503, 1941</w:t>
      </w:r>
    </w:p>
    <w:p w:rsidR="00F56780" w:rsidRPr="00F56780" w:rsidRDefault="00F56780" w:rsidP="00F56780">
      <w:pPr>
        <w:pStyle w:val="TextStandard"/>
        <w:rPr>
          <w:lang w:val="en-US"/>
        </w:rPr>
      </w:pPr>
    </w:p>
    <w:sectPr w:rsidR="00F56780" w:rsidRPr="00F56780" w:rsidSect="009307C1">
      <w:headerReference w:type="first" r:id="rId43"/>
      <w:pgSz w:w="11906" w:h="16838" w:code="9"/>
      <w:pgMar w:top="1417" w:right="1417" w:bottom="1134" w:left="1417" w:header="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1E8" w:rsidRDefault="00E571E8" w:rsidP="00524BE4">
      <w:pPr>
        <w:spacing w:after="0" w:line="240" w:lineRule="auto"/>
      </w:pPr>
      <w:r>
        <w:separator/>
      </w:r>
    </w:p>
  </w:endnote>
  <w:endnote w:type="continuationSeparator" w:id="0">
    <w:p w:rsidR="00E571E8" w:rsidRDefault="00E571E8" w:rsidP="00524B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1E8" w:rsidRDefault="00E571E8" w:rsidP="00524BE4">
      <w:pPr>
        <w:spacing w:after="0" w:line="240" w:lineRule="auto"/>
      </w:pPr>
      <w:r>
        <w:separator/>
      </w:r>
    </w:p>
  </w:footnote>
  <w:footnote w:type="continuationSeparator" w:id="0">
    <w:p w:rsidR="00E571E8" w:rsidRDefault="00E571E8" w:rsidP="00524B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E45" w:rsidRDefault="00202E45">
    <w:pPr>
      <w:pStyle w:val="Kopfzeile"/>
    </w:pPr>
  </w:p>
  <w:p w:rsidR="00202E45" w:rsidRDefault="00202E45">
    <w:pPr>
      <w:pStyle w:val="Fenster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6838"/>
    <w:multiLevelType w:val="hybridMultilevel"/>
    <w:tmpl w:val="D90664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BD32BD3"/>
    <w:multiLevelType w:val="hybridMultilevel"/>
    <w:tmpl w:val="F12CC4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5FD12F1"/>
    <w:multiLevelType w:val="hybridMultilevel"/>
    <w:tmpl w:val="A1E8EE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7F8106E"/>
    <w:multiLevelType w:val="multilevel"/>
    <w:tmpl w:val="E26E465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lang w:val="en-US"/>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36505DB9"/>
    <w:multiLevelType w:val="hybridMultilevel"/>
    <w:tmpl w:val="7BFE6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2E04FCD"/>
    <w:multiLevelType w:val="hybridMultilevel"/>
    <w:tmpl w:val="5F7469B8"/>
    <w:lvl w:ilvl="0" w:tplc="B6FA364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9606832"/>
    <w:multiLevelType w:val="hybridMultilevel"/>
    <w:tmpl w:val="24F650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F0F3776"/>
    <w:multiLevelType w:val="hybridMultilevel"/>
    <w:tmpl w:val="C26AD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0"/>
  </w:num>
  <w:num w:numId="5">
    <w:abstractNumId w:val="3"/>
  </w:num>
  <w:num w:numId="6">
    <w:abstractNumId w:val="7"/>
  </w:num>
  <w:num w:numId="7">
    <w:abstractNumId w:val="1"/>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744D5E"/>
    <w:rsid w:val="00000395"/>
    <w:rsid w:val="000007AE"/>
    <w:rsid w:val="000012C4"/>
    <w:rsid w:val="00001379"/>
    <w:rsid w:val="000023A0"/>
    <w:rsid w:val="00002F82"/>
    <w:rsid w:val="00004B92"/>
    <w:rsid w:val="000070C1"/>
    <w:rsid w:val="00010E37"/>
    <w:rsid w:val="000122C9"/>
    <w:rsid w:val="000122F3"/>
    <w:rsid w:val="000134AB"/>
    <w:rsid w:val="000145AC"/>
    <w:rsid w:val="00014A38"/>
    <w:rsid w:val="00020C9F"/>
    <w:rsid w:val="00023155"/>
    <w:rsid w:val="00023496"/>
    <w:rsid w:val="00023CD4"/>
    <w:rsid w:val="000246F4"/>
    <w:rsid w:val="00024ABB"/>
    <w:rsid w:val="000253EE"/>
    <w:rsid w:val="00030EF1"/>
    <w:rsid w:val="000317DF"/>
    <w:rsid w:val="00031F2B"/>
    <w:rsid w:val="00033A11"/>
    <w:rsid w:val="00033BF0"/>
    <w:rsid w:val="00033CD8"/>
    <w:rsid w:val="00033F8A"/>
    <w:rsid w:val="00036EFC"/>
    <w:rsid w:val="00036FD8"/>
    <w:rsid w:val="00040F2C"/>
    <w:rsid w:val="00041D52"/>
    <w:rsid w:val="0004254F"/>
    <w:rsid w:val="00044371"/>
    <w:rsid w:val="0004468F"/>
    <w:rsid w:val="00044AD2"/>
    <w:rsid w:val="00044E86"/>
    <w:rsid w:val="000454A6"/>
    <w:rsid w:val="00045530"/>
    <w:rsid w:val="00045A45"/>
    <w:rsid w:val="00046E47"/>
    <w:rsid w:val="00050012"/>
    <w:rsid w:val="00050B0F"/>
    <w:rsid w:val="000521BB"/>
    <w:rsid w:val="0005260E"/>
    <w:rsid w:val="000553B8"/>
    <w:rsid w:val="000571E1"/>
    <w:rsid w:val="000609D1"/>
    <w:rsid w:val="00060C35"/>
    <w:rsid w:val="000611DF"/>
    <w:rsid w:val="000612A0"/>
    <w:rsid w:val="00061C21"/>
    <w:rsid w:val="00062BA3"/>
    <w:rsid w:val="000631D8"/>
    <w:rsid w:val="000655CE"/>
    <w:rsid w:val="00065743"/>
    <w:rsid w:val="0006574D"/>
    <w:rsid w:val="00066217"/>
    <w:rsid w:val="00067024"/>
    <w:rsid w:val="00071AB6"/>
    <w:rsid w:val="00080820"/>
    <w:rsid w:val="00080CA1"/>
    <w:rsid w:val="0008147B"/>
    <w:rsid w:val="0008359B"/>
    <w:rsid w:val="00083A46"/>
    <w:rsid w:val="00086513"/>
    <w:rsid w:val="000871D7"/>
    <w:rsid w:val="00090A0E"/>
    <w:rsid w:val="00091904"/>
    <w:rsid w:val="00093EEE"/>
    <w:rsid w:val="00094848"/>
    <w:rsid w:val="0009527D"/>
    <w:rsid w:val="00095E35"/>
    <w:rsid w:val="00096197"/>
    <w:rsid w:val="00096A11"/>
    <w:rsid w:val="000A19CF"/>
    <w:rsid w:val="000A1C40"/>
    <w:rsid w:val="000A2630"/>
    <w:rsid w:val="000A3138"/>
    <w:rsid w:val="000A3955"/>
    <w:rsid w:val="000A3CAE"/>
    <w:rsid w:val="000A4750"/>
    <w:rsid w:val="000A4B32"/>
    <w:rsid w:val="000A520A"/>
    <w:rsid w:val="000A60CA"/>
    <w:rsid w:val="000A6D39"/>
    <w:rsid w:val="000B08E0"/>
    <w:rsid w:val="000B12DC"/>
    <w:rsid w:val="000B161D"/>
    <w:rsid w:val="000B2F62"/>
    <w:rsid w:val="000B364C"/>
    <w:rsid w:val="000B3B80"/>
    <w:rsid w:val="000B4492"/>
    <w:rsid w:val="000B4968"/>
    <w:rsid w:val="000B5E2C"/>
    <w:rsid w:val="000B6A0B"/>
    <w:rsid w:val="000B7CB6"/>
    <w:rsid w:val="000C5AFD"/>
    <w:rsid w:val="000C6605"/>
    <w:rsid w:val="000C6BF8"/>
    <w:rsid w:val="000C7837"/>
    <w:rsid w:val="000D08BE"/>
    <w:rsid w:val="000D1C86"/>
    <w:rsid w:val="000D3083"/>
    <w:rsid w:val="000D4E5D"/>
    <w:rsid w:val="000D602D"/>
    <w:rsid w:val="000D730F"/>
    <w:rsid w:val="000D7CC7"/>
    <w:rsid w:val="000E209B"/>
    <w:rsid w:val="000E2BE9"/>
    <w:rsid w:val="000E360E"/>
    <w:rsid w:val="000E4861"/>
    <w:rsid w:val="000E5487"/>
    <w:rsid w:val="000E5534"/>
    <w:rsid w:val="000E5ECC"/>
    <w:rsid w:val="000E6582"/>
    <w:rsid w:val="000E6850"/>
    <w:rsid w:val="000F08FC"/>
    <w:rsid w:val="000F0C46"/>
    <w:rsid w:val="000F1CF2"/>
    <w:rsid w:val="000F216C"/>
    <w:rsid w:val="000F4353"/>
    <w:rsid w:val="000F461F"/>
    <w:rsid w:val="000F49C0"/>
    <w:rsid w:val="000F5B08"/>
    <w:rsid w:val="000F6066"/>
    <w:rsid w:val="000F685F"/>
    <w:rsid w:val="000F6C10"/>
    <w:rsid w:val="000F728F"/>
    <w:rsid w:val="0010087F"/>
    <w:rsid w:val="00101897"/>
    <w:rsid w:val="00102B9F"/>
    <w:rsid w:val="0010577E"/>
    <w:rsid w:val="001070CA"/>
    <w:rsid w:val="0010782A"/>
    <w:rsid w:val="00107DB9"/>
    <w:rsid w:val="00110964"/>
    <w:rsid w:val="00110DBD"/>
    <w:rsid w:val="00110E36"/>
    <w:rsid w:val="00112228"/>
    <w:rsid w:val="00112E48"/>
    <w:rsid w:val="00116071"/>
    <w:rsid w:val="00116F82"/>
    <w:rsid w:val="0011791B"/>
    <w:rsid w:val="001212CA"/>
    <w:rsid w:val="00121DBB"/>
    <w:rsid w:val="00123925"/>
    <w:rsid w:val="00124995"/>
    <w:rsid w:val="00125E6C"/>
    <w:rsid w:val="00127CEF"/>
    <w:rsid w:val="0013090E"/>
    <w:rsid w:val="00131E02"/>
    <w:rsid w:val="00132949"/>
    <w:rsid w:val="00133046"/>
    <w:rsid w:val="00134383"/>
    <w:rsid w:val="00134CBD"/>
    <w:rsid w:val="00134E94"/>
    <w:rsid w:val="001363B0"/>
    <w:rsid w:val="00136D2C"/>
    <w:rsid w:val="001376EA"/>
    <w:rsid w:val="00137B37"/>
    <w:rsid w:val="001401A5"/>
    <w:rsid w:val="00140F40"/>
    <w:rsid w:val="00141B0E"/>
    <w:rsid w:val="001420E4"/>
    <w:rsid w:val="001429E7"/>
    <w:rsid w:val="0014313E"/>
    <w:rsid w:val="001433F2"/>
    <w:rsid w:val="00143A5E"/>
    <w:rsid w:val="00143AA1"/>
    <w:rsid w:val="00143C6E"/>
    <w:rsid w:val="00144830"/>
    <w:rsid w:val="001468A1"/>
    <w:rsid w:val="00147A41"/>
    <w:rsid w:val="00150E68"/>
    <w:rsid w:val="00151907"/>
    <w:rsid w:val="00151A3A"/>
    <w:rsid w:val="0015200A"/>
    <w:rsid w:val="00152145"/>
    <w:rsid w:val="001527C3"/>
    <w:rsid w:val="00153464"/>
    <w:rsid w:val="00153841"/>
    <w:rsid w:val="00154C8A"/>
    <w:rsid w:val="00155887"/>
    <w:rsid w:val="00156140"/>
    <w:rsid w:val="0015773A"/>
    <w:rsid w:val="0016080B"/>
    <w:rsid w:val="00160C00"/>
    <w:rsid w:val="00162622"/>
    <w:rsid w:val="00162A3C"/>
    <w:rsid w:val="00162E99"/>
    <w:rsid w:val="00164778"/>
    <w:rsid w:val="00164D74"/>
    <w:rsid w:val="0016541D"/>
    <w:rsid w:val="00166F2E"/>
    <w:rsid w:val="0016730C"/>
    <w:rsid w:val="00167497"/>
    <w:rsid w:val="001702E7"/>
    <w:rsid w:val="00172C67"/>
    <w:rsid w:val="0017322E"/>
    <w:rsid w:val="00175435"/>
    <w:rsid w:val="0017698B"/>
    <w:rsid w:val="0018080C"/>
    <w:rsid w:val="00181C3A"/>
    <w:rsid w:val="00181D7E"/>
    <w:rsid w:val="001836AF"/>
    <w:rsid w:val="00183743"/>
    <w:rsid w:val="00183776"/>
    <w:rsid w:val="001850B6"/>
    <w:rsid w:val="0018535A"/>
    <w:rsid w:val="00185827"/>
    <w:rsid w:val="0019292C"/>
    <w:rsid w:val="00192B39"/>
    <w:rsid w:val="00192C58"/>
    <w:rsid w:val="001932BA"/>
    <w:rsid w:val="0019335B"/>
    <w:rsid w:val="00193F4F"/>
    <w:rsid w:val="001944BB"/>
    <w:rsid w:val="00195C8B"/>
    <w:rsid w:val="00195CF7"/>
    <w:rsid w:val="001A0CDD"/>
    <w:rsid w:val="001A10DC"/>
    <w:rsid w:val="001A1C32"/>
    <w:rsid w:val="001A2379"/>
    <w:rsid w:val="001A3D4D"/>
    <w:rsid w:val="001A3EAC"/>
    <w:rsid w:val="001A666A"/>
    <w:rsid w:val="001B0762"/>
    <w:rsid w:val="001B3306"/>
    <w:rsid w:val="001B549D"/>
    <w:rsid w:val="001B5F10"/>
    <w:rsid w:val="001B66CB"/>
    <w:rsid w:val="001B777A"/>
    <w:rsid w:val="001B7A73"/>
    <w:rsid w:val="001C0887"/>
    <w:rsid w:val="001C3B54"/>
    <w:rsid w:val="001C40F9"/>
    <w:rsid w:val="001C57AC"/>
    <w:rsid w:val="001C5A4B"/>
    <w:rsid w:val="001C5AC2"/>
    <w:rsid w:val="001C7507"/>
    <w:rsid w:val="001C7C01"/>
    <w:rsid w:val="001D105A"/>
    <w:rsid w:val="001D1091"/>
    <w:rsid w:val="001D12B3"/>
    <w:rsid w:val="001D27E4"/>
    <w:rsid w:val="001D3608"/>
    <w:rsid w:val="001D37BC"/>
    <w:rsid w:val="001D5683"/>
    <w:rsid w:val="001D71E3"/>
    <w:rsid w:val="001E05F8"/>
    <w:rsid w:val="001E09A9"/>
    <w:rsid w:val="001E18AD"/>
    <w:rsid w:val="001E2029"/>
    <w:rsid w:val="001E2D9B"/>
    <w:rsid w:val="001E300B"/>
    <w:rsid w:val="001E3960"/>
    <w:rsid w:val="001E439A"/>
    <w:rsid w:val="001E765E"/>
    <w:rsid w:val="001F26CC"/>
    <w:rsid w:val="001F2ACF"/>
    <w:rsid w:val="001F3017"/>
    <w:rsid w:val="001F4B46"/>
    <w:rsid w:val="001F59B8"/>
    <w:rsid w:val="001F7672"/>
    <w:rsid w:val="001F779A"/>
    <w:rsid w:val="002008BE"/>
    <w:rsid w:val="00200F36"/>
    <w:rsid w:val="002016A3"/>
    <w:rsid w:val="0020170F"/>
    <w:rsid w:val="002026A2"/>
    <w:rsid w:val="00202832"/>
    <w:rsid w:val="00202A06"/>
    <w:rsid w:val="00202E2A"/>
    <w:rsid w:val="00202E45"/>
    <w:rsid w:val="002035E5"/>
    <w:rsid w:val="00203985"/>
    <w:rsid w:val="0020472C"/>
    <w:rsid w:val="00204CFB"/>
    <w:rsid w:val="00210495"/>
    <w:rsid w:val="00210779"/>
    <w:rsid w:val="002111F5"/>
    <w:rsid w:val="00212706"/>
    <w:rsid w:val="00212B6C"/>
    <w:rsid w:val="00212BEF"/>
    <w:rsid w:val="00212F07"/>
    <w:rsid w:val="002133C1"/>
    <w:rsid w:val="00214295"/>
    <w:rsid w:val="00214AD7"/>
    <w:rsid w:val="00215861"/>
    <w:rsid w:val="002176C0"/>
    <w:rsid w:val="00220B5F"/>
    <w:rsid w:val="0022271F"/>
    <w:rsid w:val="00222A1B"/>
    <w:rsid w:val="00226BD6"/>
    <w:rsid w:val="002270E0"/>
    <w:rsid w:val="002307F3"/>
    <w:rsid w:val="00231C05"/>
    <w:rsid w:val="0023312B"/>
    <w:rsid w:val="002379E0"/>
    <w:rsid w:val="00240B11"/>
    <w:rsid w:val="00241387"/>
    <w:rsid w:val="0024158A"/>
    <w:rsid w:val="002419C2"/>
    <w:rsid w:val="00242F0F"/>
    <w:rsid w:val="002432F2"/>
    <w:rsid w:val="00243505"/>
    <w:rsid w:val="00243870"/>
    <w:rsid w:val="00243B43"/>
    <w:rsid w:val="00244FB4"/>
    <w:rsid w:val="00246512"/>
    <w:rsid w:val="00246F1C"/>
    <w:rsid w:val="00247219"/>
    <w:rsid w:val="00247434"/>
    <w:rsid w:val="00247CC6"/>
    <w:rsid w:val="00250B1C"/>
    <w:rsid w:val="00251D5B"/>
    <w:rsid w:val="00253AFD"/>
    <w:rsid w:val="00253F4A"/>
    <w:rsid w:val="002541A4"/>
    <w:rsid w:val="002541E7"/>
    <w:rsid w:val="002561CB"/>
    <w:rsid w:val="00260BD6"/>
    <w:rsid w:val="002638D2"/>
    <w:rsid w:val="0026601A"/>
    <w:rsid w:val="0027080B"/>
    <w:rsid w:val="0027374C"/>
    <w:rsid w:val="002742E7"/>
    <w:rsid w:val="00274BB8"/>
    <w:rsid w:val="00275A62"/>
    <w:rsid w:val="0027609E"/>
    <w:rsid w:val="002766C2"/>
    <w:rsid w:val="00276710"/>
    <w:rsid w:val="00276A42"/>
    <w:rsid w:val="00277227"/>
    <w:rsid w:val="00277E74"/>
    <w:rsid w:val="0028005B"/>
    <w:rsid w:val="00280533"/>
    <w:rsid w:val="00281CFD"/>
    <w:rsid w:val="00283AAF"/>
    <w:rsid w:val="00284D55"/>
    <w:rsid w:val="0028542F"/>
    <w:rsid w:val="002909C7"/>
    <w:rsid w:val="00291F23"/>
    <w:rsid w:val="00291F94"/>
    <w:rsid w:val="0029313B"/>
    <w:rsid w:val="0029350E"/>
    <w:rsid w:val="00294780"/>
    <w:rsid w:val="00294DA1"/>
    <w:rsid w:val="00296087"/>
    <w:rsid w:val="00296270"/>
    <w:rsid w:val="00297ABE"/>
    <w:rsid w:val="002A0183"/>
    <w:rsid w:val="002A0DB9"/>
    <w:rsid w:val="002A10F0"/>
    <w:rsid w:val="002A2A21"/>
    <w:rsid w:val="002A2AE6"/>
    <w:rsid w:val="002A2DD4"/>
    <w:rsid w:val="002A4597"/>
    <w:rsid w:val="002A4844"/>
    <w:rsid w:val="002A4995"/>
    <w:rsid w:val="002A59FF"/>
    <w:rsid w:val="002A6C21"/>
    <w:rsid w:val="002A7D08"/>
    <w:rsid w:val="002B0261"/>
    <w:rsid w:val="002B171A"/>
    <w:rsid w:val="002B1758"/>
    <w:rsid w:val="002B2F66"/>
    <w:rsid w:val="002B3438"/>
    <w:rsid w:val="002B3BD9"/>
    <w:rsid w:val="002B4EF9"/>
    <w:rsid w:val="002B602E"/>
    <w:rsid w:val="002B7DF3"/>
    <w:rsid w:val="002C07EC"/>
    <w:rsid w:val="002C1E17"/>
    <w:rsid w:val="002C1FE9"/>
    <w:rsid w:val="002C3038"/>
    <w:rsid w:val="002C3EF2"/>
    <w:rsid w:val="002C47C1"/>
    <w:rsid w:val="002C5B85"/>
    <w:rsid w:val="002C7DFD"/>
    <w:rsid w:val="002D017D"/>
    <w:rsid w:val="002D08B2"/>
    <w:rsid w:val="002D08FE"/>
    <w:rsid w:val="002D2853"/>
    <w:rsid w:val="002D3328"/>
    <w:rsid w:val="002D360F"/>
    <w:rsid w:val="002D54B1"/>
    <w:rsid w:val="002D6091"/>
    <w:rsid w:val="002D60CE"/>
    <w:rsid w:val="002D646C"/>
    <w:rsid w:val="002D72D3"/>
    <w:rsid w:val="002D7F67"/>
    <w:rsid w:val="002E04C0"/>
    <w:rsid w:val="002E126E"/>
    <w:rsid w:val="002E16E4"/>
    <w:rsid w:val="002E3DC3"/>
    <w:rsid w:val="002E3E79"/>
    <w:rsid w:val="002E40F9"/>
    <w:rsid w:val="002E483E"/>
    <w:rsid w:val="002E5606"/>
    <w:rsid w:val="002E5B82"/>
    <w:rsid w:val="002E62B2"/>
    <w:rsid w:val="002E6C50"/>
    <w:rsid w:val="002E739C"/>
    <w:rsid w:val="002F0B02"/>
    <w:rsid w:val="002F1980"/>
    <w:rsid w:val="002F27FA"/>
    <w:rsid w:val="002F35B0"/>
    <w:rsid w:val="002F55DC"/>
    <w:rsid w:val="002F6BAA"/>
    <w:rsid w:val="002F78C7"/>
    <w:rsid w:val="00302A33"/>
    <w:rsid w:val="00303227"/>
    <w:rsid w:val="0030463C"/>
    <w:rsid w:val="00306AFC"/>
    <w:rsid w:val="0030716F"/>
    <w:rsid w:val="00310BB2"/>
    <w:rsid w:val="00312581"/>
    <w:rsid w:val="00314B22"/>
    <w:rsid w:val="003164B1"/>
    <w:rsid w:val="00316E4E"/>
    <w:rsid w:val="00316EA7"/>
    <w:rsid w:val="003178E6"/>
    <w:rsid w:val="003205B9"/>
    <w:rsid w:val="00320AB2"/>
    <w:rsid w:val="0032239E"/>
    <w:rsid w:val="003261EE"/>
    <w:rsid w:val="00326609"/>
    <w:rsid w:val="00332929"/>
    <w:rsid w:val="00333813"/>
    <w:rsid w:val="003346CC"/>
    <w:rsid w:val="003348C2"/>
    <w:rsid w:val="00335BEC"/>
    <w:rsid w:val="003402D9"/>
    <w:rsid w:val="00341BC0"/>
    <w:rsid w:val="00344244"/>
    <w:rsid w:val="00344894"/>
    <w:rsid w:val="003456B3"/>
    <w:rsid w:val="00346859"/>
    <w:rsid w:val="00346E0B"/>
    <w:rsid w:val="003472B9"/>
    <w:rsid w:val="0034774D"/>
    <w:rsid w:val="00351C12"/>
    <w:rsid w:val="00352E28"/>
    <w:rsid w:val="00352FE5"/>
    <w:rsid w:val="00353383"/>
    <w:rsid w:val="003542FA"/>
    <w:rsid w:val="00354CF9"/>
    <w:rsid w:val="00355132"/>
    <w:rsid w:val="003551CC"/>
    <w:rsid w:val="00355688"/>
    <w:rsid w:val="00355855"/>
    <w:rsid w:val="003564DD"/>
    <w:rsid w:val="0035784E"/>
    <w:rsid w:val="00357E56"/>
    <w:rsid w:val="003623D2"/>
    <w:rsid w:val="00363A3E"/>
    <w:rsid w:val="00364368"/>
    <w:rsid w:val="00366E59"/>
    <w:rsid w:val="00372448"/>
    <w:rsid w:val="003726E8"/>
    <w:rsid w:val="00375C0B"/>
    <w:rsid w:val="00375FFE"/>
    <w:rsid w:val="00377A3C"/>
    <w:rsid w:val="00380189"/>
    <w:rsid w:val="0038029D"/>
    <w:rsid w:val="00381018"/>
    <w:rsid w:val="0038246F"/>
    <w:rsid w:val="00383172"/>
    <w:rsid w:val="00383BA6"/>
    <w:rsid w:val="003841B1"/>
    <w:rsid w:val="003847A1"/>
    <w:rsid w:val="00384C70"/>
    <w:rsid w:val="00385AD4"/>
    <w:rsid w:val="0039024D"/>
    <w:rsid w:val="00390524"/>
    <w:rsid w:val="00391BE8"/>
    <w:rsid w:val="00393126"/>
    <w:rsid w:val="00395AC4"/>
    <w:rsid w:val="00397610"/>
    <w:rsid w:val="00397994"/>
    <w:rsid w:val="003A022A"/>
    <w:rsid w:val="003A3012"/>
    <w:rsid w:val="003A4231"/>
    <w:rsid w:val="003A42A0"/>
    <w:rsid w:val="003A477B"/>
    <w:rsid w:val="003A4F50"/>
    <w:rsid w:val="003A5327"/>
    <w:rsid w:val="003A5D65"/>
    <w:rsid w:val="003A706C"/>
    <w:rsid w:val="003B0B4F"/>
    <w:rsid w:val="003B1B45"/>
    <w:rsid w:val="003B222E"/>
    <w:rsid w:val="003B2BD0"/>
    <w:rsid w:val="003B3ACB"/>
    <w:rsid w:val="003B4334"/>
    <w:rsid w:val="003B460A"/>
    <w:rsid w:val="003B4FA0"/>
    <w:rsid w:val="003B535D"/>
    <w:rsid w:val="003B5A34"/>
    <w:rsid w:val="003C185B"/>
    <w:rsid w:val="003C211C"/>
    <w:rsid w:val="003C3716"/>
    <w:rsid w:val="003C76A3"/>
    <w:rsid w:val="003D02DC"/>
    <w:rsid w:val="003D0585"/>
    <w:rsid w:val="003D1737"/>
    <w:rsid w:val="003D17CC"/>
    <w:rsid w:val="003D2D7A"/>
    <w:rsid w:val="003D3271"/>
    <w:rsid w:val="003D3288"/>
    <w:rsid w:val="003D33CD"/>
    <w:rsid w:val="003D4043"/>
    <w:rsid w:val="003D482B"/>
    <w:rsid w:val="003D48CB"/>
    <w:rsid w:val="003D4E09"/>
    <w:rsid w:val="003D626D"/>
    <w:rsid w:val="003D7189"/>
    <w:rsid w:val="003E0DE5"/>
    <w:rsid w:val="003E10CC"/>
    <w:rsid w:val="003E14AE"/>
    <w:rsid w:val="003E155E"/>
    <w:rsid w:val="003E19E2"/>
    <w:rsid w:val="003E2D7A"/>
    <w:rsid w:val="003E36BF"/>
    <w:rsid w:val="003E4EF7"/>
    <w:rsid w:val="003E5DA9"/>
    <w:rsid w:val="003E61A2"/>
    <w:rsid w:val="003E6F3A"/>
    <w:rsid w:val="003E7F07"/>
    <w:rsid w:val="003F08B6"/>
    <w:rsid w:val="003F336D"/>
    <w:rsid w:val="003F4DDE"/>
    <w:rsid w:val="0040091B"/>
    <w:rsid w:val="004017F4"/>
    <w:rsid w:val="004031BB"/>
    <w:rsid w:val="00403D09"/>
    <w:rsid w:val="00406209"/>
    <w:rsid w:val="00406321"/>
    <w:rsid w:val="00407ACE"/>
    <w:rsid w:val="004103B8"/>
    <w:rsid w:val="00410B00"/>
    <w:rsid w:val="0041422D"/>
    <w:rsid w:val="004143D7"/>
    <w:rsid w:val="00415A5D"/>
    <w:rsid w:val="00415B59"/>
    <w:rsid w:val="00416E03"/>
    <w:rsid w:val="00417586"/>
    <w:rsid w:val="00417939"/>
    <w:rsid w:val="00417B8F"/>
    <w:rsid w:val="00420395"/>
    <w:rsid w:val="0042157F"/>
    <w:rsid w:val="00421CB6"/>
    <w:rsid w:val="004239D8"/>
    <w:rsid w:val="00424602"/>
    <w:rsid w:val="00425D6B"/>
    <w:rsid w:val="004273E4"/>
    <w:rsid w:val="0043182C"/>
    <w:rsid w:val="004338F2"/>
    <w:rsid w:val="0043493D"/>
    <w:rsid w:val="00434C19"/>
    <w:rsid w:val="004357FE"/>
    <w:rsid w:val="004358DE"/>
    <w:rsid w:val="00436F95"/>
    <w:rsid w:val="0043709D"/>
    <w:rsid w:val="004373BE"/>
    <w:rsid w:val="004377F4"/>
    <w:rsid w:val="004405F7"/>
    <w:rsid w:val="00442EC3"/>
    <w:rsid w:val="00443961"/>
    <w:rsid w:val="00444808"/>
    <w:rsid w:val="0044567C"/>
    <w:rsid w:val="00446E24"/>
    <w:rsid w:val="0045081D"/>
    <w:rsid w:val="00451680"/>
    <w:rsid w:val="00451818"/>
    <w:rsid w:val="00451BDF"/>
    <w:rsid w:val="00454BB3"/>
    <w:rsid w:val="00454C4D"/>
    <w:rsid w:val="00455CD8"/>
    <w:rsid w:val="0045784E"/>
    <w:rsid w:val="00457D85"/>
    <w:rsid w:val="004639C8"/>
    <w:rsid w:val="004662E6"/>
    <w:rsid w:val="00472DB4"/>
    <w:rsid w:val="00474A43"/>
    <w:rsid w:val="00474C7C"/>
    <w:rsid w:val="00475AB1"/>
    <w:rsid w:val="004769E5"/>
    <w:rsid w:val="004778F7"/>
    <w:rsid w:val="00480C21"/>
    <w:rsid w:val="00481D00"/>
    <w:rsid w:val="004824C7"/>
    <w:rsid w:val="004826DE"/>
    <w:rsid w:val="00483ABC"/>
    <w:rsid w:val="00483FDF"/>
    <w:rsid w:val="00484746"/>
    <w:rsid w:val="0048514E"/>
    <w:rsid w:val="004851A8"/>
    <w:rsid w:val="0048743C"/>
    <w:rsid w:val="004874CE"/>
    <w:rsid w:val="004904D1"/>
    <w:rsid w:val="00490F36"/>
    <w:rsid w:val="00491CEB"/>
    <w:rsid w:val="00493000"/>
    <w:rsid w:val="00493B50"/>
    <w:rsid w:val="0049456E"/>
    <w:rsid w:val="00495F0A"/>
    <w:rsid w:val="00496320"/>
    <w:rsid w:val="00496754"/>
    <w:rsid w:val="00497104"/>
    <w:rsid w:val="00497E06"/>
    <w:rsid w:val="004A033F"/>
    <w:rsid w:val="004A230C"/>
    <w:rsid w:val="004A2496"/>
    <w:rsid w:val="004A2AC3"/>
    <w:rsid w:val="004A4DEA"/>
    <w:rsid w:val="004A50BF"/>
    <w:rsid w:val="004A53D8"/>
    <w:rsid w:val="004A5F03"/>
    <w:rsid w:val="004A62DB"/>
    <w:rsid w:val="004A7062"/>
    <w:rsid w:val="004A7296"/>
    <w:rsid w:val="004A7D01"/>
    <w:rsid w:val="004B0ACA"/>
    <w:rsid w:val="004B27D8"/>
    <w:rsid w:val="004B2B2C"/>
    <w:rsid w:val="004B2FD5"/>
    <w:rsid w:val="004B5590"/>
    <w:rsid w:val="004B6068"/>
    <w:rsid w:val="004B68BF"/>
    <w:rsid w:val="004B6F90"/>
    <w:rsid w:val="004B7A21"/>
    <w:rsid w:val="004C0056"/>
    <w:rsid w:val="004C1249"/>
    <w:rsid w:val="004C16B2"/>
    <w:rsid w:val="004C1793"/>
    <w:rsid w:val="004C1AD2"/>
    <w:rsid w:val="004C1DAD"/>
    <w:rsid w:val="004C3096"/>
    <w:rsid w:val="004C34B2"/>
    <w:rsid w:val="004C41F5"/>
    <w:rsid w:val="004C4254"/>
    <w:rsid w:val="004C5351"/>
    <w:rsid w:val="004C5D00"/>
    <w:rsid w:val="004D19C2"/>
    <w:rsid w:val="004D2878"/>
    <w:rsid w:val="004D2D08"/>
    <w:rsid w:val="004D36D3"/>
    <w:rsid w:val="004D4C75"/>
    <w:rsid w:val="004D6435"/>
    <w:rsid w:val="004D776A"/>
    <w:rsid w:val="004E0E7A"/>
    <w:rsid w:val="004E0FA0"/>
    <w:rsid w:val="004E1ACB"/>
    <w:rsid w:val="004E589C"/>
    <w:rsid w:val="004E61F5"/>
    <w:rsid w:val="004E7DD5"/>
    <w:rsid w:val="004F238E"/>
    <w:rsid w:val="004F4044"/>
    <w:rsid w:val="004F5D5E"/>
    <w:rsid w:val="004F5FD9"/>
    <w:rsid w:val="004F6B44"/>
    <w:rsid w:val="004F6FCC"/>
    <w:rsid w:val="004F7AB8"/>
    <w:rsid w:val="00501675"/>
    <w:rsid w:val="005021D5"/>
    <w:rsid w:val="0050269B"/>
    <w:rsid w:val="005027A4"/>
    <w:rsid w:val="00503280"/>
    <w:rsid w:val="00505146"/>
    <w:rsid w:val="00507929"/>
    <w:rsid w:val="00507C82"/>
    <w:rsid w:val="00507E87"/>
    <w:rsid w:val="005115B7"/>
    <w:rsid w:val="005119F0"/>
    <w:rsid w:val="0051275F"/>
    <w:rsid w:val="00513079"/>
    <w:rsid w:val="00513F38"/>
    <w:rsid w:val="00516AD0"/>
    <w:rsid w:val="005172C1"/>
    <w:rsid w:val="00517A1C"/>
    <w:rsid w:val="00517BEA"/>
    <w:rsid w:val="00521DDD"/>
    <w:rsid w:val="00523360"/>
    <w:rsid w:val="0052398D"/>
    <w:rsid w:val="00524BE4"/>
    <w:rsid w:val="00525947"/>
    <w:rsid w:val="005267E1"/>
    <w:rsid w:val="00530911"/>
    <w:rsid w:val="00530A39"/>
    <w:rsid w:val="00530D76"/>
    <w:rsid w:val="0053164E"/>
    <w:rsid w:val="00531DAA"/>
    <w:rsid w:val="00532CD1"/>
    <w:rsid w:val="005330BD"/>
    <w:rsid w:val="00533965"/>
    <w:rsid w:val="005351C0"/>
    <w:rsid w:val="00535A93"/>
    <w:rsid w:val="005410CA"/>
    <w:rsid w:val="0054194A"/>
    <w:rsid w:val="0054421D"/>
    <w:rsid w:val="005511FF"/>
    <w:rsid w:val="00551A2C"/>
    <w:rsid w:val="00553F78"/>
    <w:rsid w:val="00554496"/>
    <w:rsid w:val="0055544E"/>
    <w:rsid w:val="00555F2A"/>
    <w:rsid w:val="00560214"/>
    <w:rsid w:val="00560633"/>
    <w:rsid w:val="005624C5"/>
    <w:rsid w:val="00562A2D"/>
    <w:rsid w:val="00562FFE"/>
    <w:rsid w:val="00563BD4"/>
    <w:rsid w:val="0056479B"/>
    <w:rsid w:val="0056528C"/>
    <w:rsid w:val="0057165B"/>
    <w:rsid w:val="00572AE5"/>
    <w:rsid w:val="005746BB"/>
    <w:rsid w:val="00575883"/>
    <w:rsid w:val="00575DEE"/>
    <w:rsid w:val="0057680F"/>
    <w:rsid w:val="00577296"/>
    <w:rsid w:val="00577545"/>
    <w:rsid w:val="005805B9"/>
    <w:rsid w:val="00580A77"/>
    <w:rsid w:val="00580B5E"/>
    <w:rsid w:val="00580C4D"/>
    <w:rsid w:val="0058141E"/>
    <w:rsid w:val="00582FBE"/>
    <w:rsid w:val="00583A63"/>
    <w:rsid w:val="00584198"/>
    <w:rsid w:val="005842DC"/>
    <w:rsid w:val="00584AF3"/>
    <w:rsid w:val="005854FD"/>
    <w:rsid w:val="00586463"/>
    <w:rsid w:val="00590913"/>
    <w:rsid w:val="00590C02"/>
    <w:rsid w:val="00591154"/>
    <w:rsid w:val="00591C91"/>
    <w:rsid w:val="00593497"/>
    <w:rsid w:val="005959CE"/>
    <w:rsid w:val="00596653"/>
    <w:rsid w:val="005A05E2"/>
    <w:rsid w:val="005A09AF"/>
    <w:rsid w:val="005A2C50"/>
    <w:rsid w:val="005A6E59"/>
    <w:rsid w:val="005A7A86"/>
    <w:rsid w:val="005B029F"/>
    <w:rsid w:val="005B1BE9"/>
    <w:rsid w:val="005B1FA2"/>
    <w:rsid w:val="005B2A69"/>
    <w:rsid w:val="005B3755"/>
    <w:rsid w:val="005B3F22"/>
    <w:rsid w:val="005B62C6"/>
    <w:rsid w:val="005B65C6"/>
    <w:rsid w:val="005B65D9"/>
    <w:rsid w:val="005C0859"/>
    <w:rsid w:val="005C0D79"/>
    <w:rsid w:val="005C0E52"/>
    <w:rsid w:val="005C33D4"/>
    <w:rsid w:val="005C4237"/>
    <w:rsid w:val="005C7306"/>
    <w:rsid w:val="005D0336"/>
    <w:rsid w:val="005D1906"/>
    <w:rsid w:val="005D2616"/>
    <w:rsid w:val="005D2A5D"/>
    <w:rsid w:val="005D3631"/>
    <w:rsid w:val="005D37AE"/>
    <w:rsid w:val="005D4109"/>
    <w:rsid w:val="005D4C7B"/>
    <w:rsid w:val="005D7B18"/>
    <w:rsid w:val="005D7F36"/>
    <w:rsid w:val="005E0527"/>
    <w:rsid w:val="005E4875"/>
    <w:rsid w:val="005E4F0E"/>
    <w:rsid w:val="005E56A7"/>
    <w:rsid w:val="005E575D"/>
    <w:rsid w:val="005E5F62"/>
    <w:rsid w:val="005E607B"/>
    <w:rsid w:val="005E6332"/>
    <w:rsid w:val="005E7D2E"/>
    <w:rsid w:val="005F069F"/>
    <w:rsid w:val="005F1352"/>
    <w:rsid w:val="005F20E8"/>
    <w:rsid w:val="005F237A"/>
    <w:rsid w:val="005F293E"/>
    <w:rsid w:val="005F2AB8"/>
    <w:rsid w:val="005F30CF"/>
    <w:rsid w:val="005F3C03"/>
    <w:rsid w:val="005F70F0"/>
    <w:rsid w:val="006008A4"/>
    <w:rsid w:val="00600B8C"/>
    <w:rsid w:val="00604DBD"/>
    <w:rsid w:val="00607DA4"/>
    <w:rsid w:val="006105F2"/>
    <w:rsid w:val="006107ED"/>
    <w:rsid w:val="00610B5A"/>
    <w:rsid w:val="00610BB3"/>
    <w:rsid w:val="00610D33"/>
    <w:rsid w:val="006119E2"/>
    <w:rsid w:val="00612ABB"/>
    <w:rsid w:val="00613577"/>
    <w:rsid w:val="0061455E"/>
    <w:rsid w:val="00615A6D"/>
    <w:rsid w:val="00616529"/>
    <w:rsid w:val="006165BE"/>
    <w:rsid w:val="006167BE"/>
    <w:rsid w:val="0061697F"/>
    <w:rsid w:val="00622E6D"/>
    <w:rsid w:val="00624F9F"/>
    <w:rsid w:val="0062522D"/>
    <w:rsid w:val="0062524D"/>
    <w:rsid w:val="006252C3"/>
    <w:rsid w:val="00625B71"/>
    <w:rsid w:val="00626EEE"/>
    <w:rsid w:val="00630BCB"/>
    <w:rsid w:val="00630CE4"/>
    <w:rsid w:val="00631FE7"/>
    <w:rsid w:val="006348E5"/>
    <w:rsid w:val="00635D7E"/>
    <w:rsid w:val="006368AB"/>
    <w:rsid w:val="00636DAD"/>
    <w:rsid w:val="0064000E"/>
    <w:rsid w:val="006406BC"/>
    <w:rsid w:val="00641102"/>
    <w:rsid w:val="00643074"/>
    <w:rsid w:val="006438F2"/>
    <w:rsid w:val="00646DD8"/>
    <w:rsid w:val="00647038"/>
    <w:rsid w:val="006477AA"/>
    <w:rsid w:val="0065073E"/>
    <w:rsid w:val="0065229B"/>
    <w:rsid w:val="00655D54"/>
    <w:rsid w:val="006562B1"/>
    <w:rsid w:val="006567D0"/>
    <w:rsid w:val="00656EA3"/>
    <w:rsid w:val="00657637"/>
    <w:rsid w:val="00660197"/>
    <w:rsid w:val="006633E5"/>
    <w:rsid w:val="006656C2"/>
    <w:rsid w:val="00665B30"/>
    <w:rsid w:val="00665F06"/>
    <w:rsid w:val="00665F46"/>
    <w:rsid w:val="00665F5E"/>
    <w:rsid w:val="00666259"/>
    <w:rsid w:val="006662B2"/>
    <w:rsid w:val="006676B5"/>
    <w:rsid w:val="0067003A"/>
    <w:rsid w:val="00670801"/>
    <w:rsid w:val="00670AE1"/>
    <w:rsid w:val="00670CB2"/>
    <w:rsid w:val="00671EBE"/>
    <w:rsid w:val="00672B8B"/>
    <w:rsid w:val="0067441C"/>
    <w:rsid w:val="006744DE"/>
    <w:rsid w:val="00674807"/>
    <w:rsid w:val="00675B76"/>
    <w:rsid w:val="006773A9"/>
    <w:rsid w:val="00677F21"/>
    <w:rsid w:val="00677FFC"/>
    <w:rsid w:val="00682C6C"/>
    <w:rsid w:val="00682F78"/>
    <w:rsid w:val="006833BC"/>
    <w:rsid w:val="00683A22"/>
    <w:rsid w:val="0068559E"/>
    <w:rsid w:val="006860D9"/>
    <w:rsid w:val="006863C6"/>
    <w:rsid w:val="00687434"/>
    <w:rsid w:val="00690650"/>
    <w:rsid w:val="00693B9F"/>
    <w:rsid w:val="0069434B"/>
    <w:rsid w:val="006948C2"/>
    <w:rsid w:val="0069506C"/>
    <w:rsid w:val="0069523A"/>
    <w:rsid w:val="006955C6"/>
    <w:rsid w:val="006A183C"/>
    <w:rsid w:val="006A3798"/>
    <w:rsid w:val="006A6255"/>
    <w:rsid w:val="006A62AB"/>
    <w:rsid w:val="006A6EE8"/>
    <w:rsid w:val="006A770A"/>
    <w:rsid w:val="006A7BC9"/>
    <w:rsid w:val="006B0DED"/>
    <w:rsid w:val="006B1350"/>
    <w:rsid w:val="006B245A"/>
    <w:rsid w:val="006B3BDF"/>
    <w:rsid w:val="006B4926"/>
    <w:rsid w:val="006B6031"/>
    <w:rsid w:val="006B67B4"/>
    <w:rsid w:val="006B7F2D"/>
    <w:rsid w:val="006C0833"/>
    <w:rsid w:val="006C0BAC"/>
    <w:rsid w:val="006C196F"/>
    <w:rsid w:val="006C1F69"/>
    <w:rsid w:val="006C530C"/>
    <w:rsid w:val="006C5A2D"/>
    <w:rsid w:val="006C5F77"/>
    <w:rsid w:val="006C7A9B"/>
    <w:rsid w:val="006D0564"/>
    <w:rsid w:val="006D1220"/>
    <w:rsid w:val="006D2282"/>
    <w:rsid w:val="006D6103"/>
    <w:rsid w:val="006D6930"/>
    <w:rsid w:val="006D7129"/>
    <w:rsid w:val="006D7E11"/>
    <w:rsid w:val="006E090B"/>
    <w:rsid w:val="006E1339"/>
    <w:rsid w:val="006E1B47"/>
    <w:rsid w:val="006E2E91"/>
    <w:rsid w:val="006E58AA"/>
    <w:rsid w:val="006E7214"/>
    <w:rsid w:val="006E73CC"/>
    <w:rsid w:val="006E7F15"/>
    <w:rsid w:val="006F0572"/>
    <w:rsid w:val="006F0EEB"/>
    <w:rsid w:val="006F2A72"/>
    <w:rsid w:val="006F32C3"/>
    <w:rsid w:val="006F4D7D"/>
    <w:rsid w:val="006F5390"/>
    <w:rsid w:val="006F647D"/>
    <w:rsid w:val="006F649B"/>
    <w:rsid w:val="006F70F8"/>
    <w:rsid w:val="006F7A58"/>
    <w:rsid w:val="007001A7"/>
    <w:rsid w:val="0070275F"/>
    <w:rsid w:val="00702CF1"/>
    <w:rsid w:val="007033DD"/>
    <w:rsid w:val="0070363E"/>
    <w:rsid w:val="00704EC8"/>
    <w:rsid w:val="007070F1"/>
    <w:rsid w:val="00707879"/>
    <w:rsid w:val="007104E9"/>
    <w:rsid w:val="00710D87"/>
    <w:rsid w:val="00710D8C"/>
    <w:rsid w:val="00711551"/>
    <w:rsid w:val="0071199B"/>
    <w:rsid w:val="00711A12"/>
    <w:rsid w:val="00712151"/>
    <w:rsid w:val="007147C6"/>
    <w:rsid w:val="00716423"/>
    <w:rsid w:val="0071675E"/>
    <w:rsid w:val="00716DAD"/>
    <w:rsid w:val="00720435"/>
    <w:rsid w:val="00724405"/>
    <w:rsid w:val="0072512A"/>
    <w:rsid w:val="0072535C"/>
    <w:rsid w:val="00727CA1"/>
    <w:rsid w:val="00727CDE"/>
    <w:rsid w:val="00730113"/>
    <w:rsid w:val="007306BC"/>
    <w:rsid w:val="00731117"/>
    <w:rsid w:val="00731121"/>
    <w:rsid w:val="0073365F"/>
    <w:rsid w:val="0073416A"/>
    <w:rsid w:val="00734F4E"/>
    <w:rsid w:val="00735002"/>
    <w:rsid w:val="007351E5"/>
    <w:rsid w:val="00736E4A"/>
    <w:rsid w:val="00736EB5"/>
    <w:rsid w:val="00737D2B"/>
    <w:rsid w:val="00737F4C"/>
    <w:rsid w:val="007413D8"/>
    <w:rsid w:val="00741575"/>
    <w:rsid w:val="0074233D"/>
    <w:rsid w:val="00742FE0"/>
    <w:rsid w:val="00744D5E"/>
    <w:rsid w:val="00744FB2"/>
    <w:rsid w:val="0074585D"/>
    <w:rsid w:val="00745E89"/>
    <w:rsid w:val="00746E0E"/>
    <w:rsid w:val="0075053D"/>
    <w:rsid w:val="00752A0B"/>
    <w:rsid w:val="00752C93"/>
    <w:rsid w:val="00753527"/>
    <w:rsid w:val="00753DAD"/>
    <w:rsid w:val="00754179"/>
    <w:rsid w:val="00754C4D"/>
    <w:rsid w:val="00755091"/>
    <w:rsid w:val="00762D48"/>
    <w:rsid w:val="0076346C"/>
    <w:rsid w:val="0076403F"/>
    <w:rsid w:val="0076468F"/>
    <w:rsid w:val="007655E9"/>
    <w:rsid w:val="00766686"/>
    <w:rsid w:val="00771763"/>
    <w:rsid w:val="00772C19"/>
    <w:rsid w:val="0077300A"/>
    <w:rsid w:val="007732DF"/>
    <w:rsid w:val="00773B71"/>
    <w:rsid w:val="00775CD3"/>
    <w:rsid w:val="00780AF6"/>
    <w:rsid w:val="00780CF8"/>
    <w:rsid w:val="00781F70"/>
    <w:rsid w:val="007835C4"/>
    <w:rsid w:val="00784D91"/>
    <w:rsid w:val="00785AB7"/>
    <w:rsid w:val="00785F55"/>
    <w:rsid w:val="007867C8"/>
    <w:rsid w:val="00787198"/>
    <w:rsid w:val="007904FB"/>
    <w:rsid w:val="0079120D"/>
    <w:rsid w:val="00793593"/>
    <w:rsid w:val="007936D2"/>
    <w:rsid w:val="0079375A"/>
    <w:rsid w:val="0079407F"/>
    <w:rsid w:val="00794476"/>
    <w:rsid w:val="0079471F"/>
    <w:rsid w:val="00795318"/>
    <w:rsid w:val="00795459"/>
    <w:rsid w:val="007963E1"/>
    <w:rsid w:val="0079787A"/>
    <w:rsid w:val="007A0049"/>
    <w:rsid w:val="007A0562"/>
    <w:rsid w:val="007A19BA"/>
    <w:rsid w:val="007A19F1"/>
    <w:rsid w:val="007A25AC"/>
    <w:rsid w:val="007A2D95"/>
    <w:rsid w:val="007B1CF1"/>
    <w:rsid w:val="007B2A3D"/>
    <w:rsid w:val="007B2C74"/>
    <w:rsid w:val="007B34EE"/>
    <w:rsid w:val="007B5CDC"/>
    <w:rsid w:val="007B63BA"/>
    <w:rsid w:val="007B6A29"/>
    <w:rsid w:val="007B7D69"/>
    <w:rsid w:val="007B7DCE"/>
    <w:rsid w:val="007C3013"/>
    <w:rsid w:val="007C65D7"/>
    <w:rsid w:val="007C701F"/>
    <w:rsid w:val="007D0C53"/>
    <w:rsid w:val="007D121D"/>
    <w:rsid w:val="007D1FA4"/>
    <w:rsid w:val="007D36AE"/>
    <w:rsid w:val="007D4E78"/>
    <w:rsid w:val="007D5200"/>
    <w:rsid w:val="007D5750"/>
    <w:rsid w:val="007D6601"/>
    <w:rsid w:val="007D6E19"/>
    <w:rsid w:val="007D71C5"/>
    <w:rsid w:val="007D7F75"/>
    <w:rsid w:val="007E0E62"/>
    <w:rsid w:val="007E0ECD"/>
    <w:rsid w:val="007E1114"/>
    <w:rsid w:val="007E151A"/>
    <w:rsid w:val="007E22A3"/>
    <w:rsid w:val="007E2D3B"/>
    <w:rsid w:val="007E38E5"/>
    <w:rsid w:val="007E524A"/>
    <w:rsid w:val="007E5F3B"/>
    <w:rsid w:val="007E6B29"/>
    <w:rsid w:val="007E716F"/>
    <w:rsid w:val="007F0323"/>
    <w:rsid w:val="007F087C"/>
    <w:rsid w:val="007F0B21"/>
    <w:rsid w:val="007F1288"/>
    <w:rsid w:val="007F1365"/>
    <w:rsid w:val="007F149D"/>
    <w:rsid w:val="007F3888"/>
    <w:rsid w:val="007F3F89"/>
    <w:rsid w:val="007F5D46"/>
    <w:rsid w:val="007F63B1"/>
    <w:rsid w:val="007F6F01"/>
    <w:rsid w:val="00801C94"/>
    <w:rsid w:val="00802794"/>
    <w:rsid w:val="00802AA5"/>
    <w:rsid w:val="00802C0C"/>
    <w:rsid w:val="0080364A"/>
    <w:rsid w:val="008050D1"/>
    <w:rsid w:val="00806103"/>
    <w:rsid w:val="00810D50"/>
    <w:rsid w:val="008121C3"/>
    <w:rsid w:val="00812CEA"/>
    <w:rsid w:val="00813A76"/>
    <w:rsid w:val="00814CDE"/>
    <w:rsid w:val="00814E4E"/>
    <w:rsid w:val="00815FCD"/>
    <w:rsid w:val="00816946"/>
    <w:rsid w:val="0081776B"/>
    <w:rsid w:val="0082022E"/>
    <w:rsid w:val="00821853"/>
    <w:rsid w:val="00821A0A"/>
    <w:rsid w:val="00823887"/>
    <w:rsid w:val="00824D33"/>
    <w:rsid w:val="00830405"/>
    <w:rsid w:val="00831BB6"/>
    <w:rsid w:val="00834578"/>
    <w:rsid w:val="00834D3A"/>
    <w:rsid w:val="00834FB6"/>
    <w:rsid w:val="00835629"/>
    <w:rsid w:val="0083566E"/>
    <w:rsid w:val="00835685"/>
    <w:rsid w:val="00835767"/>
    <w:rsid w:val="00836729"/>
    <w:rsid w:val="00836A49"/>
    <w:rsid w:val="008402A4"/>
    <w:rsid w:val="008413C2"/>
    <w:rsid w:val="008413EF"/>
    <w:rsid w:val="00841516"/>
    <w:rsid w:val="00841638"/>
    <w:rsid w:val="00842139"/>
    <w:rsid w:val="00842523"/>
    <w:rsid w:val="008431EF"/>
    <w:rsid w:val="00844A4A"/>
    <w:rsid w:val="00844C88"/>
    <w:rsid w:val="00846101"/>
    <w:rsid w:val="008464D6"/>
    <w:rsid w:val="00846AD8"/>
    <w:rsid w:val="00847FFC"/>
    <w:rsid w:val="008530A2"/>
    <w:rsid w:val="00853C9B"/>
    <w:rsid w:val="0085516A"/>
    <w:rsid w:val="0085557D"/>
    <w:rsid w:val="00856190"/>
    <w:rsid w:val="00857931"/>
    <w:rsid w:val="00857C64"/>
    <w:rsid w:val="00860A65"/>
    <w:rsid w:val="00860CD5"/>
    <w:rsid w:val="0086117A"/>
    <w:rsid w:val="008619ED"/>
    <w:rsid w:val="00862E00"/>
    <w:rsid w:val="008661EC"/>
    <w:rsid w:val="0087125D"/>
    <w:rsid w:val="008729E6"/>
    <w:rsid w:val="00873F53"/>
    <w:rsid w:val="00874BA5"/>
    <w:rsid w:val="008757F5"/>
    <w:rsid w:val="00876704"/>
    <w:rsid w:val="00876A70"/>
    <w:rsid w:val="00876EF6"/>
    <w:rsid w:val="00877B83"/>
    <w:rsid w:val="00880AD5"/>
    <w:rsid w:val="00881979"/>
    <w:rsid w:val="00882004"/>
    <w:rsid w:val="00882B55"/>
    <w:rsid w:val="00883130"/>
    <w:rsid w:val="0088415E"/>
    <w:rsid w:val="00885840"/>
    <w:rsid w:val="00885EBC"/>
    <w:rsid w:val="0088601D"/>
    <w:rsid w:val="008863F4"/>
    <w:rsid w:val="00887416"/>
    <w:rsid w:val="00887589"/>
    <w:rsid w:val="00887849"/>
    <w:rsid w:val="00890EFD"/>
    <w:rsid w:val="00891088"/>
    <w:rsid w:val="0089117B"/>
    <w:rsid w:val="00891F43"/>
    <w:rsid w:val="008932F4"/>
    <w:rsid w:val="00893BF8"/>
    <w:rsid w:val="00895937"/>
    <w:rsid w:val="008A01A3"/>
    <w:rsid w:val="008A10FE"/>
    <w:rsid w:val="008A4EED"/>
    <w:rsid w:val="008A5623"/>
    <w:rsid w:val="008A677F"/>
    <w:rsid w:val="008A6BED"/>
    <w:rsid w:val="008B0318"/>
    <w:rsid w:val="008B0CAB"/>
    <w:rsid w:val="008B2CC2"/>
    <w:rsid w:val="008B3168"/>
    <w:rsid w:val="008B5BC1"/>
    <w:rsid w:val="008B5C00"/>
    <w:rsid w:val="008B6D5D"/>
    <w:rsid w:val="008C0DF2"/>
    <w:rsid w:val="008C10D7"/>
    <w:rsid w:val="008C16BF"/>
    <w:rsid w:val="008C1C21"/>
    <w:rsid w:val="008C241E"/>
    <w:rsid w:val="008C401D"/>
    <w:rsid w:val="008C5230"/>
    <w:rsid w:val="008C68B9"/>
    <w:rsid w:val="008C6A30"/>
    <w:rsid w:val="008C73EB"/>
    <w:rsid w:val="008D11E6"/>
    <w:rsid w:val="008D23ED"/>
    <w:rsid w:val="008D2A73"/>
    <w:rsid w:val="008D37FD"/>
    <w:rsid w:val="008D5847"/>
    <w:rsid w:val="008D6138"/>
    <w:rsid w:val="008D68B5"/>
    <w:rsid w:val="008D76D9"/>
    <w:rsid w:val="008E06DE"/>
    <w:rsid w:val="008E16B0"/>
    <w:rsid w:val="008E2718"/>
    <w:rsid w:val="008E3B86"/>
    <w:rsid w:val="008E5CF5"/>
    <w:rsid w:val="008E63F6"/>
    <w:rsid w:val="008E683B"/>
    <w:rsid w:val="008E7904"/>
    <w:rsid w:val="008F0B13"/>
    <w:rsid w:val="008F0F29"/>
    <w:rsid w:val="008F24EC"/>
    <w:rsid w:val="008F2B26"/>
    <w:rsid w:val="008F3756"/>
    <w:rsid w:val="008F5C5D"/>
    <w:rsid w:val="008F6777"/>
    <w:rsid w:val="008F6C11"/>
    <w:rsid w:val="008F6E33"/>
    <w:rsid w:val="008F702E"/>
    <w:rsid w:val="008F7E85"/>
    <w:rsid w:val="00900260"/>
    <w:rsid w:val="00901C3D"/>
    <w:rsid w:val="009021B0"/>
    <w:rsid w:val="0090256B"/>
    <w:rsid w:val="009029B9"/>
    <w:rsid w:val="00904B8B"/>
    <w:rsid w:val="009051BF"/>
    <w:rsid w:val="00905EA6"/>
    <w:rsid w:val="00906352"/>
    <w:rsid w:val="0090639E"/>
    <w:rsid w:val="00907807"/>
    <w:rsid w:val="009108F9"/>
    <w:rsid w:val="00911872"/>
    <w:rsid w:val="00914C74"/>
    <w:rsid w:val="00915201"/>
    <w:rsid w:val="009159B9"/>
    <w:rsid w:val="00916B3A"/>
    <w:rsid w:val="00920745"/>
    <w:rsid w:val="00920CF2"/>
    <w:rsid w:val="009215E1"/>
    <w:rsid w:val="009216A0"/>
    <w:rsid w:val="00922903"/>
    <w:rsid w:val="00924A1C"/>
    <w:rsid w:val="00924B25"/>
    <w:rsid w:val="00926408"/>
    <w:rsid w:val="00926494"/>
    <w:rsid w:val="009266C8"/>
    <w:rsid w:val="009307C1"/>
    <w:rsid w:val="0093136F"/>
    <w:rsid w:val="00932984"/>
    <w:rsid w:val="00936FF2"/>
    <w:rsid w:val="00940EE8"/>
    <w:rsid w:val="00943BD4"/>
    <w:rsid w:val="00945310"/>
    <w:rsid w:val="00950903"/>
    <w:rsid w:val="00950AF6"/>
    <w:rsid w:val="00951E92"/>
    <w:rsid w:val="009524B2"/>
    <w:rsid w:val="00952816"/>
    <w:rsid w:val="00953193"/>
    <w:rsid w:val="00955B6A"/>
    <w:rsid w:val="00956FA7"/>
    <w:rsid w:val="009573DC"/>
    <w:rsid w:val="009578A5"/>
    <w:rsid w:val="00960EBA"/>
    <w:rsid w:val="00961796"/>
    <w:rsid w:val="009622C7"/>
    <w:rsid w:val="00963B99"/>
    <w:rsid w:val="00965CE2"/>
    <w:rsid w:val="00971CC8"/>
    <w:rsid w:val="00973597"/>
    <w:rsid w:val="0097445B"/>
    <w:rsid w:val="00975CF9"/>
    <w:rsid w:val="0098069B"/>
    <w:rsid w:val="009809E4"/>
    <w:rsid w:val="0098112C"/>
    <w:rsid w:val="00983E08"/>
    <w:rsid w:val="00984220"/>
    <w:rsid w:val="00984D46"/>
    <w:rsid w:val="009854E9"/>
    <w:rsid w:val="009866D2"/>
    <w:rsid w:val="00986A35"/>
    <w:rsid w:val="00986E15"/>
    <w:rsid w:val="00990107"/>
    <w:rsid w:val="00990C12"/>
    <w:rsid w:val="00992727"/>
    <w:rsid w:val="00992AC5"/>
    <w:rsid w:val="00992C32"/>
    <w:rsid w:val="00992CC6"/>
    <w:rsid w:val="009940C2"/>
    <w:rsid w:val="009943EC"/>
    <w:rsid w:val="00994B61"/>
    <w:rsid w:val="009957E6"/>
    <w:rsid w:val="00996022"/>
    <w:rsid w:val="009964BA"/>
    <w:rsid w:val="00996DDB"/>
    <w:rsid w:val="00997252"/>
    <w:rsid w:val="0099786C"/>
    <w:rsid w:val="00997CA8"/>
    <w:rsid w:val="00997E55"/>
    <w:rsid w:val="009A12CA"/>
    <w:rsid w:val="009A49B2"/>
    <w:rsid w:val="009A4B24"/>
    <w:rsid w:val="009A7392"/>
    <w:rsid w:val="009A7547"/>
    <w:rsid w:val="009B0218"/>
    <w:rsid w:val="009B076E"/>
    <w:rsid w:val="009B0DD3"/>
    <w:rsid w:val="009B22B5"/>
    <w:rsid w:val="009B4558"/>
    <w:rsid w:val="009B50A7"/>
    <w:rsid w:val="009B5853"/>
    <w:rsid w:val="009B5C82"/>
    <w:rsid w:val="009B7404"/>
    <w:rsid w:val="009C0929"/>
    <w:rsid w:val="009C2F47"/>
    <w:rsid w:val="009C3591"/>
    <w:rsid w:val="009C41E7"/>
    <w:rsid w:val="009C52CA"/>
    <w:rsid w:val="009C7534"/>
    <w:rsid w:val="009C79E5"/>
    <w:rsid w:val="009D0051"/>
    <w:rsid w:val="009D1354"/>
    <w:rsid w:val="009D1F7D"/>
    <w:rsid w:val="009D2829"/>
    <w:rsid w:val="009D31BD"/>
    <w:rsid w:val="009D3367"/>
    <w:rsid w:val="009D3D55"/>
    <w:rsid w:val="009D408D"/>
    <w:rsid w:val="009D44BC"/>
    <w:rsid w:val="009D45F9"/>
    <w:rsid w:val="009E2384"/>
    <w:rsid w:val="009E2AD0"/>
    <w:rsid w:val="009E411E"/>
    <w:rsid w:val="009E4BAB"/>
    <w:rsid w:val="009E4F96"/>
    <w:rsid w:val="009E769F"/>
    <w:rsid w:val="009E7A78"/>
    <w:rsid w:val="009E7BD6"/>
    <w:rsid w:val="009E7F6B"/>
    <w:rsid w:val="009F0682"/>
    <w:rsid w:val="009F1317"/>
    <w:rsid w:val="009F1461"/>
    <w:rsid w:val="009F489B"/>
    <w:rsid w:val="009F4D4E"/>
    <w:rsid w:val="009F59FA"/>
    <w:rsid w:val="009F6D36"/>
    <w:rsid w:val="009F6F21"/>
    <w:rsid w:val="009F7133"/>
    <w:rsid w:val="00A02443"/>
    <w:rsid w:val="00A02661"/>
    <w:rsid w:val="00A02770"/>
    <w:rsid w:val="00A03CDD"/>
    <w:rsid w:val="00A04ABA"/>
    <w:rsid w:val="00A05638"/>
    <w:rsid w:val="00A05863"/>
    <w:rsid w:val="00A06ACC"/>
    <w:rsid w:val="00A06F16"/>
    <w:rsid w:val="00A10B23"/>
    <w:rsid w:val="00A11C97"/>
    <w:rsid w:val="00A120F2"/>
    <w:rsid w:val="00A12945"/>
    <w:rsid w:val="00A1382A"/>
    <w:rsid w:val="00A140BF"/>
    <w:rsid w:val="00A14923"/>
    <w:rsid w:val="00A15995"/>
    <w:rsid w:val="00A213D9"/>
    <w:rsid w:val="00A21718"/>
    <w:rsid w:val="00A223A5"/>
    <w:rsid w:val="00A234DA"/>
    <w:rsid w:val="00A23CAE"/>
    <w:rsid w:val="00A24A2E"/>
    <w:rsid w:val="00A26F46"/>
    <w:rsid w:val="00A270E8"/>
    <w:rsid w:val="00A30AEC"/>
    <w:rsid w:val="00A30B94"/>
    <w:rsid w:val="00A329AA"/>
    <w:rsid w:val="00A3548C"/>
    <w:rsid w:val="00A35EDB"/>
    <w:rsid w:val="00A35F7C"/>
    <w:rsid w:val="00A36810"/>
    <w:rsid w:val="00A37768"/>
    <w:rsid w:val="00A37C5F"/>
    <w:rsid w:val="00A40098"/>
    <w:rsid w:val="00A417CA"/>
    <w:rsid w:val="00A41A6C"/>
    <w:rsid w:val="00A42B21"/>
    <w:rsid w:val="00A458D5"/>
    <w:rsid w:val="00A45BAD"/>
    <w:rsid w:val="00A46355"/>
    <w:rsid w:val="00A471E0"/>
    <w:rsid w:val="00A47E65"/>
    <w:rsid w:val="00A5238A"/>
    <w:rsid w:val="00A529F1"/>
    <w:rsid w:val="00A53E4F"/>
    <w:rsid w:val="00A54238"/>
    <w:rsid w:val="00A545B2"/>
    <w:rsid w:val="00A54D21"/>
    <w:rsid w:val="00A55B5E"/>
    <w:rsid w:val="00A577BB"/>
    <w:rsid w:val="00A60013"/>
    <w:rsid w:val="00A60157"/>
    <w:rsid w:val="00A610B1"/>
    <w:rsid w:val="00A61851"/>
    <w:rsid w:val="00A61994"/>
    <w:rsid w:val="00A622F5"/>
    <w:rsid w:val="00A6296C"/>
    <w:rsid w:val="00A63B69"/>
    <w:rsid w:val="00A6437D"/>
    <w:rsid w:val="00A6526B"/>
    <w:rsid w:val="00A65A2B"/>
    <w:rsid w:val="00A673FA"/>
    <w:rsid w:val="00A71143"/>
    <w:rsid w:val="00A71B34"/>
    <w:rsid w:val="00A7255A"/>
    <w:rsid w:val="00A75184"/>
    <w:rsid w:val="00A75330"/>
    <w:rsid w:val="00A75823"/>
    <w:rsid w:val="00A76294"/>
    <w:rsid w:val="00A76BDC"/>
    <w:rsid w:val="00A77654"/>
    <w:rsid w:val="00A8033A"/>
    <w:rsid w:val="00A8172B"/>
    <w:rsid w:val="00A8455F"/>
    <w:rsid w:val="00A84772"/>
    <w:rsid w:val="00A84BDA"/>
    <w:rsid w:val="00A866C2"/>
    <w:rsid w:val="00A87CAB"/>
    <w:rsid w:val="00A90011"/>
    <w:rsid w:val="00A912E1"/>
    <w:rsid w:val="00A91C3C"/>
    <w:rsid w:val="00A92ED8"/>
    <w:rsid w:val="00A936CD"/>
    <w:rsid w:val="00A94B1E"/>
    <w:rsid w:val="00A95CAA"/>
    <w:rsid w:val="00A96364"/>
    <w:rsid w:val="00A972CA"/>
    <w:rsid w:val="00AA0F02"/>
    <w:rsid w:val="00AA1066"/>
    <w:rsid w:val="00AA5307"/>
    <w:rsid w:val="00AA70C8"/>
    <w:rsid w:val="00AB0D11"/>
    <w:rsid w:val="00AB0D97"/>
    <w:rsid w:val="00AB0F28"/>
    <w:rsid w:val="00AB24D0"/>
    <w:rsid w:val="00AB3CC9"/>
    <w:rsid w:val="00AB58BF"/>
    <w:rsid w:val="00AB67B6"/>
    <w:rsid w:val="00AB691D"/>
    <w:rsid w:val="00AB6AD7"/>
    <w:rsid w:val="00AB75D5"/>
    <w:rsid w:val="00AC1674"/>
    <w:rsid w:val="00AC1EB0"/>
    <w:rsid w:val="00AC21AC"/>
    <w:rsid w:val="00AC28FB"/>
    <w:rsid w:val="00AC31E2"/>
    <w:rsid w:val="00AC34DB"/>
    <w:rsid w:val="00AC45EF"/>
    <w:rsid w:val="00AC4E70"/>
    <w:rsid w:val="00AC52DA"/>
    <w:rsid w:val="00AC536A"/>
    <w:rsid w:val="00AC5C39"/>
    <w:rsid w:val="00AC68CB"/>
    <w:rsid w:val="00AC7712"/>
    <w:rsid w:val="00AD0BA1"/>
    <w:rsid w:val="00AD1050"/>
    <w:rsid w:val="00AD11C4"/>
    <w:rsid w:val="00AD24E9"/>
    <w:rsid w:val="00AD293D"/>
    <w:rsid w:val="00AD2A55"/>
    <w:rsid w:val="00AD3478"/>
    <w:rsid w:val="00AD38CD"/>
    <w:rsid w:val="00AD5542"/>
    <w:rsid w:val="00AD59D4"/>
    <w:rsid w:val="00AD614F"/>
    <w:rsid w:val="00AD7B55"/>
    <w:rsid w:val="00AE08CC"/>
    <w:rsid w:val="00AE1467"/>
    <w:rsid w:val="00AE2763"/>
    <w:rsid w:val="00AE28C9"/>
    <w:rsid w:val="00AE468A"/>
    <w:rsid w:val="00AE5783"/>
    <w:rsid w:val="00AE5CBC"/>
    <w:rsid w:val="00AE604D"/>
    <w:rsid w:val="00AF2725"/>
    <w:rsid w:val="00AF4EF3"/>
    <w:rsid w:val="00AF5256"/>
    <w:rsid w:val="00AF5CC2"/>
    <w:rsid w:val="00AF6C12"/>
    <w:rsid w:val="00B0096E"/>
    <w:rsid w:val="00B01419"/>
    <w:rsid w:val="00B017B4"/>
    <w:rsid w:val="00B017C1"/>
    <w:rsid w:val="00B01F52"/>
    <w:rsid w:val="00B02104"/>
    <w:rsid w:val="00B041B0"/>
    <w:rsid w:val="00B05272"/>
    <w:rsid w:val="00B05D88"/>
    <w:rsid w:val="00B06102"/>
    <w:rsid w:val="00B06A40"/>
    <w:rsid w:val="00B07B38"/>
    <w:rsid w:val="00B07F2E"/>
    <w:rsid w:val="00B12496"/>
    <w:rsid w:val="00B140FD"/>
    <w:rsid w:val="00B14BFB"/>
    <w:rsid w:val="00B15E1B"/>
    <w:rsid w:val="00B17460"/>
    <w:rsid w:val="00B174BF"/>
    <w:rsid w:val="00B1772C"/>
    <w:rsid w:val="00B241C7"/>
    <w:rsid w:val="00B24987"/>
    <w:rsid w:val="00B25094"/>
    <w:rsid w:val="00B272C5"/>
    <w:rsid w:val="00B2744B"/>
    <w:rsid w:val="00B27819"/>
    <w:rsid w:val="00B300A9"/>
    <w:rsid w:val="00B30DEA"/>
    <w:rsid w:val="00B30F00"/>
    <w:rsid w:val="00B317B3"/>
    <w:rsid w:val="00B3185A"/>
    <w:rsid w:val="00B32291"/>
    <w:rsid w:val="00B32DC2"/>
    <w:rsid w:val="00B337AD"/>
    <w:rsid w:val="00B36661"/>
    <w:rsid w:val="00B36CF6"/>
    <w:rsid w:val="00B37000"/>
    <w:rsid w:val="00B37944"/>
    <w:rsid w:val="00B402D6"/>
    <w:rsid w:val="00B4353D"/>
    <w:rsid w:val="00B43917"/>
    <w:rsid w:val="00B443A8"/>
    <w:rsid w:val="00B4450B"/>
    <w:rsid w:val="00B46528"/>
    <w:rsid w:val="00B47E13"/>
    <w:rsid w:val="00B522D2"/>
    <w:rsid w:val="00B527CC"/>
    <w:rsid w:val="00B537CC"/>
    <w:rsid w:val="00B554E4"/>
    <w:rsid w:val="00B556A1"/>
    <w:rsid w:val="00B55726"/>
    <w:rsid w:val="00B55A50"/>
    <w:rsid w:val="00B562D6"/>
    <w:rsid w:val="00B5662E"/>
    <w:rsid w:val="00B56A67"/>
    <w:rsid w:val="00B57F78"/>
    <w:rsid w:val="00B6197B"/>
    <w:rsid w:val="00B61DB3"/>
    <w:rsid w:val="00B6229F"/>
    <w:rsid w:val="00B62E18"/>
    <w:rsid w:val="00B63BA4"/>
    <w:rsid w:val="00B6462A"/>
    <w:rsid w:val="00B64D27"/>
    <w:rsid w:val="00B66A1F"/>
    <w:rsid w:val="00B672F0"/>
    <w:rsid w:val="00B678C3"/>
    <w:rsid w:val="00B67991"/>
    <w:rsid w:val="00B67DC0"/>
    <w:rsid w:val="00B708B2"/>
    <w:rsid w:val="00B713F4"/>
    <w:rsid w:val="00B73665"/>
    <w:rsid w:val="00B7434F"/>
    <w:rsid w:val="00B74503"/>
    <w:rsid w:val="00B75067"/>
    <w:rsid w:val="00B76FD8"/>
    <w:rsid w:val="00B77907"/>
    <w:rsid w:val="00B77A0C"/>
    <w:rsid w:val="00B77A82"/>
    <w:rsid w:val="00B77C3F"/>
    <w:rsid w:val="00B77C66"/>
    <w:rsid w:val="00B77CFE"/>
    <w:rsid w:val="00B8099B"/>
    <w:rsid w:val="00B80C2F"/>
    <w:rsid w:val="00B811B8"/>
    <w:rsid w:val="00B817F3"/>
    <w:rsid w:val="00B82E12"/>
    <w:rsid w:val="00B83ED9"/>
    <w:rsid w:val="00B84619"/>
    <w:rsid w:val="00B84C95"/>
    <w:rsid w:val="00B84F6D"/>
    <w:rsid w:val="00B85BD0"/>
    <w:rsid w:val="00B85C1B"/>
    <w:rsid w:val="00B86394"/>
    <w:rsid w:val="00B900C7"/>
    <w:rsid w:val="00B93655"/>
    <w:rsid w:val="00B938DC"/>
    <w:rsid w:val="00B94211"/>
    <w:rsid w:val="00B9595D"/>
    <w:rsid w:val="00B95EFD"/>
    <w:rsid w:val="00B96FA6"/>
    <w:rsid w:val="00B979A9"/>
    <w:rsid w:val="00BA165F"/>
    <w:rsid w:val="00BA1D0A"/>
    <w:rsid w:val="00BA2E49"/>
    <w:rsid w:val="00BA4BA1"/>
    <w:rsid w:val="00BA4F88"/>
    <w:rsid w:val="00BA56F7"/>
    <w:rsid w:val="00BA5C29"/>
    <w:rsid w:val="00BA6A49"/>
    <w:rsid w:val="00BA71E2"/>
    <w:rsid w:val="00BA7F4B"/>
    <w:rsid w:val="00BB121D"/>
    <w:rsid w:val="00BB340B"/>
    <w:rsid w:val="00BB455B"/>
    <w:rsid w:val="00BB516E"/>
    <w:rsid w:val="00BB58F2"/>
    <w:rsid w:val="00BB5B48"/>
    <w:rsid w:val="00BB684F"/>
    <w:rsid w:val="00BB69DF"/>
    <w:rsid w:val="00BB6A73"/>
    <w:rsid w:val="00BB71F8"/>
    <w:rsid w:val="00BB7885"/>
    <w:rsid w:val="00BB7DEF"/>
    <w:rsid w:val="00BC0C88"/>
    <w:rsid w:val="00BC2510"/>
    <w:rsid w:val="00BC2C6B"/>
    <w:rsid w:val="00BC32E0"/>
    <w:rsid w:val="00BC5BBC"/>
    <w:rsid w:val="00BC5BEE"/>
    <w:rsid w:val="00BC5CB6"/>
    <w:rsid w:val="00BC6BF5"/>
    <w:rsid w:val="00BC71D7"/>
    <w:rsid w:val="00BC79D5"/>
    <w:rsid w:val="00BC7D90"/>
    <w:rsid w:val="00BD0512"/>
    <w:rsid w:val="00BD064A"/>
    <w:rsid w:val="00BD1275"/>
    <w:rsid w:val="00BD1552"/>
    <w:rsid w:val="00BD2249"/>
    <w:rsid w:val="00BD2582"/>
    <w:rsid w:val="00BD2F99"/>
    <w:rsid w:val="00BD63B1"/>
    <w:rsid w:val="00BD6CA2"/>
    <w:rsid w:val="00BE1818"/>
    <w:rsid w:val="00BE3219"/>
    <w:rsid w:val="00BE587F"/>
    <w:rsid w:val="00BE5B52"/>
    <w:rsid w:val="00BE5CDA"/>
    <w:rsid w:val="00BE628F"/>
    <w:rsid w:val="00BF0B99"/>
    <w:rsid w:val="00BF0C09"/>
    <w:rsid w:val="00BF24B2"/>
    <w:rsid w:val="00BF450F"/>
    <w:rsid w:val="00BF64E9"/>
    <w:rsid w:val="00BF6E5D"/>
    <w:rsid w:val="00BF6FF0"/>
    <w:rsid w:val="00BF7AE8"/>
    <w:rsid w:val="00C00659"/>
    <w:rsid w:val="00C022B9"/>
    <w:rsid w:val="00C035C0"/>
    <w:rsid w:val="00C0395C"/>
    <w:rsid w:val="00C04026"/>
    <w:rsid w:val="00C04F07"/>
    <w:rsid w:val="00C064EC"/>
    <w:rsid w:val="00C06DE2"/>
    <w:rsid w:val="00C1052D"/>
    <w:rsid w:val="00C10B5E"/>
    <w:rsid w:val="00C11C3A"/>
    <w:rsid w:val="00C12A1E"/>
    <w:rsid w:val="00C132B3"/>
    <w:rsid w:val="00C15BE0"/>
    <w:rsid w:val="00C15CB2"/>
    <w:rsid w:val="00C1620C"/>
    <w:rsid w:val="00C17ED6"/>
    <w:rsid w:val="00C2067E"/>
    <w:rsid w:val="00C20AE1"/>
    <w:rsid w:val="00C20CDE"/>
    <w:rsid w:val="00C21458"/>
    <w:rsid w:val="00C222C1"/>
    <w:rsid w:val="00C23F34"/>
    <w:rsid w:val="00C24115"/>
    <w:rsid w:val="00C241DF"/>
    <w:rsid w:val="00C24C9C"/>
    <w:rsid w:val="00C2658E"/>
    <w:rsid w:val="00C26B80"/>
    <w:rsid w:val="00C27185"/>
    <w:rsid w:val="00C279DE"/>
    <w:rsid w:val="00C3062C"/>
    <w:rsid w:val="00C30BB2"/>
    <w:rsid w:val="00C31A54"/>
    <w:rsid w:val="00C324D4"/>
    <w:rsid w:val="00C32A34"/>
    <w:rsid w:val="00C332C4"/>
    <w:rsid w:val="00C332E3"/>
    <w:rsid w:val="00C3587E"/>
    <w:rsid w:val="00C36F25"/>
    <w:rsid w:val="00C41243"/>
    <w:rsid w:val="00C41B26"/>
    <w:rsid w:val="00C41B8E"/>
    <w:rsid w:val="00C42DD3"/>
    <w:rsid w:val="00C43D12"/>
    <w:rsid w:val="00C45FC0"/>
    <w:rsid w:val="00C46474"/>
    <w:rsid w:val="00C464F3"/>
    <w:rsid w:val="00C51335"/>
    <w:rsid w:val="00C5347C"/>
    <w:rsid w:val="00C55384"/>
    <w:rsid w:val="00C565AD"/>
    <w:rsid w:val="00C568DB"/>
    <w:rsid w:val="00C604D0"/>
    <w:rsid w:val="00C60592"/>
    <w:rsid w:val="00C62924"/>
    <w:rsid w:val="00C63E25"/>
    <w:rsid w:val="00C67D7B"/>
    <w:rsid w:val="00C7154A"/>
    <w:rsid w:val="00C74AA8"/>
    <w:rsid w:val="00C74CE0"/>
    <w:rsid w:val="00C751CD"/>
    <w:rsid w:val="00C754A8"/>
    <w:rsid w:val="00C77C6C"/>
    <w:rsid w:val="00C81230"/>
    <w:rsid w:val="00C82AA0"/>
    <w:rsid w:val="00C8464A"/>
    <w:rsid w:val="00C8483A"/>
    <w:rsid w:val="00C8570C"/>
    <w:rsid w:val="00C86171"/>
    <w:rsid w:val="00C90364"/>
    <w:rsid w:val="00C932FC"/>
    <w:rsid w:val="00C93BD2"/>
    <w:rsid w:val="00C952B4"/>
    <w:rsid w:val="00C9776B"/>
    <w:rsid w:val="00CA05E1"/>
    <w:rsid w:val="00CA086C"/>
    <w:rsid w:val="00CA1CDF"/>
    <w:rsid w:val="00CA1DB7"/>
    <w:rsid w:val="00CA20C2"/>
    <w:rsid w:val="00CA2C4D"/>
    <w:rsid w:val="00CA2FD8"/>
    <w:rsid w:val="00CA3366"/>
    <w:rsid w:val="00CA3BC9"/>
    <w:rsid w:val="00CA3E14"/>
    <w:rsid w:val="00CA4520"/>
    <w:rsid w:val="00CA4800"/>
    <w:rsid w:val="00CB2F03"/>
    <w:rsid w:val="00CB30A0"/>
    <w:rsid w:val="00CB3618"/>
    <w:rsid w:val="00CB4422"/>
    <w:rsid w:val="00CB44F7"/>
    <w:rsid w:val="00CB5A98"/>
    <w:rsid w:val="00CB5B41"/>
    <w:rsid w:val="00CB5F8C"/>
    <w:rsid w:val="00CB6CD7"/>
    <w:rsid w:val="00CB7F1A"/>
    <w:rsid w:val="00CB7FD9"/>
    <w:rsid w:val="00CC0ACF"/>
    <w:rsid w:val="00CC0B84"/>
    <w:rsid w:val="00CC1FB0"/>
    <w:rsid w:val="00CC30B4"/>
    <w:rsid w:val="00CC57DB"/>
    <w:rsid w:val="00CC5CD4"/>
    <w:rsid w:val="00CC7A8F"/>
    <w:rsid w:val="00CD0FCC"/>
    <w:rsid w:val="00CD19C5"/>
    <w:rsid w:val="00CD2379"/>
    <w:rsid w:val="00CD2F0D"/>
    <w:rsid w:val="00CD621D"/>
    <w:rsid w:val="00CD7EA0"/>
    <w:rsid w:val="00CE28FC"/>
    <w:rsid w:val="00CE3EAA"/>
    <w:rsid w:val="00CE70F3"/>
    <w:rsid w:val="00CF17A6"/>
    <w:rsid w:val="00CF207A"/>
    <w:rsid w:val="00CF209C"/>
    <w:rsid w:val="00CF64ED"/>
    <w:rsid w:val="00D00824"/>
    <w:rsid w:val="00D01C3C"/>
    <w:rsid w:val="00D02170"/>
    <w:rsid w:val="00D036EC"/>
    <w:rsid w:val="00D037A3"/>
    <w:rsid w:val="00D04BB3"/>
    <w:rsid w:val="00D05990"/>
    <w:rsid w:val="00D05BE0"/>
    <w:rsid w:val="00D067CE"/>
    <w:rsid w:val="00D12471"/>
    <w:rsid w:val="00D12591"/>
    <w:rsid w:val="00D12ADA"/>
    <w:rsid w:val="00D133A5"/>
    <w:rsid w:val="00D13425"/>
    <w:rsid w:val="00D1551A"/>
    <w:rsid w:val="00D15AF5"/>
    <w:rsid w:val="00D172F9"/>
    <w:rsid w:val="00D17372"/>
    <w:rsid w:val="00D17B90"/>
    <w:rsid w:val="00D211BC"/>
    <w:rsid w:val="00D21380"/>
    <w:rsid w:val="00D215A9"/>
    <w:rsid w:val="00D224D3"/>
    <w:rsid w:val="00D235CF"/>
    <w:rsid w:val="00D247C7"/>
    <w:rsid w:val="00D24939"/>
    <w:rsid w:val="00D24FD2"/>
    <w:rsid w:val="00D25348"/>
    <w:rsid w:val="00D259E1"/>
    <w:rsid w:val="00D25AAB"/>
    <w:rsid w:val="00D26C89"/>
    <w:rsid w:val="00D27063"/>
    <w:rsid w:val="00D2797D"/>
    <w:rsid w:val="00D3074C"/>
    <w:rsid w:val="00D3134A"/>
    <w:rsid w:val="00D359E3"/>
    <w:rsid w:val="00D361DB"/>
    <w:rsid w:val="00D36502"/>
    <w:rsid w:val="00D370C6"/>
    <w:rsid w:val="00D43341"/>
    <w:rsid w:val="00D4503F"/>
    <w:rsid w:val="00D452AB"/>
    <w:rsid w:val="00D46F98"/>
    <w:rsid w:val="00D50974"/>
    <w:rsid w:val="00D51A78"/>
    <w:rsid w:val="00D5244C"/>
    <w:rsid w:val="00D5304B"/>
    <w:rsid w:val="00D53111"/>
    <w:rsid w:val="00D53811"/>
    <w:rsid w:val="00D53813"/>
    <w:rsid w:val="00D539F8"/>
    <w:rsid w:val="00D565E1"/>
    <w:rsid w:val="00D56ED0"/>
    <w:rsid w:val="00D57AFB"/>
    <w:rsid w:val="00D60170"/>
    <w:rsid w:val="00D615A1"/>
    <w:rsid w:val="00D629F0"/>
    <w:rsid w:val="00D62DDF"/>
    <w:rsid w:val="00D62FB3"/>
    <w:rsid w:val="00D64237"/>
    <w:rsid w:val="00D65DDE"/>
    <w:rsid w:val="00D70118"/>
    <w:rsid w:val="00D70666"/>
    <w:rsid w:val="00D70C77"/>
    <w:rsid w:val="00D728E5"/>
    <w:rsid w:val="00D72AB3"/>
    <w:rsid w:val="00D733A3"/>
    <w:rsid w:val="00D73B49"/>
    <w:rsid w:val="00D7453E"/>
    <w:rsid w:val="00D7661F"/>
    <w:rsid w:val="00D80162"/>
    <w:rsid w:val="00D81C4A"/>
    <w:rsid w:val="00D82B40"/>
    <w:rsid w:val="00D82E73"/>
    <w:rsid w:val="00D851F8"/>
    <w:rsid w:val="00D85A61"/>
    <w:rsid w:val="00D8604D"/>
    <w:rsid w:val="00D876AA"/>
    <w:rsid w:val="00D9065E"/>
    <w:rsid w:val="00D9086B"/>
    <w:rsid w:val="00D9101D"/>
    <w:rsid w:val="00D95672"/>
    <w:rsid w:val="00D96C53"/>
    <w:rsid w:val="00DA039F"/>
    <w:rsid w:val="00DA0EA0"/>
    <w:rsid w:val="00DA1655"/>
    <w:rsid w:val="00DA2166"/>
    <w:rsid w:val="00DA26F5"/>
    <w:rsid w:val="00DA36A7"/>
    <w:rsid w:val="00DA40BC"/>
    <w:rsid w:val="00DA4F65"/>
    <w:rsid w:val="00DA56C8"/>
    <w:rsid w:val="00DA683B"/>
    <w:rsid w:val="00DB0996"/>
    <w:rsid w:val="00DB1B53"/>
    <w:rsid w:val="00DB2066"/>
    <w:rsid w:val="00DB206F"/>
    <w:rsid w:val="00DB480C"/>
    <w:rsid w:val="00DB48EE"/>
    <w:rsid w:val="00DB4DCF"/>
    <w:rsid w:val="00DB4FDE"/>
    <w:rsid w:val="00DB60D9"/>
    <w:rsid w:val="00DB655A"/>
    <w:rsid w:val="00DB6EB6"/>
    <w:rsid w:val="00DB712A"/>
    <w:rsid w:val="00DC2A31"/>
    <w:rsid w:val="00DC4C60"/>
    <w:rsid w:val="00DC53E1"/>
    <w:rsid w:val="00DC6968"/>
    <w:rsid w:val="00DC698A"/>
    <w:rsid w:val="00DD0E3E"/>
    <w:rsid w:val="00DD1152"/>
    <w:rsid w:val="00DD12FD"/>
    <w:rsid w:val="00DD2747"/>
    <w:rsid w:val="00DD4B6F"/>
    <w:rsid w:val="00DD4C7D"/>
    <w:rsid w:val="00DD6535"/>
    <w:rsid w:val="00DD6FAD"/>
    <w:rsid w:val="00DD7FAA"/>
    <w:rsid w:val="00DE0B67"/>
    <w:rsid w:val="00DE0BC4"/>
    <w:rsid w:val="00DE0D5A"/>
    <w:rsid w:val="00DE1F59"/>
    <w:rsid w:val="00DE2D86"/>
    <w:rsid w:val="00DE2E13"/>
    <w:rsid w:val="00DE2E3E"/>
    <w:rsid w:val="00DE3118"/>
    <w:rsid w:val="00DE312B"/>
    <w:rsid w:val="00DE4AC8"/>
    <w:rsid w:val="00DE5C19"/>
    <w:rsid w:val="00DE661F"/>
    <w:rsid w:val="00DE6EA4"/>
    <w:rsid w:val="00DE7657"/>
    <w:rsid w:val="00DF01C1"/>
    <w:rsid w:val="00DF1066"/>
    <w:rsid w:val="00DF22C7"/>
    <w:rsid w:val="00DF2943"/>
    <w:rsid w:val="00DF33FA"/>
    <w:rsid w:val="00DF4101"/>
    <w:rsid w:val="00DF57DB"/>
    <w:rsid w:val="00DF60FC"/>
    <w:rsid w:val="00DF747D"/>
    <w:rsid w:val="00DF7E82"/>
    <w:rsid w:val="00E01757"/>
    <w:rsid w:val="00E02DEB"/>
    <w:rsid w:val="00E03F6E"/>
    <w:rsid w:val="00E04457"/>
    <w:rsid w:val="00E04623"/>
    <w:rsid w:val="00E04C29"/>
    <w:rsid w:val="00E052A2"/>
    <w:rsid w:val="00E0547F"/>
    <w:rsid w:val="00E06A06"/>
    <w:rsid w:val="00E10DBE"/>
    <w:rsid w:val="00E1219E"/>
    <w:rsid w:val="00E12286"/>
    <w:rsid w:val="00E1260C"/>
    <w:rsid w:val="00E145AF"/>
    <w:rsid w:val="00E154F6"/>
    <w:rsid w:val="00E16196"/>
    <w:rsid w:val="00E16FC6"/>
    <w:rsid w:val="00E1701E"/>
    <w:rsid w:val="00E17427"/>
    <w:rsid w:val="00E17931"/>
    <w:rsid w:val="00E17ABD"/>
    <w:rsid w:val="00E20732"/>
    <w:rsid w:val="00E210AC"/>
    <w:rsid w:val="00E21D6B"/>
    <w:rsid w:val="00E2267D"/>
    <w:rsid w:val="00E22F3A"/>
    <w:rsid w:val="00E246B6"/>
    <w:rsid w:val="00E2491D"/>
    <w:rsid w:val="00E25D4F"/>
    <w:rsid w:val="00E27430"/>
    <w:rsid w:val="00E31E5B"/>
    <w:rsid w:val="00E34D79"/>
    <w:rsid w:val="00E3570A"/>
    <w:rsid w:val="00E364F1"/>
    <w:rsid w:val="00E41875"/>
    <w:rsid w:val="00E4368D"/>
    <w:rsid w:val="00E444BD"/>
    <w:rsid w:val="00E45307"/>
    <w:rsid w:val="00E45709"/>
    <w:rsid w:val="00E46EE4"/>
    <w:rsid w:val="00E52725"/>
    <w:rsid w:val="00E53115"/>
    <w:rsid w:val="00E53E3F"/>
    <w:rsid w:val="00E53F36"/>
    <w:rsid w:val="00E55E14"/>
    <w:rsid w:val="00E571E8"/>
    <w:rsid w:val="00E575EB"/>
    <w:rsid w:val="00E60D83"/>
    <w:rsid w:val="00E61278"/>
    <w:rsid w:val="00E613B1"/>
    <w:rsid w:val="00E64BB2"/>
    <w:rsid w:val="00E658E9"/>
    <w:rsid w:val="00E66F27"/>
    <w:rsid w:val="00E7053E"/>
    <w:rsid w:val="00E7121F"/>
    <w:rsid w:val="00E71FCF"/>
    <w:rsid w:val="00E72E13"/>
    <w:rsid w:val="00E74499"/>
    <w:rsid w:val="00E74C38"/>
    <w:rsid w:val="00E75299"/>
    <w:rsid w:val="00E75C7E"/>
    <w:rsid w:val="00E8033D"/>
    <w:rsid w:val="00E80918"/>
    <w:rsid w:val="00E80BED"/>
    <w:rsid w:val="00E80E65"/>
    <w:rsid w:val="00E81AE7"/>
    <w:rsid w:val="00E81CC1"/>
    <w:rsid w:val="00E8249F"/>
    <w:rsid w:val="00E828E1"/>
    <w:rsid w:val="00E83123"/>
    <w:rsid w:val="00E83CBA"/>
    <w:rsid w:val="00E844E6"/>
    <w:rsid w:val="00E8698A"/>
    <w:rsid w:val="00E87E82"/>
    <w:rsid w:val="00E90912"/>
    <w:rsid w:val="00E90B26"/>
    <w:rsid w:val="00E910DC"/>
    <w:rsid w:val="00E92740"/>
    <w:rsid w:val="00E94554"/>
    <w:rsid w:val="00E946F2"/>
    <w:rsid w:val="00E94AE7"/>
    <w:rsid w:val="00E9504E"/>
    <w:rsid w:val="00E957D3"/>
    <w:rsid w:val="00E9643E"/>
    <w:rsid w:val="00EA285D"/>
    <w:rsid w:val="00EA3646"/>
    <w:rsid w:val="00EA3B9C"/>
    <w:rsid w:val="00EA4A60"/>
    <w:rsid w:val="00EA7BC5"/>
    <w:rsid w:val="00EA7F5B"/>
    <w:rsid w:val="00EB1C9A"/>
    <w:rsid w:val="00EC18ED"/>
    <w:rsid w:val="00EC2324"/>
    <w:rsid w:val="00EC3FA4"/>
    <w:rsid w:val="00EC57A5"/>
    <w:rsid w:val="00EC5E0F"/>
    <w:rsid w:val="00EC60B9"/>
    <w:rsid w:val="00ED0ACC"/>
    <w:rsid w:val="00ED0BF7"/>
    <w:rsid w:val="00ED0C7F"/>
    <w:rsid w:val="00ED253D"/>
    <w:rsid w:val="00ED3C18"/>
    <w:rsid w:val="00ED3D0F"/>
    <w:rsid w:val="00ED3D94"/>
    <w:rsid w:val="00ED4A13"/>
    <w:rsid w:val="00ED6123"/>
    <w:rsid w:val="00ED702E"/>
    <w:rsid w:val="00ED7B73"/>
    <w:rsid w:val="00EE0E6A"/>
    <w:rsid w:val="00EE1616"/>
    <w:rsid w:val="00EE1AD8"/>
    <w:rsid w:val="00EE1B09"/>
    <w:rsid w:val="00EE1B8F"/>
    <w:rsid w:val="00EE2AB8"/>
    <w:rsid w:val="00EE3760"/>
    <w:rsid w:val="00EE549E"/>
    <w:rsid w:val="00EE5945"/>
    <w:rsid w:val="00EE6CA3"/>
    <w:rsid w:val="00EE764C"/>
    <w:rsid w:val="00EF08AE"/>
    <w:rsid w:val="00EF38BE"/>
    <w:rsid w:val="00EF42B4"/>
    <w:rsid w:val="00EF4592"/>
    <w:rsid w:val="00EF46DD"/>
    <w:rsid w:val="00EF4922"/>
    <w:rsid w:val="00EF5F17"/>
    <w:rsid w:val="00EF6375"/>
    <w:rsid w:val="00EF67B0"/>
    <w:rsid w:val="00EF6B88"/>
    <w:rsid w:val="00EF6DA2"/>
    <w:rsid w:val="00EF7C0A"/>
    <w:rsid w:val="00F01D48"/>
    <w:rsid w:val="00F03AA9"/>
    <w:rsid w:val="00F04445"/>
    <w:rsid w:val="00F04FEA"/>
    <w:rsid w:val="00F06607"/>
    <w:rsid w:val="00F1108D"/>
    <w:rsid w:val="00F117D9"/>
    <w:rsid w:val="00F118FD"/>
    <w:rsid w:val="00F13FF8"/>
    <w:rsid w:val="00F1480D"/>
    <w:rsid w:val="00F160B3"/>
    <w:rsid w:val="00F20EC2"/>
    <w:rsid w:val="00F21D78"/>
    <w:rsid w:val="00F21E0C"/>
    <w:rsid w:val="00F22FFC"/>
    <w:rsid w:val="00F242D1"/>
    <w:rsid w:val="00F25088"/>
    <w:rsid w:val="00F31438"/>
    <w:rsid w:val="00F32358"/>
    <w:rsid w:val="00F3352C"/>
    <w:rsid w:val="00F33D93"/>
    <w:rsid w:val="00F34177"/>
    <w:rsid w:val="00F3424F"/>
    <w:rsid w:val="00F34264"/>
    <w:rsid w:val="00F346B5"/>
    <w:rsid w:val="00F34BB3"/>
    <w:rsid w:val="00F363D7"/>
    <w:rsid w:val="00F37372"/>
    <w:rsid w:val="00F37EF0"/>
    <w:rsid w:val="00F42865"/>
    <w:rsid w:val="00F448CF"/>
    <w:rsid w:val="00F463DB"/>
    <w:rsid w:val="00F46D38"/>
    <w:rsid w:val="00F47AAB"/>
    <w:rsid w:val="00F520A0"/>
    <w:rsid w:val="00F52BEA"/>
    <w:rsid w:val="00F53280"/>
    <w:rsid w:val="00F53505"/>
    <w:rsid w:val="00F53A9E"/>
    <w:rsid w:val="00F53F41"/>
    <w:rsid w:val="00F56780"/>
    <w:rsid w:val="00F56798"/>
    <w:rsid w:val="00F5690B"/>
    <w:rsid w:val="00F56F3E"/>
    <w:rsid w:val="00F57264"/>
    <w:rsid w:val="00F57A65"/>
    <w:rsid w:val="00F57B80"/>
    <w:rsid w:val="00F643FF"/>
    <w:rsid w:val="00F64852"/>
    <w:rsid w:val="00F64D7A"/>
    <w:rsid w:val="00F665A3"/>
    <w:rsid w:val="00F703A8"/>
    <w:rsid w:val="00F71170"/>
    <w:rsid w:val="00F71302"/>
    <w:rsid w:val="00F72239"/>
    <w:rsid w:val="00F741F3"/>
    <w:rsid w:val="00F76DC9"/>
    <w:rsid w:val="00F81080"/>
    <w:rsid w:val="00F83116"/>
    <w:rsid w:val="00F831F4"/>
    <w:rsid w:val="00F84BC7"/>
    <w:rsid w:val="00F85524"/>
    <w:rsid w:val="00F85EE1"/>
    <w:rsid w:val="00F86F2F"/>
    <w:rsid w:val="00F8796D"/>
    <w:rsid w:val="00F87E52"/>
    <w:rsid w:val="00F90988"/>
    <w:rsid w:val="00F91A34"/>
    <w:rsid w:val="00F91CC3"/>
    <w:rsid w:val="00F92EE0"/>
    <w:rsid w:val="00F933CD"/>
    <w:rsid w:val="00F94455"/>
    <w:rsid w:val="00F96FED"/>
    <w:rsid w:val="00F97332"/>
    <w:rsid w:val="00F974DE"/>
    <w:rsid w:val="00F97A87"/>
    <w:rsid w:val="00F97D8A"/>
    <w:rsid w:val="00FA0E98"/>
    <w:rsid w:val="00FA11A3"/>
    <w:rsid w:val="00FA155C"/>
    <w:rsid w:val="00FA2053"/>
    <w:rsid w:val="00FA31B1"/>
    <w:rsid w:val="00FA4096"/>
    <w:rsid w:val="00FA4889"/>
    <w:rsid w:val="00FA497A"/>
    <w:rsid w:val="00FA497D"/>
    <w:rsid w:val="00FA517E"/>
    <w:rsid w:val="00FA571B"/>
    <w:rsid w:val="00FA64A8"/>
    <w:rsid w:val="00FB0195"/>
    <w:rsid w:val="00FB0A94"/>
    <w:rsid w:val="00FB0BC6"/>
    <w:rsid w:val="00FB14C1"/>
    <w:rsid w:val="00FB25E9"/>
    <w:rsid w:val="00FB268E"/>
    <w:rsid w:val="00FB28F6"/>
    <w:rsid w:val="00FB3347"/>
    <w:rsid w:val="00FB4A6C"/>
    <w:rsid w:val="00FB6C60"/>
    <w:rsid w:val="00FB71F4"/>
    <w:rsid w:val="00FB768C"/>
    <w:rsid w:val="00FB785D"/>
    <w:rsid w:val="00FC0760"/>
    <w:rsid w:val="00FC1FCB"/>
    <w:rsid w:val="00FC26E6"/>
    <w:rsid w:val="00FC40CA"/>
    <w:rsid w:val="00FC43A2"/>
    <w:rsid w:val="00FC5119"/>
    <w:rsid w:val="00FC5337"/>
    <w:rsid w:val="00FC6191"/>
    <w:rsid w:val="00FC75A0"/>
    <w:rsid w:val="00FC7A23"/>
    <w:rsid w:val="00FD030A"/>
    <w:rsid w:val="00FD13A4"/>
    <w:rsid w:val="00FD146B"/>
    <w:rsid w:val="00FD21A7"/>
    <w:rsid w:val="00FD2663"/>
    <w:rsid w:val="00FD2B8C"/>
    <w:rsid w:val="00FD3B51"/>
    <w:rsid w:val="00FE0725"/>
    <w:rsid w:val="00FE3368"/>
    <w:rsid w:val="00FE4280"/>
    <w:rsid w:val="00FE4311"/>
    <w:rsid w:val="00FE46B9"/>
    <w:rsid w:val="00FE57E9"/>
    <w:rsid w:val="00FE5F52"/>
    <w:rsid w:val="00FE61A3"/>
    <w:rsid w:val="00FE67CA"/>
    <w:rsid w:val="00FF0162"/>
    <w:rsid w:val="00FF113B"/>
    <w:rsid w:val="00FF19D1"/>
    <w:rsid w:val="00FF3CCC"/>
    <w:rsid w:val="00FF3E20"/>
    <w:rsid w:val="00FF41A9"/>
    <w:rsid w:val="00FF5629"/>
    <w:rsid w:val="00FF602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32FC"/>
    <w:pPr>
      <w:spacing w:after="260" w:line="260" w:lineRule="atLeast"/>
    </w:pPr>
    <w:rPr>
      <w:rFonts w:ascii="Arial" w:eastAsia="Times New Roman" w:hAnsi="Arial" w:cs="Times New Roman"/>
      <w:kern w:val="16"/>
      <w:sz w:val="20"/>
      <w:szCs w:val="24"/>
      <w:lang w:val="en-GB" w:eastAsia="de-DE"/>
    </w:rPr>
  </w:style>
  <w:style w:type="paragraph" w:styleId="berschrift1">
    <w:name w:val="heading 1"/>
    <w:basedOn w:val="Standard"/>
    <w:next w:val="TextStandard"/>
    <w:link w:val="berschrift1Zchn"/>
    <w:qFormat/>
    <w:rsid w:val="00744D5E"/>
    <w:pPr>
      <w:keepNext/>
      <w:keepLines/>
      <w:numPr>
        <w:numId w:val="3"/>
      </w:numPr>
      <w:spacing w:before="480" w:after="240"/>
      <w:outlineLvl w:val="0"/>
    </w:pPr>
    <w:rPr>
      <w:rFonts w:eastAsiaTheme="majorEastAsia" w:cstheme="majorBidi"/>
      <w:b/>
      <w:bCs/>
      <w:color w:val="000000" w:themeColor="text1"/>
      <w:sz w:val="28"/>
      <w:szCs w:val="28"/>
    </w:rPr>
  </w:style>
  <w:style w:type="paragraph" w:styleId="berschrift2">
    <w:name w:val="heading 2"/>
    <w:basedOn w:val="Standard"/>
    <w:next w:val="TextStandard"/>
    <w:link w:val="berschrift2Zchn"/>
    <w:unhideWhenUsed/>
    <w:qFormat/>
    <w:rsid w:val="00744D5E"/>
    <w:pPr>
      <w:keepNext/>
      <w:keepLines/>
      <w:numPr>
        <w:ilvl w:val="1"/>
        <w:numId w:val="3"/>
      </w:numPr>
      <w:spacing w:before="200" w:after="240"/>
      <w:outlineLvl w:val="1"/>
    </w:pPr>
    <w:rPr>
      <w:rFonts w:eastAsiaTheme="majorEastAsia" w:cstheme="majorBidi"/>
      <w:b/>
      <w:bCs/>
      <w:color w:val="000000" w:themeColor="text1"/>
      <w:sz w:val="26"/>
      <w:szCs w:val="26"/>
    </w:rPr>
  </w:style>
  <w:style w:type="paragraph" w:styleId="berschrift3">
    <w:name w:val="heading 3"/>
    <w:basedOn w:val="Standard"/>
    <w:next w:val="TextStandard"/>
    <w:link w:val="berschrift3Zchn"/>
    <w:unhideWhenUsed/>
    <w:qFormat/>
    <w:rsid w:val="00744D5E"/>
    <w:pPr>
      <w:keepNext/>
      <w:keepLines/>
      <w:numPr>
        <w:ilvl w:val="2"/>
        <w:numId w:val="3"/>
      </w:numPr>
      <w:spacing w:before="200" w:after="240"/>
      <w:outlineLvl w:val="2"/>
    </w:pPr>
    <w:rPr>
      <w:rFonts w:asciiTheme="majorHAnsi" w:eastAsiaTheme="majorEastAsia" w:hAnsiTheme="majorHAnsi" w:cstheme="majorBidi"/>
      <w:b/>
      <w:bCs/>
      <w:color w:val="000000" w:themeColor="text1"/>
      <w:sz w:val="24"/>
    </w:rPr>
  </w:style>
  <w:style w:type="paragraph" w:styleId="berschrift4">
    <w:name w:val="heading 4"/>
    <w:basedOn w:val="Standard"/>
    <w:next w:val="Standard"/>
    <w:link w:val="berschrift4Zchn"/>
    <w:uiPriority w:val="9"/>
    <w:unhideWhenUsed/>
    <w:qFormat/>
    <w:rsid w:val="00277E74"/>
    <w:pPr>
      <w:keepNext/>
      <w:keepLines/>
      <w:numPr>
        <w:ilvl w:val="3"/>
        <w:numId w:val="3"/>
      </w:numPr>
      <w:spacing w:before="200" w:after="0"/>
      <w:outlineLvl w:val="3"/>
    </w:pPr>
    <w:rPr>
      <w:rFonts w:asciiTheme="majorHAnsi" w:eastAsiaTheme="majorEastAsia" w:hAnsiTheme="majorHAnsi" w:cstheme="majorBidi"/>
      <w:b/>
      <w:bCs/>
      <w:i/>
      <w:iCs/>
      <w:color w:val="000000" w:themeColor="text1"/>
      <w:sz w:val="24"/>
    </w:rPr>
  </w:style>
  <w:style w:type="paragraph" w:styleId="berschrift5">
    <w:name w:val="heading 5"/>
    <w:basedOn w:val="Standard"/>
    <w:next w:val="Standard"/>
    <w:link w:val="berschrift5Zchn"/>
    <w:uiPriority w:val="9"/>
    <w:semiHidden/>
    <w:unhideWhenUsed/>
    <w:qFormat/>
    <w:rsid w:val="00AC52DA"/>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AC52DA"/>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AC52D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AC52DA"/>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AC52D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44D5E"/>
    <w:rPr>
      <w:rFonts w:ascii="Arial" w:eastAsiaTheme="majorEastAsia" w:hAnsi="Arial" w:cstheme="majorBidi"/>
      <w:b/>
      <w:bCs/>
      <w:color w:val="000000" w:themeColor="text1"/>
      <w:kern w:val="16"/>
      <w:sz w:val="28"/>
      <w:szCs w:val="28"/>
      <w:lang w:val="en-GB" w:eastAsia="de-DE"/>
    </w:rPr>
  </w:style>
  <w:style w:type="character" w:customStyle="1" w:styleId="berschrift2Zchn">
    <w:name w:val="Überschrift 2 Zchn"/>
    <w:basedOn w:val="Absatz-Standardschriftart"/>
    <w:link w:val="berschrift2"/>
    <w:rsid w:val="00744D5E"/>
    <w:rPr>
      <w:rFonts w:ascii="Arial" w:eastAsiaTheme="majorEastAsia" w:hAnsi="Arial" w:cstheme="majorBidi"/>
      <w:b/>
      <w:bCs/>
      <w:color w:val="000000" w:themeColor="text1"/>
      <w:kern w:val="16"/>
      <w:sz w:val="26"/>
      <w:szCs w:val="26"/>
      <w:lang w:val="en-GB" w:eastAsia="de-DE"/>
    </w:rPr>
  </w:style>
  <w:style w:type="character" w:customStyle="1" w:styleId="berschrift3Zchn">
    <w:name w:val="Überschrift 3 Zchn"/>
    <w:basedOn w:val="Absatz-Standardschriftart"/>
    <w:link w:val="berschrift3"/>
    <w:rsid w:val="00744D5E"/>
    <w:rPr>
      <w:rFonts w:asciiTheme="majorHAnsi" w:eastAsiaTheme="majorEastAsia" w:hAnsiTheme="majorHAnsi" w:cstheme="majorBidi"/>
      <w:b/>
      <w:bCs/>
      <w:color w:val="000000" w:themeColor="text1"/>
      <w:kern w:val="16"/>
      <w:sz w:val="24"/>
      <w:szCs w:val="24"/>
      <w:lang w:val="en-GB" w:eastAsia="de-DE"/>
    </w:rPr>
  </w:style>
  <w:style w:type="paragraph" w:styleId="Kopfzeile">
    <w:name w:val="header"/>
    <w:basedOn w:val="Standard"/>
    <w:link w:val="KopfzeileZchn"/>
    <w:uiPriority w:val="99"/>
    <w:rsid w:val="00744D5E"/>
    <w:pPr>
      <w:tabs>
        <w:tab w:val="center" w:pos="4536"/>
        <w:tab w:val="right" w:pos="9072"/>
      </w:tabs>
    </w:pPr>
  </w:style>
  <w:style w:type="character" w:customStyle="1" w:styleId="KopfzeileZchn">
    <w:name w:val="Kopfzeile Zchn"/>
    <w:basedOn w:val="Absatz-Standardschriftart"/>
    <w:link w:val="Kopfzeile"/>
    <w:uiPriority w:val="99"/>
    <w:rsid w:val="00744D5E"/>
    <w:rPr>
      <w:rFonts w:ascii="Arial" w:eastAsia="Times New Roman" w:hAnsi="Arial" w:cs="Times New Roman"/>
      <w:kern w:val="16"/>
      <w:sz w:val="20"/>
      <w:szCs w:val="24"/>
      <w:lang w:val="en-GB" w:eastAsia="de-DE"/>
    </w:rPr>
  </w:style>
  <w:style w:type="paragraph" w:customStyle="1" w:styleId="Fensterzeile">
    <w:name w:val="Fensterzeile"/>
    <w:basedOn w:val="Standard"/>
    <w:rsid w:val="00744D5E"/>
    <w:pPr>
      <w:tabs>
        <w:tab w:val="center" w:pos="4536"/>
        <w:tab w:val="right" w:pos="9072"/>
      </w:tabs>
      <w:spacing w:after="0" w:line="160" w:lineRule="atLeast"/>
    </w:pPr>
    <w:rPr>
      <w:b/>
      <w:noProof/>
      <w:sz w:val="12"/>
    </w:rPr>
  </w:style>
  <w:style w:type="paragraph" w:customStyle="1" w:styleId="TextStandard">
    <w:name w:val="Text Standard"/>
    <w:basedOn w:val="Standard"/>
    <w:link w:val="TextStandardZchn"/>
    <w:qFormat/>
    <w:rsid w:val="00744D5E"/>
    <w:pPr>
      <w:spacing w:line="360" w:lineRule="auto"/>
      <w:jc w:val="both"/>
    </w:pPr>
    <w:rPr>
      <w:sz w:val="24"/>
      <w:szCs w:val="20"/>
    </w:rPr>
  </w:style>
  <w:style w:type="paragraph" w:styleId="Beschriftung">
    <w:name w:val="caption"/>
    <w:basedOn w:val="Standard"/>
    <w:next w:val="Standard"/>
    <w:uiPriority w:val="35"/>
    <w:unhideWhenUsed/>
    <w:qFormat/>
    <w:rsid w:val="00744D5E"/>
    <w:pPr>
      <w:spacing w:after="200" w:line="240" w:lineRule="auto"/>
    </w:pPr>
    <w:rPr>
      <w:b/>
      <w:bCs/>
      <w:color w:val="4F81BD" w:themeColor="accent1"/>
      <w:sz w:val="18"/>
      <w:szCs w:val="18"/>
    </w:rPr>
  </w:style>
  <w:style w:type="character" w:styleId="Kommentarzeichen">
    <w:name w:val="annotation reference"/>
    <w:basedOn w:val="Absatz-Standardschriftart"/>
    <w:rsid w:val="00744D5E"/>
    <w:rPr>
      <w:sz w:val="16"/>
      <w:szCs w:val="16"/>
    </w:rPr>
  </w:style>
  <w:style w:type="paragraph" w:styleId="Kommentartext">
    <w:name w:val="annotation text"/>
    <w:basedOn w:val="Standard"/>
    <w:link w:val="KommentartextZchn"/>
    <w:rsid w:val="00744D5E"/>
    <w:pPr>
      <w:spacing w:line="240" w:lineRule="auto"/>
    </w:pPr>
    <w:rPr>
      <w:szCs w:val="20"/>
    </w:rPr>
  </w:style>
  <w:style w:type="character" w:customStyle="1" w:styleId="KommentartextZchn">
    <w:name w:val="Kommentartext Zchn"/>
    <w:basedOn w:val="Absatz-Standardschriftart"/>
    <w:link w:val="Kommentartext"/>
    <w:rsid w:val="00744D5E"/>
    <w:rPr>
      <w:rFonts w:ascii="Arial" w:eastAsia="Times New Roman" w:hAnsi="Arial" w:cs="Times New Roman"/>
      <w:kern w:val="16"/>
      <w:sz w:val="20"/>
      <w:szCs w:val="20"/>
      <w:lang w:val="en-GB" w:eastAsia="de-DE"/>
    </w:rPr>
  </w:style>
  <w:style w:type="paragraph" w:styleId="Sprechblasentext">
    <w:name w:val="Balloon Text"/>
    <w:basedOn w:val="Standard"/>
    <w:link w:val="SprechblasentextZchn"/>
    <w:uiPriority w:val="99"/>
    <w:semiHidden/>
    <w:unhideWhenUsed/>
    <w:rsid w:val="00744D5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4D5E"/>
    <w:rPr>
      <w:rFonts w:ascii="Tahoma" w:eastAsia="Times New Roman" w:hAnsi="Tahoma" w:cs="Tahoma"/>
      <w:kern w:val="16"/>
      <w:sz w:val="16"/>
      <w:szCs w:val="16"/>
      <w:lang w:val="en-GB" w:eastAsia="de-DE"/>
    </w:rPr>
  </w:style>
  <w:style w:type="paragraph" w:customStyle="1" w:styleId="StandardohneLeerzeile">
    <w:name w:val="Standard ohne Leerzeile"/>
    <w:basedOn w:val="Standard"/>
    <w:rsid w:val="00524BE4"/>
    <w:pPr>
      <w:spacing w:after="0"/>
    </w:pPr>
  </w:style>
  <w:style w:type="paragraph" w:styleId="Fuzeile">
    <w:name w:val="footer"/>
    <w:basedOn w:val="Standard"/>
    <w:link w:val="FuzeileZchn"/>
    <w:rsid w:val="00524BE4"/>
    <w:pPr>
      <w:tabs>
        <w:tab w:val="center" w:pos="4536"/>
        <w:tab w:val="right" w:pos="9072"/>
      </w:tabs>
    </w:pPr>
  </w:style>
  <w:style w:type="character" w:customStyle="1" w:styleId="FuzeileZchn">
    <w:name w:val="Fußzeile Zchn"/>
    <w:basedOn w:val="Absatz-Standardschriftart"/>
    <w:link w:val="Fuzeile"/>
    <w:rsid w:val="00524BE4"/>
    <w:rPr>
      <w:rFonts w:ascii="Arial" w:eastAsia="Times New Roman" w:hAnsi="Arial" w:cs="Times New Roman"/>
      <w:kern w:val="16"/>
      <w:sz w:val="20"/>
      <w:szCs w:val="24"/>
      <w:lang w:val="en-GB" w:eastAsia="de-DE"/>
    </w:rPr>
  </w:style>
  <w:style w:type="paragraph" w:customStyle="1" w:styleId="InstitutKopfzeile">
    <w:name w:val="Institut Kopfzeile"/>
    <w:basedOn w:val="Kopfzeile"/>
    <w:rsid w:val="00524BE4"/>
    <w:pPr>
      <w:spacing w:after="0" w:line="320" w:lineRule="atLeast"/>
    </w:pPr>
    <w:rPr>
      <w:b/>
      <w:sz w:val="24"/>
    </w:rPr>
  </w:style>
  <w:style w:type="paragraph" w:styleId="Inhaltsverzeichnisberschrift">
    <w:name w:val="TOC Heading"/>
    <w:basedOn w:val="berschrift1"/>
    <w:next w:val="Standard"/>
    <w:uiPriority w:val="39"/>
    <w:semiHidden/>
    <w:unhideWhenUsed/>
    <w:qFormat/>
    <w:rsid w:val="00D247C7"/>
    <w:pPr>
      <w:spacing w:after="0" w:line="276" w:lineRule="auto"/>
      <w:outlineLvl w:val="9"/>
    </w:pPr>
    <w:rPr>
      <w:rFonts w:asciiTheme="majorHAnsi" w:hAnsiTheme="majorHAnsi"/>
      <w:color w:val="365F91" w:themeColor="accent1" w:themeShade="BF"/>
      <w:kern w:val="0"/>
      <w:lang w:val="de-DE" w:eastAsia="en-US"/>
    </w:rPr>
  </w:style>
  <w:style w:type="paragraph" w:styleId="Verzeichnis1">
    <w:name w:val="toc 1"/>
    <w:basedOn w:val="Standard"/>
    <w:next w:val="Standard"/>
    <w:autoRedefine/>
    <w:uiPriority w:val="39"/>
    <w:unhideWhenUsed/>
    <w:rsid w:val="00D247C7"/>
    <w:pPr>
      <w:spacing w:after="100"/>
    </w:pPr>
  </w:style>
  <w:style w:type="paragraph" w:styleId="Verzeichnis2">
    <w:name w:val="toc 2"/>
    <w:basedOn w:val="Standard"/>
    <w:next w:val="Standard"/>
    <w:autoRedefine/>
    <w:uiPriority w:val="39"/>
    <w:unhideWhenUsed/>
    <w:rsid w:val="00D247C7"/>
    <w:pPr>
      <w:spacing w:after="100"/>
      <w:ind w:left="200"/>
    </w:pPr>
  </w:style>
  <w:style w:type="paragraph" w:styleId="Verzeichnis3">
    <w:name w:val="toc 3"/>
    <w:basedOn w:val="Standard"/>
    <w:next w:val="Standard"/>
    <w:autoRedefine/>
    <w:uiPriority w:val="39"/>
    <w:unhideWhenUsed/>
    <w:rsid w:val="00D247C7"/>
    <w:pPr>
      <w:spacing w:after="100"/>
      <w:ind w:left="400"/>
    </w:pPr>
  </w:style>
  <w:style w:type="character" w:styleId="Hyperlink">
    <w:name w:val="Hyperlink"/>
    <w:basedOn w:val="Absatz-Standardschriftart"/>
    <w:uiPriority w:val="99"/>
    <w:unhideWhenUsed/>
    <w:rsid w:val="00D247C7"/>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D73B49"/>
    <w:rPr>
      <w:b/>
      <w:bCs/>
    </w:rPr>
  </w:style>
  <w:style w:type="character" w:customStyle="1" w:styleId="KommentarthemaZchn">
    <w:name w:val="Kommentarthema Zchn"/>
    <w:basedOn w:val="KommentartextZchn"/>
    <w:link w:val="Kommentarthema"/>
    <w:uiPriority w:val="99"/>
    <w:semiHidden/>
    <w:rsid w:val="00D73B49"/>
    <w:rPr>
      <w:rFonts w:ascii="Arial" w:eastAsia="Times New Roman" w:hAnsi="Arial" w:cs="Times New Roman"/>
      <w:b/>
      <w:bCs/>
      <w:kern w:val="16"/>
      <w:sz w:val="20"/>
      <w:szCs w:val="20"/>
      <w:lang w:val="en-GB" w:eastAsia="de-DE"/>
    </w:rPr>
  </w:style>
  <w:style w:type="table" w:styleId="Tabellengitternetz">
    <w:name w:val="Table Grid"/>
    <w:basedOn w:val="NormaleTabelle"/>
    <w:uiPriority w:val="59"/>
    <w:rsid w:val="00001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417B8F"/>
    <w:pPr>
      <w:ind w:left="720"/>
      <w:contextualSpacing/>
    </w:pPr>
  </w:style>
  <w:style w:type="character" w:styleId="Platzhaltertext">
    <w:name w:val="Placeholder Text"/>
    <w:basedOn w:val="Absatz-Standardschriftart"/>
    <w:uiPriority w:val="99"/>
    <w:semiHidden/>
    <w:rsid w:val="002D08FE"/>
    <w:rPr>
      <w:color w:val="808080"/>
    </w:rPr>
  </w:style>
  <w:style w:type="character" w:customStyle="1" w:styleId="berschrift4Zchn">
    <w:name w:val="Überschrift 4 Zchn"/>
    <w:basedOn w:val="Absatz-Standardschriftart"/>
    <w:link w:val="berschrift4"/>
    <w:uiPriority w:val="9"/>
    <w:rsid w:val="00277E74"/>
    <w:rPr>
      <w:rFonts w:asciiTheme="majorHAnsi" w:eastAsiaTheme="majorEastAsia" w:hAnsiTheme="majorHAnsi" w:cstheme="majorBidi"/>
      <w:b/>
      <w:bCs/>
      <w:i/>
      <w:iCs/>
      <w:color w:val="000000" w:themeColor="text1"/>
      <w:kern w:val="16"/>
      <w:sz w:val="24"/>
      <w:szCs w:val="24"/>
      <w:lang w:val="en-GB" w:eastAsia="de-DE"/>
    </w:rPr>
  </w:style>
  <w:style w:type="character" w:customStyle="1" w:styleId="berschrift5Zchn">
    <w:name w:val="Überschrift 5 Zchn"/>
    <w:basedOn w:val="Absatz-Standardschriftart"/>
    <w:link w:val="berschrift5"/>
    <w:uiPriority w:val="9"/>
    <w:semiHidden/>
    <w:rsid w:val="00AC52DA"/>
    <w:rPr>
      <w:rFonts w:asciiTheme="majorHAnsi" w:eastAsiaTheme="majorEastAsia" w:hAnsiTheme="majorHAnsi" w:cstheme="majorBidi"/>
      <w:color w:val="243F60" w:themeColor="accent1" w:themeShade="7F"/>
      <w:kern w:val="16"/>
      <w:sz w:val="20"/>
      <w:szCs w:val="24"/>
      <w:lang w:val="en-GB" w:eastAsia="de-DE"/>
    </w:rPr>
  </w:style>
  <w:style w:type="character" w:customStyle="1" w:styleId="berschrift6Zchn">
    <w:name w:val="Überschrift 6 Zchn"/>
    <w:basedOn w:val="Absatz-Standardschriftart"/>
    <w:link w:val="berschrift6"/>
    <w:uiPriority w:val="9"/>
    <w:semiHidden/>
    <w:rsid w:val="00AC52DA"/>
    <w:rPr>
      <w:rFonts w:asciiTheme="majorHAnsi" w:eastAsiaTheme="majorEastAsia" w:hAnsiTheme="majorHAnsi" w:cstheme="majorBidi"/>
      <w:i/>
      <w:iCs/>
      <w:color w:val="243F60" w:themeColor="accent1" w:themeShade="7F"/>
      <w:kern w:val="16"/>
      <w:sz w:val="20"/>
      <w:szCs w:val="24"/>
      <w:lang w:val="en-GB" w:eastAsia="de-DE"/>
    </w:rPr>
  </w:style>
  <w:style w:type="character" w:customStyle="1" w:styleId="berschrift7Zchn">
    <w:name w:val="Überschrift 7 Zchn"/>
    <w:basedOn w:val="Absatz-Standardschriftart"/>
    <w:link w:val="berschrift7"/>
    <w:uiPriority w:val="9"/>
    <w:semiHidden/>
    <w:rsid w:val="00AC52DA"/>
    <w:rPr>
      <w:rFonts w:asciiTheme="majorHAnsi" w:eastAsiaTheme="majorEastAsia" w:hAnsiTheme="majorHAnsi" w:cstheme="majorBidi"/>
      <w:i/>
      <w:iCs/>
      <w:color w:val="404040" w:themeColor="text1" w:themeTint="BF"/>
      <w:kern w:val="16"/>
      <w:sz w:val="20"/>
      <w:szCs w:val="24"/>
      <w:lang w:val="en-GB" w:eastAsia="de-DE"/>
    </w:rPr>
  </w:style>
  <w:style w:type="character" w:customStyle="1" w:styleId="berschrift8Zchn">
    <w:name w:val="Überschrift 8 Zchn"/>
    <w:basedOn w:val="Absatz-Standardschriftart"/>
    <w:link w:val="berschrift8"/>
    <w:uiPriority w:val="9"/>
    <w:semiHidden/>
    <w:rsid w:val="00AC52DA"/>
    <w:rPr>
      <w:rFonts w:asciiTheme="majorHAnsi" w:eastAsiaTheme="majorEastAsia" w:hAnsiTheme="majorHAnsi" w:cstheme="majorBidi"/>
      <w:color w:val="404040" w:themeColor="text1" w:themeTint="BF"/>
      <w:kern w:val="16"/>
      <w:sz w:val="20"/>
      <w:szCs w:val="20"/>
      <w:lang w:val="en-GB" w:eastAsia="de-DE"/>
    </w:rPr>
  </w:style>
  <w:style w:type="character" w:customStyle="1" w:styleId="berschrift9Zchn">
    <w:name w:val="Überschrift 9 Zchn"/>
    <w:basedOn w:val="Absatz-Standardschriftart"/>
    <w:link w:val="berschrift9"/>
    <w:uiPriority w:val="9"/>
    <w:semiHidden/>
    <w:rsid w:val="00AC52DA"/>
    <w:rPr>
      <w:rFonts w:asciiTheme="majorHAnsi" w:eastAsiaTheme="majorEastAsia" w:hAnsiTheme="majorHAnsi" w:cstheme="majorBidi"/>
      <w:i/>
      <w:iCs/>
      <w:color w:val="404040" w:themeColor="text1" w:themeTint="BF"/>
      <w:kern w:val="16"/>
      <w:sz w:val="20"/>
      <w:szCs w:val="20"/>
      <w:lang w:val="en-GB" w:eastAsia="de-DE"/>
    </w:rPr>
  </w:style>
  <w:style w:type="character" w:customStyle="1" w:styleId="postbody">
    <w:name w:val="postbody"/>
    <w:basedOn w:val="Absatz-Standardschriftart"/>
    <w:rsid w:val="000F08FC"/>
  </w:style>
  <w:style w:type="character" w:customStyle="1" w:styleId="TextStandardZchn">
    <w:name w:val="Text Standard Zchn"/>
    <w:basedOn w:val="Absatz-Standardschriftart"/>
    <w:link w:val="TextStandard"/>
    <w:rsid w:val="0079120D"/>
    <w:rPr>
      <w:rFonts w:ascii="Arial" w:eastAsia="Times New Roman" w:hAnsi="Arial" w:cs="Times New Roman"/>
      <w:kern w:val="16"/>
      <w:sz w:val="24"/>
      <w:szCs w:val="20"/>
      <w:lang w:val="en-GB" w:eastAsia="de-DE"/>
    </w:rPr>
  </w:style>
  <w:style w:type="paragraph" w:styleId="berarbeitung">
    <w:name w:val="Revision"/>
    <w:hidden/>
    <w:uiPriority w:val="99"/>
    <w:semiHidden/>
    <w:rsid w:val="00D51A78"/>
    <w:pPr>
      <w:spacing w:after="0" w:line="240" w:lineRule="auto"/>
    </w:pPr>
    <w:rPr>
      <w:rFonts w:ascii="Arial" w:eastAsia="Times New Roman" w:hAnsi="Arial" w:cs="Times New Roman"/>
      <w:kern w:val="16"/>
      <w:sz w:val="20"/>
      <w:szCs w:val="24"/>
      <w:lang w:val="en-GB" w:eastAsia="de-DE"/>
    </w:rPr>
  </w:style>
  <w:style w:type="paragraph" w:styleId="StandardWeb">
    <w:name w:val="Normal (Web)"/>
    <w:basedOn w:val="Standard"/>
    <w:uiPriority w:val="99"/>
    <w:unhideWhenUsed/>
    <w:rsid w:val="0048743C"/>
    <w:pPr>
      <w:spacing w:before="100" w:beforeAutospacing="1" w:after="100" w:afterAutospacing="1" w:line="240" w:lineRule="auto"/>
    </w:pPr>
    <w:rPr>
      <w:rFonts w:ascii="Times New Roman" w:hAnsi="Times New Roman"/>
      <w:kern w:val="0"/>
      <w:sz w:val="24"/>
      <w:lang w:val="de-DE"/>
    </w:rPr>
  </w:style>
  <w:style w:type="paragraph" w:customStyle="1" w:styleId="Affiliation">
    <w:name w:val="Affiliation"/>
    <w:rsid w:val="006F0EEB"/>
    <w:pPr>
      <w:spacing w:after="0" w:line="240" w:lineRule="auto"/>
      <w:jc w:val="center"/>
    </w:pPr>
    <w:rPr>
      <w:rFonts w:ascii="Times New Roman" w:eastAsia="Times New Roman" w:hAnsi="Times New Roman" w:cs="Times New Roman"/>
      <w:sz w:val="20"/>
      <w:szCs w:val="20"/>
      <w:lang w:val="en-US"/>
    </w:rPr>
  </w:style>
  <w:style w:type="paragraph" w:styleId="Textkrper">
    <w:name w:val="Body Text"/>
    <w:basedOn w:val="Standard"/>
    <w:link w:val="TextkrperZchn"/>
    <w:uiPriority w:val="99"/>
    <w:rsid w:val="006F0EEB"/>
    <w:pPr>
      <w:tabs>
        <w:tab w:val="left" w:pos="288"/>
      </w:tabs>
      <w:spacing w:after="120" w:line="220" w:lineRule="atLeast"/>
      <w:ind w:firstLine="289"/>
      <w:contextualSpacing/>
      <w:jc w:val="both"/>
    </w:pPr>
    <w:rPr>
      <w:rFonts w:ascii="Times New Roman" w:eastAsia="MS Mincho" w:hAnsi="Times New Roman"/>
      <w:spacing w:val="-1"/>
      <w:kern w:val="0"/>
      <w:szCs w:val="20"/>
      <w:lang w:val="en-US" w:eastAsia="en-US"/>
    </w:rPr>
  </w:style>
  <w:style w:type="character" w:customStyle="1" w:styleId="TextkrperZchn">
    <w:name w:val="Textkörper Zchn"/>
    <w:basedOn w:val="Absatz-Standardschriftart"/>
    <w:link w:val="Textkrper"/>
    <w:uiPriority w:val="99"/>
    <w:rsid w:val="006F0EEB"/>
    <w:rPr>
      <w:rFonts w:ascii="Times New Roman" w:eastAsia="MS Mincho" w:hAnsi="Times New Roman" w:cs="Times New Roman"/>
      <w:spacing w:val="-1"/>
      <w:sz w:val="20"/>
      <w:szCs w:val="20"/>
      <w:lang w:val="en-US"/>
    </w:rPr>
  </w:style>
  <w:style w:type="paragraph" w:customStyle="1" w:styleId="footnote">
    <w:name w:val="footnote"/>
    <w:uiPriority w:val="99"/>
    <w:rsid w:val="006F0EEB"/>
    <w:pPr>
      <w:framePr w:hSpace="187" w:vSpace="187" w:wrap="notBeside" w:vAnchor="text" w:hAnchor="page" w:x="6121" w:y="577"/>
      <w:numPr>
        <w:numId w:val="5"/>
      </w:numPr>
      <w:spacing w:after="40" w:line="240" w:lineRule="auto"/>
    </w:pPr>
    <w:rPr>
      <w:rFonts w:ascii="Times New Roman" w:eastAsia="Times New Roman" w:hAnsi="Times New Roman" w:cs="Times New Roman"/>
      <w:sz w:val="16"/>
      <w:szCs w:val="16"/>
      <w:lang w:val="en-US"/>
    </w:rPr>
  </w:style>
  <w:style w:type="table" w:customStyle="1" w:styleId="HelleSchattierung1">
    <w:name w:val="Helle Schattierung1"/>
    <w:basedOn w:val="NormaleTabelle"/>
    <w:uiPriority w:val="60"/>
    <w:rsid w:val="009108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BesuchterHyperlink">
    <w:name w:val="FollowedHyperlink"/>
    <w:basedOn w:val="Absatz-Standardschriftart"/>
    <w:uiPriority w:val="99"/>
    <w:semiHidden/>
    <w:unhideWhenUsed/>
    <w:rsid w:val="002E04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7628529">
      <w:bodyDiv w:val="1"/>
      <w:marLeft w:val="0"/>
      <w:marRight w:val="0"/>
      <w:marTop w:val="0"/>
      <w:marBottom w:val="0"/>
      <w:divBdr>
        <w:top w:val="none" w:sz="0" w:space="0" w:color="auto"/>
        <w:left w:val="none" w:sz="0" w:space="0" w:color="auto"/>
        <w:bottom w:val="none" w:sz="0" w:space="0" w:color="auto"/>
        <w:right w:val="none" w:sz="0" w:space="0" w:color="auto"/>
      </w:divBdr>
    </w:div>
    <w:div w:id="111481196">
      <w:bodyDiv w:val="1"/>
      <w:marLeft w:val="0"/>
      <w:marRight w:val="0"/>
      <w:marTop w:val="0"/>
      <w:marBottom w:val="0"/>
      <w:divBdr>
        <w:top w:val="none" w:sz="0" w:space="0" w:color="auto"/>
        <w:left w:val="none" w:sz="0" w:space="0" w:color="auto"/>
        <w:bottom w:val="none" w:sz="0" w:space="0" w:color="auto"/>
        <w:right w:val="none" w:sz="0" w:space="0" w:color="auto"/>
      </w:divBdr>
    </w:div>
    <w:div w:id="132337050">
      <w:bodyDiv w:val="1"/>
      <w:marLeft w:val="0"/>
      <w:marRight w:val="0"/>
      <w:marTop w:val="0"/>
      <w:marBottom w:val="0"/>
      <w:divBdr>
        <w:top w:val="none" w:sz="0" w:space="0" w:color="auto"/>
        <w:left w:val="none" w:sz="0" w:space="0" w:color="auto"/>
        <w:bottom w:val="none" w:sz="0" w:space="0" w:color="auto"/>
        <w:right w:val="none" w:sz="0" w:space="0" w:color="auto"/>
      </w:divBdr>
    </w:div>
    <w:div w:id="132648958">
      <w:bodyDiv w:val="1"/>
      <w:marLeft w:val="0"/>
      <w:marRight w:val="0"/>
      <w:marTop w:val="0"/>
      <w:marBottom w:val="0"/>
      <w:divBdr>
        <w:top w:val="none" w:sz="0" w:space="0" w:color="auto"/>
        <w:left w:val="none" w:sz="0" w:space="0" w:color="auto"/>
        <w:bottom w:val="none" w:sz="0" w:space="0" w:color="auto"/>
        <w:right w:val="none" w:sz="0" w:space="0" w:color="auto"/>
      </w:divBdr>
    </w:div>
    <w:div w:id="237402732">
      <w:bodyDiv w:val="1"/>
      <w:marLeft w:val="0"/>
      <w:marRight w:val="0"/>
      <w:marTop w:val="0"/>
      <w:marBottom w:val="0"/>
      <w:divBdr>
        <w:top w:val="none" w:sz="0" w:space="0" w:color="auto"/>
        <w:left w:val="none" w:sz="0" w:space="0" w:color="auto"/>
        <w:bottom w:val="none" w:sz="0" w:space="0" w:color="auto"/>
        <w:right w:val="none" w:sz="0" w:space="0" w:color="auto"/>
      </w:divBdr>
      <w:divsChild>
        <w:div w:id="1265848873">
          <w:marLeft w:val="691"/>
          <w:marRight w:val="0"/>
          <w:marTop w:val="0"/>
          <w:marBottom w:val="0"/>
          <w:divBdr>
            <w:top w:val="none" w:sz="0" w:space="0" w:color="auto"/>
            <w:left w:val="none" w:sz="0" w:space="0" w:color="auto"/>
            <w:bottom w:val="none" w:sz="0" w:space="0" w:color="auto"/>
            <w:right w:val="none" w:sz="0" w:space="0" w:color="auto"/>
          </w:divBdr>
        </w:div>
        <w:div w:id="401412504">
          <w:marLeft w:val="691"/>
          <w:marRight w:val="0"/>
          <w:marTop w:val="0"/>
          <w:marBottom w:val="0"/>
          <w:divBdr>
            <w:top w:val="none" w:sz="0" w:space="0" w:color="auto"/>
            <w:left w:val="none" w:sz="0" w:space="0" w:color="auto"/>
            <w:bottom w:val="none" w:sz="0" w:space="0" w:color="auto"/>
            <w:right w:val="none" w:sz="0" w:space="0" w:color="auto"/>
          </w:divBdr>
        </w:div>
      </w:divsChild>
    </w:div>
    <w:div w:id="252126547">
      <w:bodyDiv w:val="1"/>
      <w:marLeft w:val="0"/>
      <w:marRight w:val="0"/>
      <w:marTop w:val="0"/>
      <w:marBottom w:val="0"/>
      <w:divBdr>
        <w:top w:val="none" w:sz="0" w:space="0" w:color="auto"/>
        <w:left w:val="none" w:sz="0" w:space="0" w:color="auto"/>
        <w:bottom w:val="none" w:sz="0" w:space="0" w:color="auto"/>
        <w:right w:val="none" w:sz="0" w:space="0" w:color="auto"/>
      </w:divBdr>
    </w:div>
    <w:div w:id="267780187">
      <w:bodyDiv w:val="1"/>
      <w:marLeft w:val="0"/>
      <w:marRight w:val="0"/>
      <w:marTop w:val="0"/>
      <w:marBottom w:val="0"/>
      <w:divBdr>
        <w:top w:val="none" w:sz="0" w:space="0" w:color="auto"/>
        <w:left w:val="none" w:sz="0" w:space="0" w:color="auto"/>
        <w:bottom w:val="none" w:sz="0" w:space="0" w:color="auto"/>
        <w:right w:val="none" w:sz="0" w:space="0" w:color="auto"/>
      </w:divBdr>
    </w:div>
    <w:div w:id="284507878">
      <w:bodyDiv w:val="1"/>
      <w:marLeft w:val="0"/>
      <w:marRight w:val="0"/>
      <w:marTop w:val="0"/>
      <w:marBottom w:val="0"/>
      <w:divBdr>
        <w:top w:val="none" w:sz="0" w:space="0" w:color="auto"/>
        <w:left w:val="none" w:sz="0" w:space="0" w:color="auto"/>
        <w:bottom w:val="none" w:sz="0" w:space="0" w:color="auto"/>
        <w:right w:val="none" w:sz="0" w:space="0" w:color="auto"/>
      </w:divBdr>
    </w:div>
    <w:div w:id="347952408">
      <w:bodyDiv w:val="1"/>
      <w:marLeft w:val="0"/>
      <w:marRight w:val="0"/>
      <w:marTop w:val="0"/>
      <w:marBottom w:val="0"/>
      <w:divBdr>
        <w:top w:val="none" w:sz="0" w:space="0" w:color="auto"/>
        <w:left w:val="none" w:sz="0" w:space="0" w:color="auto"/>
        <w:bottom w:val="none" w:sz="0" w:space="0" w:color="auto"/>
        <w:right w:val="none" w:sz="0" w:space="0" w:color="auto"/>
      </w:divBdr>
    </w:div>
    <w:div w:id="374155827">
      <w:bodyDiv w:val="1"/>
      <w:marLeft w:val="0"/>
      <w:marRight w:val="0"/>
      <w:marTop w:val="0"/>
      <w:marBottom w:val="0"/>
      <w:divBdr>
        <w:top w:val="none" w:sz="0" w:space="0" w:color="auto"/>
        <w:left w:val="none" w:sz="0" w:space="0" w:color="auto"/>
        <w:bottom w:val="none" w:sz="0" w:space="0" w:color="auto"/>
        <w:right w:val="none" w:sz="0" w:space="0" w:color="auto"/>
      </w:divBdr>
      <w:divsChild>
        <w:div w:id="161824748">
          <w:marLeft w:val="691"/>
          <w:marRight w:val="0"/>
          <w:marTop w:val="0"/>
          <w:marBottom w:val="0"/>
          <w:divBdr>
            <w:top w:val="none" w:sz="0" w:space="0" w:color="auto"/>
            <w:left w:val="none" w:sz="0" w:space="0" w:color="auto"/>
            <w:bottom w:val="none" w:sz="0" w:space="0" w:color="auto"/>
            <w:right w:val="none" w:sz="0" w:space="0" w:color="auto"/>
          </w:divBdr>
        </w:div>
        <w:div w:id="1606767692">
          <w:marLeft w:val="691"/>
          <w:marRight w:val="0"/>
          <w:marTop w:val="0"/>
          <w:marBottom w:val="0"/>
          <w:divBdr>
            <w:top w:val="none" w:sz="0" w:space="0" w:color="auto"/>
            <w:left w:val="none" w:sz="0" w:space="0" w:color="auto"/>
            <w:bottom w:val="none" w:sz="0" w:space="0" w:color="auto"/>
            <w:right w:val="none" w:sz="0" w:space="0" w:color="auto"/>
          </w:divBdr>
        </w:div>
        <w:div w:id="2052073682">
          <w:marLeft w:val="691"/>
          <w:marRight w:val="0"/>
          <w:marTop w:val="0"/>
          <w:marBottom w:val="0"/>
          <w:divBdr>
            <w:top w:val="none" w:sz="0" w:space="0" w:color="auto"/>
            <w:left w:val="none" w:sz="0" w:space="0" w:color="auto"/>
            <w:bottom w:val="none" w:sz="0" w:space="0" w:color="auto"/>
            <w:right w:val="none" w:sz="0" w:space="0" w:color="auto"/>
          </w:divBdr>
        </w:div>
      </w:divsChild>
    </w:div>
    <w:div w:id="554513107">
      <w:bodyDiv w:val="1"/>
      <w:marLeft w:val="0"/>
      <w:marRight w:val="0"/>
      <w:marTop w:val="0"/>
      <w:marBottom w:val="0"/>
      <w:divBdr>
        <w:top w:val="none" w:sz="0" w:space="0" w:color="auto"/>
        <w:left w:val="none" w:sz="0" w:space="0" w:color="auto"/>
        <w:bottom w:val="none" w:sz="0" w:space="0" w:color="auto"/>
        <w:right w:val="none" w:sz="0" w:space="0" w:color="auto"/>
      </w:divBdr>
    </w:div>
    <w:div w:id="614365186">
      <w:bodyDiv w:val="1"/>
      <w:marLeft w:val="0"/>
      <w:marRight w:val="0"/>
      <w:marTop w:val="0"/>
      <w:marBottom w:val="0"/>
      <w:divBdr>
        <w:top w:val="none" w:sz="0" w:space="0" w:color="auto"/>
        <w:left w:val="none" w:sz="0" w:space="0" w:color="auto"/>
        <w:bottom w:val="none" w:sz="0" w:space="0" w:color="auto"/>
        <w:right w:val="none" w:sz="0" w:space="0" w:color="auto"/>
      </w:divBdr>
    </w:div>
    <w:div w:id="639117048">
      <w:bodyDiv w:val="1"/>
      <w:marLeft w:val="0"/>
      <w:marRight w:val="0"/>
      <w:marTop w:val="0"/>
      <w:marBottom w:val="0"/>
      <w:divBdr>
        <w:top w:val="none" w:sz="0" w:space="0" w:color="auto"/>
        <w:left w:val="none" w:sz="0" w:space="0" w:color="auto"/>
        <w:bottom w:val="none" w:sz="0" w:space="0" w:color="auto"/>
        <w:right w:val="none" w:sz="0" w:space="0" w:color="auto"/>
      </w:divBdr>
    </w:div>
    <w:div w:id="806775471">
      <w:bodyDiv w:val="1"/>
      <w:marLeft w:val="0"/>
      <w:marRight w:val="0"/>
      <w:marTop w:val="0"/>
      <w:marBottom w:val="0"/>
      <w:divBdr>
        <w:top w:val="none" w:sz="0" w:space="0" w:color="auto"/>
        <w:left w:val="none" w:sz="0" w:space="0" w:color="auto"/>
        <w:bottom w:val="none" w:sz="0" w:space="0" w:color="auto"/>
        <w:right w:val="none" w:sz="0" w:space="0" w:color="auto"/>
      </w:divBdr>
    </w:div>
    <w:div w:id="828206370">
      <w:bodyDiv w:val="1"/>
      <w:marLeft w:val="0"/>
      <w:marRight w:val="0"/>
      <w:marTop w:val="0"/>
      <w:marBottom w:val="0"/>
      <w:divBdr>
        <w:top w:val="none" w:sz="0" w:space="0" w:color="auto"/>
        <w:left w:val="none" w:sz="0" w:space="0" w:color="auto"/>
        <w:bottom w:val="none" w:sz="0" w:space="0" w:color="auto"/>
        <w:right w:val="none" w:sz="0" w:space="0" w:color="auto"/>
      </w:divBdr>
    </w:div>
    <w:div w:id="854732130">
      <w:bodyDiv w:val="1"/>
      <w:marLeft w:val="0"/>
      <w:marRight w:val="0"/>
      <w:marTop w:val="0"/>
      <w:marBottom w:val="0"/>
      <w:divBdr>
        <w:top w:val="none" w:sz="0" w:space="0" w:color="auto"/>
        <w:left w:val="none" w:sz="0" w:space="0" w:color="auto"/>
        <w:bottom w:val="none" w:sz="0" w:space="0" w:color="auto"/>
        <w:right w:val="none" w:sz="0" w:space="0" w:color="auto"/>
      </w:divBdr>
    </w:div>
    <w:div w:id="903639281">
      <w:bodyDiv w:val="1"/>
      <w:marLeft w:val="0"/>
      <w:marRight w:val="0"/>
      <w:marTop w:val="0"/>
      <w:marBottom w:val="0"/>
      <w:divBdr>
        <w:top w:val="none" w:sz="0" w:space="0" w:color="auto"/>
        <w:left w:val="none" w:sz="0" w:space="0" w:color="auto"/>
        <w:bottom w:val="none" w:sz="0" w:space="0" w:color="auto"/>
        <w:right w:val="none" w:sz="0" w:space="0" w:color="auto"/>
      </w:divBdr>
    </w:div>
    <w:div w:id="1129589717">
      <w:bodyDiv w:val="1"/>
      <w:marLeft w:val="0"/>
      <w:marRight w:val="0"/>
      <w:marTop w:val="0"/>
      <w:marBottom w:val="0"/>
      <w:divBdr>
        <w:top w:val="none" w:sz="0" w:space="0" w:color="auto"/>
        <w:left w:val="none" w:sz="0" w:space="0" w:color="auto"/>
        <w:bottom w:val="none" w:sz="0" w:space="0" w:color="auto"/>
        <w:right w:val="none" w:sz="0" w:space="0" w:color="auto"/>
      </w:divBdr>
    </w:div>
    <w:div w:id="1134179629">
      <w:bodyDiv w:val="1"/>
      <w:marLeft w:val="0"/>
      <w:marRight w:val="0"/>
      <w:marTop w:val="0"/>
      <w:marBottom w:val="0"/>
      <w:divBdr>
        <w:top w:val="none" w:sz="0" w:space="0" w:color="auto"/>
        <w:left w:val="none" w:sz="0" w:space="0" w:color="auto"/>
        <w:bottom w:val="none" w:sz="0" w:space="0" w:color="auto"/>
        <w:right w:val="none" w:sz="0" w:space="0" w:color="auto"/>
      </w:divBdr>
      <w:divsChild>
        <w:div w:id="1616207839">
          <w:marLeft w:val="0"/>
          <w:marRight w:val="0"/>
          <w:marTop w:val="0"/>
          <w:marBottom w:val="0"/>
          <w:divBdr>
            <w:top w:val="none" w:sz="0" w:space="0" w:color="auto"/>
            <w:left w:val="none" w:sz="0" w:space="0" w:color="auto"/>
            <w:bottom w:val="none" w:sz="0" w:space="0" w:color="auto"/>
            <w:right w:val="none" w:sz="0" w:space="0" w:color="auto"/>
          </w:divBdr>
        </w:div>
        <w:div w:id="351759703">
          <w:marLeft w:val="0"/>
          <w:marRight w:val="0"/>
          <w:marTop w:val="0"/>
          <w:marBottom w:val="0"/>
          <w:divBdr>
            <w:top w:val="none" w:sz="0" w:space="0" w:color="auto"/>
            <w:left w:val="none" w:sz="0" w:space="0" w:color="auto"/>
            <w:bottom w:val="none" w:sz="0" w:space="0" w:color="auto"/>
            <w:right w:val="none" w:sz="0" w:space="0" w:color="auto"/>
          </w:divBdr>
        </w:div>
      </w:divsChild>
    </w:div>
    <w:div w:id="1167355922">
      <w:bodyDiv w:val="1"/>
      <w:marLeft w:val="0"/>
      <w:marRight w:val="0"/>
      <w:marTop w:val="0"/>
      <w:marBottom w:val="0"/>
      <w:divBdr>
        <w:top w:val="none" w:sz="0" w:space="0" w:color="auto"/>
        <w:left w:val="none" w:sz="0" w:space="0" w:color="auto"/>
        <w:bottom w:val="none" w:sz="0" w:space="0" w:color="auto"/>
        <w:right w:val="none" w:sz="0" w:space="0" w:color="auto"/>
      </w:divBdr>
    </w:div>
    <w:div w:id="1181357239">
      <w:bodyDiv w:val="1"/>
      <w:marLeft w:val="0"/>
      <w:marRight w:val="0"/>
      <w:marTop w:val="0"/>
      <w:marBottom w:val="0"/>
      <w:divBdr>
        <w:top w:val="none" w:sz="0" w:space="0" w:color="auto"/>
        <w:left w:val="none" w:sz="0" w:space="0" w:color="auto"/>
        <w:bottom w:val="none" w:sz="0" w:space="0" w:color="auto"/>
        <w:right w:val="none" w:sz="0" w:space="0" w:color="auto"/>
      </w:divBdr>
    </w:div>
    <w:div w:id="1615212886">
      <w:bodyDiv w:val="1"/>
      <w:marLeft w:val="0"/>
      <w:marRight w:val="0"/>
      <w:marTop w:val="0"/>
      <w:marBottom w:val="0"/>
      <w:divBdr>
        <w:top w:val="none" w:sz="0" w:space="0" w:color="auto"/>
        <w:left w:val="none" w:sz="0" w:space="0" w:color="auto"/>
        <w:bottom w:val="none" w:sz="0" w:space="0" w:color="auto"/>
        <w:right w:val="none" w:sz="0" w:space="0" w:color="auto"/>
      </w:divBdr>
    </w:div>
    <w:div w:id="1686056069">
      <w:bodyDiv w:val="1"/>
      <w:marLeft w:val="0"/>
      <w:marRight w:val="0"/>
      <w:marTop w:val="0"/>
      <w:marBottom w:val="0"/>
      <w:divBdr>
        <w:top w:val="none" w:sz="0" w:space="0" w:color="auto"/>
        <w:left w:val="none" w:sz="0" w:space="0" w:color="auto"/>
        <w:bottom w:val="none" w:sz="0" w:space="0" w:color="auto"/>
        <w:right w:val="none" w:sz="0" w:space="0" w:color="auto"/>
      </w:divBdr>
    </w:div>
    <w:div w:id="1696270872">
      <w:bodyDiv w:val="1"/>
      <w:marLeft w:val="0"/>
      <w:marRight w:val="0"/>
      <w:marTop w:val="0"/>
      <w:marBottom w:val="0"/>
      <w:divBdr>
        <w:top w:val="none" w:sz="0" w:space="0" w:color="auto"/>
        <w:left w:val="none" w:sz="0" w:space="0" w:color="auto"/>
        <w:bottom w:val="none" w:sz="0" w:space="0" w:color="auto"/>
        <w:right w:val="none" w:sz="0" w:space="0" w:color="auto"/>
      </w:divBdr>
    </w:div>
    <w:div w:id="1750273512">
      <w:bodyDiv w:val="1"/>
      <w:marLeft w:val="0"/>
      <w:marRight w:val="0"/>
      <w:marTop w:val="0"/>
      <w:marBottom w:val="0"/>
      <w:divBdr>
        <w:top w:val="none" w:sz="0" w:space="0" w:color="auto"/>
        <w:left w:val="none" w:sz="0" w:space="0" w:color="auto"/>
        <w:bottom w:val="none" w:sz="0" w:space="0" w:color="auto"/>
        <w:right w:val="none" w:sz="0" w:space="0" w:color="auto"/>
      </w:divBdr>
    </w:div>
    <w:div w:id="1791968032">
      <w:bodyDiv w:val="1"/>
      <w:marLeft w:val="0"/>
      <w:marRight w:val="0"/>
      <w:marTop w:val="0"/>
      <w:marBottom w:val="0"/>
      <w:divBdr>
        <w:top w:val="none" w:sz="0" w:space="0" w:color="auto"/>
        <w:left w:val="none" w:sz="0" w:space="0" w:color="auto"/>
        <w:bottom w:val="none" w:sz="0" w:space="0" w:color="auto"/>
        <w:right w:val="none" w:sz="0" w:space="0" w:color="auto"/>
      </w:divBdr>
    </w:div>
    <w:div w:id="1794053299">
      <w:bodyDiv w:val="1"/>
      <w:marLeft w:val="0"/>
      <w:marRight w:val="0"/>
      <w:marTop w:val="0"/>
      <w:marBottom w:val="0"/>
      <w:divBdr>
        <w:top w:val="none" w:sz="0" w:space="0" w:color="auto"/>
        <w:left w:val="none" w:sz="0" w:space="0" w:color="auto"/>
        <w:bottom w:val="none" w:sz="0" w:space="0" w:color="auto"/>
        <w:right w:val="none" w:sz="0" w:space="0" w:color="auto"/>
      </w:divBdr>
    </w:div>
    <w:div w:id="1826242495">
      <w:bodyDiv w:val="1"/>
      <w:marLeft w:val="0"/>
      <w:marRight w:val="0"/>
      <w:marTop w:val="0"/>
      <w:marBottom w:val="0"/>
      <w:divBdr>
        <w:top w:val="none" w:sz="0" w:space="0" w:color="auto"/>
        <w:left w:val="none" w:sz="0" w:space="0" w:color="auto"/>
        <w:bottom w:val="none" w:sz="0" w:space="0" w:color="auto"/>
        <w:right w:val="none" w:sz="0" w:space="0" w:color="auto"/>
      </w:divBdr>
    </w:div>
    <w:div w:id="1853107200">
      <w:bodyDiv w:val="1"/>
      <w:marLeft w:val="0"/>
      <w:marRight w:val="0"/>
      <w:marTop w:val="0"/>
      <w:marBottom w:val="0"/>
      <w:divBdr>
        <w:top w:val="none" w:sz="0" w:space="0" w:color="auto"/>
        <w:left w:val="none" w:sz="0" w:space="0" w:color="auto"/>
        <w:bottom w:val="none" w:sz="0" w:space="0" w:color="auto"/>
        <w:right w:val="none" w:sz="0" w:space="0" w:color="auto"/>
      </w:divBdr>
    </w:div>
    <w:div w:id="1885018788">
      <w:bodyDiv w:val="1"/>
      <w:marLeft w:val="0"/>
      <w:marRight w:val="0"/>
      <w:marTop w:val="0"/>
      <w:marBottom w:val="0"/>
      <w:divBdr>
        <w:top w:val="none" w:sz="0" w:space="0" w:color="auto"/>
        <w:left w:val="none" w:sz="0" w:space="0" w:color="auto"/>
        <w:bottom w:val="none" w:sz="0" w:space="0" w:color="auto"/>
        <w:right w:val="none" w:sz="0" w:space="0" w:color="auto"/>
      </w:divBdr>
    </w:div>
    <w:div w:id="1914319298">
      <w:bodyDiv w:val="1"/>
      <w:marLeft w:val="0"/>
      <w:marRight w:val="0"/>
      <w:marTop w:val="0"/>
      <w:marBottom w:val="0"/>
      <w:divBdr>
        <w:top w:val="none" w:sz="0" w:space="0" w:color="auto"/>
        <w:left w:val="none" w:sz="0" w:space="0" w:color="auto"/>
        <w:bottom w:val="none" w:sz="0" w:space="0" w:color="auto"/>
        <w:right w:val="none" w:sz="0" w:space="0" w:color="auto"/>
      </w:divBdr>
    </w:div>
    <w:div w:id="2072456364">
      <w:bodyDiv w:val="1"/>
      <w:marLeft w:val="0"/>
      <w:marRight w:val="0"/>
      <w:marTop w:val="0"/>
      <w:marBottom w:val="0"/>
      <w:divBdr>
        <w:top w:val="none" w:sz="0" w:space="0" w:color="auto"/>
        <w:left w:val="none" w:sz="0" w:space="0" w:color="auto"/>
        <w:bottom w:val="none" w:sz="0" w:space="0" w:color="auto"/>
        <w:right w:val="none" w:sz="0" w:space="0" w:color="auto"/>
      </w:divBdr>
    </w:div>
    <w:div w:id="212889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5.emf"/><Relationship Id="rId42" Type="http://schemas.openxmlformats.org/officeDocument/2006/relationships/image" Target="media/image3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image" Target="media/image20.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F236F-E5EE-41CE-8338-4FC43F71C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3492</Words>
  <Characters>22006</Characters>
  <Application>Microsoft Office Word</Application>
  <DocSecurity>0</DocSecurity>
  <Lines>183</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Fricke</dc:creator>
  <cp:lastModifiedBy>WiMi</cp:lastModifiedBy>
  <cp:revision>57</cp:revision>
  <cp:lastPrinted>2015-11-17T10:02:00Z</cp:lastPrinted>
  <dcterms:created xsi:type="dcterms:W3CDTF">2015-11-17T08:31:00Z</dcterms:created>
  <dcterms:modified xsi:type="dcterms:W3CDTF">2016-01-19T12:21:00Z</dcterms:modified>
</cp:coreProperties>
</file>