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214" w:type="dxa"/>
        <w:tblInd w:w="108" w:type="dxa"/>
        <w:tblLayout w:type="fixed"/>
        <w:tblLook w:val="0000"/>
      </w:tblPr>
      <w:tblGrid>
        <w:gridCol w:w="1260"/>
        <w:gridCol w:w="16"/>
        <w:gridCol w:w="4394"/>
        <w:gridCol w:w="3544"/>
      </w:tblGrid>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7954"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7954" w:type="dxa"/>
            <w:gridSpan w:val="3"/>
            <w:tcBorders>
              <w:top w:val="single" w:sz="6" w:space="0" w:color="auto"/>
            </w:tcBorders>
          </w:tcPr>
          <w:p w:rsidR="00F82CB0" w:rsidRPr="00BA7DF4" w:rsidRDefault="00DC7119" w:rsidP="00AF4DA2">
            <w:pPr>
              <w:pStyle w:val="covertext"/>
              <w:jc w:val="both"/>
              <w:rPr>
                <w:color w:val="000000"/>
                <w:lang w:val="fr-FR"/>
              </w:rPr>
            </w:pPr>
            <w:r>
              <w:rPr>
                <w:color w:val="000000"/>
                <w:lang w:val="fr-FR"/>
              </w:rPr>
              <w:t xml:space="preserve">Input </w:t>
            </w:r>
            <w:proofErr w:type="spellStart"/>
            <w:r>
              <w:rPr>
                <w:color w:val="000000"/>
                <w:lang w:val="fr-FR"/>
              </w:rPr>
              <w:t>from</w:t>
            </w:r>
            <w:proofErr w:type="spellEnd"/>
            <w:r>
              <w:rPr>
                <w:color w:val="000000"/>
                <w:lang w:val="fr-FR"/>
              </w:rPr>
              <w:t xml:space="preserve"> the Horizon 2020 </w:t>
            </w:r>
            <w:proofErr w:type="spellStart"/>
            <w:r>
              <w:rPr>
                <w:color w:val="000000"/>
                <w:lang w:val="fr-FR"/>
              </w:rPr>
              <w:t>iB</w:t>
            </w:r>
            <w:r w:rsidR="00E738BB">
              <w:rPr>
                <w:color w:val="000000"/>
                <w:lang w:val="fr-FR"/>
              </w:rPr>
              <w:t>RO</w:t>
            </w:r>
            <w:r>
              <w:rPr>
                <w:color w:val="000000"/>
                <w:lang w:val="fr-FR"/>
              </w:rPr>
              <w:t>W</w:t>
            </w:r>
            <w:proofErr w:type="spellEnd"/>
            <w:r>
              <w:rPr>
                <w:color w:val="000000"/>
                <w:lang w:val="fr-FR"/>
              </w:rPr>
              <w:t xml:space="preserve"> Project to the </w:t>
            </w:r>
            <w:r w:rsidR="00D166E7">
              <w:rPr>
                <w:rFonts w:hint="eastAsia"/>
                <w:color w:val="000000"/>
                <w:lang w:val="fr-FR"/>
              </w:rPr>
              <w:t>T</w:t>
            </w:r>
            <w:r w:rsidR="00D166E7">
              <w:rPr>
                <w:color w:val="000000"/>
                <w:lang w:val="fr-FR"/>
              </w:rPr>
              <w:t>G3d</w:t>
            </w:r>
            <w:r w:rsidR="00D166E7" w:rsidRPr="00BA7DF4">
              <w:rPr>
                <w:color w:val="000000"/>
                <w:lang w:val="fr-FR"/>
              </w:rPr>
              <w:t xml:space="preserve"> </w:t>
            </w:r>
            <w:r w:rsidR="00D166E7">
              <w:rPr>
                <w:color w:val="000000"/>
                <w:lang w:val="fr-FR"/>
              </w:rPr>
              <w:t xml:space="preserve">Call for Contributions to the </w:t>
            </w:r>
            <w:proofErr w:type="spellStart"/>
            <w:r>
              <w:rPr>
                <w:color w:val="000000"/>
                <w:lang w:val="fr-FR"/>
              </w:rPr>
              <w:t>R</w:t>
            </w:r>
            <w:r w:rsidR="00D166E7">
              <w:rPr>
                <w:color w:val="000000"/>
                <w:lang w:val="fr-FR"/>
              </w:rPr>
              <w:t>esponse</w:t>
            </w:r>
            <w:proofErr w:type="spellEnd"/>
            <w:r w:rsidR="00D166E7">
              <w:rPr>
                <w:color w:val="000000"/>
                <w:lang w:val="fr-FR"/>
              </w:rPr>
              <w:t xml:space="preserve"> on the Liais</w:t>
            </w:r>
            <w:r w:rsidR="00A96055">
              <w:rPr>
                <w:color w:val="000000"/>
                <w:lang w:val="fr-FR"/>
              </w:rPr>
              <w:t xml:space="preserve">on </w:t>
            </w:r>
            <w:proofErr w:type="spellStart"/>
            <w:r w:rsidR="00A96055">
              <w:rPr>
                <w:color w:val="000000"/>
                <w:lang w:val="fr-FR"/>
              </w:rPr>
              <w:t>Statemen</w:t>
            </w:r>
            <w:r w:rsidR="00D166E7">
              <w:rPr>
                <w:color w:val="000000"/>
                <w:lang w:val="fr-FR"/>
              </w:rPr>
              <w:t>t</w:t>
            </w:r>
            <w:proofErr w:type="spellEnd"/>
            <w:r w:rsidR="00D166E7">
              <w:rPr>
                <w:color w:val="000000"/>
                <w:lang w:val="fr-FR"/>
              </w:rPr>
              <w:t xml:space="preserve"> </w:t>
            </w:r>
            <w:proofErr w:type="spellStart"/>
            <w:r w:rsidR="00D166E7">
              <w:rPr>
                <w:color w:val="000000"/>
                <w:lang w:val="fr-FR"/>
              </w:rPr>
              <w:t>from</w:t>
            </w:r>
            <w:proofErr w:type="spellEnd"/>
            <w:r w:rsidR="00D166E7">
              <w:rPr>
                <w:color w:val="000000"/>
                <w:lang w:val="fr-FR"/>
              </w:rPr>
              <w:t xml:space="preserve"> ITU-R WP1A</w:t>
            </w:r>
          </w:p>
        </w:tc>
      </w:tr>
      <w:tr w:rsidR="00F82CB0" w:rsidRPr="00BA7DF4" w:rsidTr="00B75E0D">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7954" w:type="dxa"/>
            <w:gridSpan w:val="3"/>
            <w:tcBorders>
              <w:top w:val="single" w:sz="6" w:space="0" w:color="auto"/>
              <w:bottom w:val="single" w:sz="4" w:space="0" w:color="auto"/>
            </w:tcBorders>
          </w:tcPr>
          <w:p w:rsidR="00F82CB0" w:rsidRPr="00BA7DF4" w:rsidRDefault="00D166E7" w:rsidP="006A4F5C">
            <w:pPr>
              <w:pStyle w:val="covertext"/>
              <w:jc w:val="both"/>
              <w:rPr>
                <w:color w:val="000000"/>
              </w:rPr>
            </w:pPr>
            <w:r>
              <w:rPr>
                <w:color w:val="000000"/>
              </w:rPr>
              <w:t>[</w:t>
            </w:r>
            <w:r w:rsidR="00DC7119">
              <w:rPr>
                <w:color w:val="000000"/>
              </w:rPr>
              <w:t xml:space="preserve">January </w:t>
            </w:r>
            <w:r w:rsidR="006A4F5C">
              <w:rPr>
                <w:color w:val="000000"/>
              </w:rPr>
              <w:t>12</w:t>
            </w:r>
            <w:r w:rsidR="00F82CB0" w:rsidRPr="00BA7DF4">
              <w:rPr>
                <w:color w:val="000000"/>
              </w:rPr>
              <w:t>, 201</w:t>
            </w:r>
            <w:r w:rsidR="00DC7119">
              <w:rPr>
                <w:color w:val="000000"/>
              </w:rPr>
              <w:t>6</w:t>
            </w:r>
            <w:r w:rsidR="00F82CB0" w:rsidRPr="00BA7DF4">
              <w:rPr>
                <w:color w:val="000000"/>
              </w:rPr>
              <w:t>]</w:t>
            </w:r>
          </w:p>
        </w:tc>
      </w:tr>
      <w:tr w:rsidR="00F82CB0" w:rsidRPr="00104C79" w:rsidTr="00B75E0D">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4410" w:type="dxa"/>
            <w:gridSpan w:val="2"/>
            <w:tcBorders>
              <w:top w:val="single" w:sz="4" w:space="0" w:color="auto"/>
              <w:bottom w:val="single" w:sz="4" w:space="0" w:color="auto"/>
            </w:tcBorders>
          </w:tcPr>
          <w:p w:rsidR="000D0766" w:rsidRDefault="00D166E7" w:rsidP="00AF4DA2">
            <w:pPr>
              <w:pStyle w:val="covertext"/>
              <w:spacing w:before="0" w:after="0"/>
              <w:rPr>
                <w:color w:val="000000"/>
                <w:szCs w:val="24"/>
                <w:lang w:val="fr-FR"/>
              </w:rPr>
            </w:pPr>
            <w:r>
              <w:rPr>
                <w:color w:val="000000"/>
                <w:szCs w:val="24"/>
                <w:lang w:val="fr-FR"/>
              </w:rPr>
              <w:t>Thomas Kürner</w:t>
            </w:r>
            <w:r w:rsidR="000D0766">
              <w:rPr>
                <w:color w:val="000000"/>
                <w:szCs w:val="24"/>
                <w:lang w:val="fr-FR"/>
              </w:rPr>
              <w:t>, TU Braunschweig</w:t>
            </w:r>
            <w:r w:rsidR="00AF4DA2">
              <w:rPr>
                <w:color w:val="000000"/>
                <w:szCs w:val="24"/>
                <w:lang w:val="fr-FR"/>
              </w:rPr>
              <w:t xml:space="preserve"> </w:t>
            </w:r>
          </w:p>
          <w:p w:rsidR="006A4F5C" w:rsidRDefault="006A4F5C" w:rsidP="00AF4DA2">
            <w:pPr>
              <w:pStyle w:val="covertext"/>
              <w:spacing w:before="0" w:after="0"/>
              <w:rPr>
                <w:color w:val="000000"/>
                <w:szCs w:val="24"/>
                <w:lang w:val="fr-FR"/>
              </w:rPr>
            </w:pPr>
            <w:r>
              <w:rPr>
                <w:color w:val="000000"/>
                <w:szCs w:val="24"/>
                <w:lang w:val="fr-FR"/>
              </w:rPr>
              <w:t xml:space="preserve">Bruce Napier, </w:t>
            </w:r>
            <w:proofErr w:type="spellStart"/>
            <w:r>
              <w:rPr>
                <w:color w:val="000000"/>
                <w:szCs w:val="24"/>
                <w:lang w:val="fr-FR"/>
              </w:rPr>
              <w:t>Vivid</w:t>
            </w:r>
            <w:proofErr w:type="spellEnd"/>
            <w:r>
              <w:rPr>
                <w:color w:val="000000"/>
                <w:szCs w:val="24"/>
                <w:lang w:val="fr-FR"/>
              </w:rPr>
              <w:t xml:space="preserve"> Components</w:t>
            </w:r>
          </w:p>
          <w:p w:rsidR="006A4F5C" w:rsidRDefault="006A4F5C" w:rsidP="006A4F5C">
            <w:pPr>
              <w:pStyle w:val="covertext"/>
              <w:spacing w:before="0" w:after="0"/>
              <w:ind w:right="-108"/>
              <w:rPr>
                <w:color w:val="000000"/>
                <w:szCs w:val="24"/>
                <w:lang w:val="fr-FR"/>
              </w:rPr>
            </w:pPr>
            <w:r>
              <w:rPr>
                <w:color w:val="000000"/>
                <w:szCs w:val="24"/>
                <w:lang w:val="fr-FR"/>
              </w:rPr>
              <w:t>Andreas Pascht, Alcatel-Lucent</w:t>
            </w:r>
          </w:p>
          <w:p w:rsidR="000D0766" w:rsidRDefault="000D0766" w:rsidP="000D0766">
            <w:pPr>
              <w:pStyle w:val="covertext"/>
              <w:spacing w:before="0" w:after="0"/>
              <w:ind w:right="-108"/>
              <w:rPr>
                <w:color w:val="000000"/>
                <w:szCs w:val="24"/>
                <w:lang w:val="fr-FR"/>
              </w:rPr>
            </w:pPr>
            <w:r>
              <w:rPr>
                <w:color w:val="000000"/>
                <w:szCs w:val="24"/>
                <w:lang w:val="fr-FR"/>
              </w:rPr>
              <w:t>Bile Peng, TU Braunschweig</w:t>
            </w:r>
          </w:p>
          <w:p w:rsidR="006A4F5C" w:rsidRDefault="006A4F5C" w:rsidP="000D0766">
            <w:pPr>
              <w:pStyle w:val="covertext"/>
              <w:spacing w:before="0" w:after="0"/>
              <w:ind w:right="-108"/>
              <w:rPr>
                <w:color w:val="000000"/>
                <w:szCs w:val="24"/>
                <w:lang w:val="fr-FR"/>
              </w:rPr>
            </w:pPr>
            <w:r>
              <w:rPr>
                <w:color w:val="000000"/>
                <w:szCs w:val="24"/>
                <w:lang w:val="fr-FR"/>
              </w:rPr>
              <w:t>Luis Pessoa, INESC</w:t>
            </w:r>
          </w:p>
          <w:p w:rsidR="006A4F5C" w:rsidRDefault="006A4F5C" w:rsidP="000D0766">
            <w:pPr>
              <w:pStyle w:val="covertext"/>
              <w:spacing w:before="0" w:after="0"/>
              <w:ind w:right="-108"/>
              <w:rPr>
                <w:color w:val="000000"/>
                <w:szCs w:val="24"/>
                <w:lang w:val="fr-FR"/>
              </w:rPr>
            </w:pPr>
            <w:r>
              <w:rPr>
                <w:color w:val="000000"/>
                <w:szCs w:val="24"/>
                <w:lang w:val="fr-FR"/>
              </w:rPr>
              <w:t>Wolfgang Templ, Alcatel-Lucent</w:t>
            </w:r>
          </w:p>
          <w:p w:rsidR="006A4F5C" w:rsidRPr="006A4F5C" w:rsidRDefault="006A4F5C" w:rsidP="000D0766">
            <w:pPr>
              <w:pStyle w:val="covertext"/>
              <w:spacing w:before="0" w:after="0"/>
              <w:ind w:right="-108"/>
              <w:rPr>
                <w:color w:val="000000"/>
                <w:szCs w:val="24"/>
                <w:lang w:val="fr-FR"/>
              </w:rPr>
            </w:pPr>
            <w:r>
              <w:rPr>
                <w:color w:val="000000"/>
                <w:szCs w:val="24"/>
                <w:lang w:val="fr-FR"/>
              </w:rPr>
              <w:t xml:space="preserve">Edward Wasige, </w:t>
            </w:r>
            <w:proofErr w:type="spellStart"/>
            <w:r>
              <w:rPr>
                <w:color w:val="000000"/>
                <w:szCs w:val="24"/>
                <w:lang w:val="fr-FR"/>
              </w:rPr>
              <w:t>University</w:t>
            </w:r>
            <w:proofErr w:type="spellEnd"/>
            <w:r>
              <w:rPr>
                <w:color w:val="000000"/>
                <w:szCs w:val="24"/>
                <w:lang w:val="fr-FR"/>
              </w:rPr>
              <w:t xml:space="preserve"> of Glasgow</w:t>
            </w:r>
          </w:p>
        </w:tc>
        <w:tc>
          <w:tcPr>
            <w:tcW w:w="3544" w:type="dxa"/>
            <w:tcBorders>
              <w:top w:val="single" w:sz="4" w:space="0" w:color="auto"/>
              <w:bottom w:val="single" w:sz="4" w:space="0" w:color="auto"/>
            </w:tcBorders>
          </w:tcPr>
          <w:p w:rsidR="00F82CB0" w:rsidRPr="00C4680B" w:rsidRDefault="00F82CB0" w:rsidP="001003E6">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D166E7">
              <w:rPr>
                <w:color w:val="000000"/>
                <w:szCs w:val="24"/>
                <w:lang w:val="fr-FR"/>
              </w:rPr>
              <w:t>t.kuerner@tu-bs.de</w:t>
            </w:r>
          </w:p>
        </w:tc>
      </w:tr>
      <w:tr w:rsidR="00F82CB0" w:rsidRPr="00BA7DF4" w:rsidTr="00B75E0D">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7938" w:type="dxa"/>
            <w:gridSpan w:val="2"/>
            <w:tcBorders>
              <w:top w:val="single" w:sz="4" w:space="0" w:color="auto"/>
            </w:tcBorders>
          </w:tcPr>
          <w:p w:rsidR="00F82CB0" w:rsidRPr="00C4680B" w:rsidRDefault="008B52A0" w:rsidP="00DC7119">
            <w:pPr>
              <w:pStyle w:val="covertext"/>
              <w:rPr>
                <w:color w:val="000000"/>
                <w:highlight w:val="yellow"/>
              </w:rPr>
            </w:pPr>
            <w:r>
              <w:t>doc. IEEE 802.15-1</w:t>
            </w:r>
            <w:r w:rsidR="00DC7119">
              <w:t>5</w:t>
            </w:r>
            <w:r>
              <w:t>-</w:t>
            </w:r>
            <w:r w:rsidR="00DC7119">
              <w:t>733</w:t>
            </w:r>
            <w:r>
              <w:t>-0</w:t>
            </w:r>
            <w:r w:rsidR="00DC7119">
              <w:t>1</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7954" w:type="dxa"/>
            <w:gridSpan w:val="3"/>
            <w:tcBorders>
              <w:top w:val="single" w:sz="6" w:space="0" w:color="auto"/>
            </w:tcBorders>
          </w:tcPr>
          <w:p w:rsidR="00F82CB0" w:rsidRPr="00BA7DF4" w:rsidRDefault="00DC7119" w:rsidP="00E738BB">
            <w:pPr>
              <w:pStyle w:val="covertext"/>
              <w:jc w:val="both"/>
              <w:rPr>
                <w:color w:val="000000"/>
              </w:rPr>
            </w:pPr>
            <w:r>
              <w:rPr>
                <w:color w:val="000000"/>
                <w:lang w:val="fr-FR"/>
              </w:rPr>
              <w:t xml:space="preserve">Input </w:t>
            </w:r>
            <w:proofErr w:type="spellStart"/>
            <w:r>
              <w:rPr>
                <w:color w:val="000000"/>
                <w:lang w:val="fr-FR"/>
              </w:rPr>
              <w:t>from</w:t>
            </w:r>
            <w:proofErr w:type="spellEnd"/>
            <w:r>
              <w:rPr>
                <w:color w:val="000000"/>
                <w:lang w:val="fr-FR"/>
              </w:rPr>
              <w:t xml:space="preserve"> the Horizon 2020 </w:t>
            </w:r>
            <w:proofErr w:type="spellStart"/>
            <w:r>
              <w:rPr>
                <w:color w:val="000000"/>
                <w:lang w:val="fr-FR"/>
              </w:rPr>
              <w:t>iB</w:t>
            </w:r>
            <w:r w:rsidR="00E738BB">
              <w:rPr>
                <w:color w:val="000000"/>
                <w:lang w:val="fr-FR"/>
              </w:rPr>
              <w:t>RO</w:t>
            </w:r>
            <w:r>
              <w:rPr>
                <w:color w:val="000000"/>
                <w:lang w:val="fr-FR"/>
              </w:rPr>
              <w:t>W</w:t>
            </w:r>
            <w:proofErr w:type="spellEnd"/>
            <w:r>
              <w:rPr>
                <w:color w:val="000000"/>
                <w:lang w:val="fr-FR"/>
              </w:rPr>
              <w:t xml:space="preserve">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w:t>
            </w:r>
            <w:r w:rsidR="00B75E0D">
              <w:rPr>
                <w:color w:val="000000"/>
                <w:lang w:val="fr-FR"/>
              </w:rPr>
              <w:t xml:space="preserve"> the Liaison </w:t>
            </w:r>
            <w:proofErr w:type="spellStart"/>
            <w:r w:rsidR="00B75E0D">
              <w:rPr>
                <w:color w:val="000000"/>
                <w:lang w:val="fr-FR"/>
              </w:rPr>
              <w:t>Statement</w:t>
            </w:r>
            <w:proofErr w:type="spellEnd"/>
            <w:r w:rsidR="00B75E0D">
              <w:rPr>
                <w:color w:val="000000"/>
                <w:lang w:val="fr-FR"/>
              </w:rPr>
              <w:t xml:space="preserve"> </w:t>
            </w:r>
            <w:proofErr w:type="spellStart"/>
            <w:r w:rsidR="00B75E0D">
              <w:rPr>
                <w:color w:val="000000"/>
                <w:lang w:val="fr-FR"/>
              </w:rPr>
              <w:t>from</w:t>
            </w:r>
            <w:proofErr w:type="spellEnd"/>
            <w:r w:rsidR="00B75E0D">
              <w:rPr>
                <w:color w:val="000000"/>
                <w:lang w:val="fr-FR"/>
              </w:rPr>
              <w:t xml:space="preserve"> ITU</w:t>
            </w:r>
            <w:r>
              <w:rPr>
                <w:color w:val="000000"/>
                <w:lang w:val="fr-FR"/>
              </w:rPr>
              <w:t>-R WP1A</w:t>
            </w:r>
          </w:p>
        </w:tc>
      </w:tr>
      <w:tr w:rsidR="00F82CB0" w:rsidRPr="00BA7DF4" w:rsidTr="00B75E0D">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7954" w:type="dxa"/>
            <w:gridSpan w:val="3"/>
            <w:tcBorders>
              <w:top w:val="single" w:sz="6" w:space="0" w:color="auto"/>
            </w:tcBorders>
          </w:tcPr>
          <w:p w:rsidR="00F82CB0" w:rsidRPr="00BA7DF4" w:rsidRDefault="00DC7119" w:rsidP="00AF4DA2">
            <w:pPr>
              <w:pStyle w:val="covertext"/>
              <w:jc w:val="both"/>
              <w:rPr>
                <w:color w:val="000000"/>
              </w:rPr>
            </w:pPr>
            <w:r>
              <w:t xml:space="preserve">Providing </w:t>
            </w:r>
            <w:r w:rsidR="00D166E7">
              <w:t xml:space="preserve">technical input to the </w:t>
            </w:r>
            <w:proofErr w:type="spellStart"/>
            <w:r w:rsidR="00D166E7">
              <w:rPr>
                <w:color w:val="000000"/>
                <w:lang w:val="fr-FR"/>
              </w:rPr>
              <w:t>response</w:t>
            </w:r>
            <w:proofErr w:type="spellEnd"/>
            <w:r w:rsidR="00D166E7">
              <w:rPr>
                <w:color w:val="000000"/>
                <w:lang w:val="fr-FR"/>
              </w:rPr>
              <w:t xml:space="preserve"> on the Liaison </w:t>
            </w:r>
            <w:proofErr w:type="spellStart"/>
            <w:r w:rsidR="00D166E7">
              <w:rPr>
                <w:color w:val="000000"/>
                <w:lang w:val="fr-FR"/>
              </w:rPr>
              <w:t>Statement</w:t>
            </w:r>
            <w:proofErr w:type="spellEnd"/>
            <w:r w:rsidR="00D166E7">
              <w:rPr>
                <w:color w:val="000000"/>
                <w:lang w:val="fr-FR"/>
              </w:rPr>
              <w:t xml:space="preserve"> </w:t>
            </w:r>
            <w:proofErr w:type="spellStart"/>
            <w:r w:rsidR="00D166E7">
              <w:rPr>
                <w:color w:val="000000"/>
                <w:lang w:val="fr-FR"/>
              </w:rPr>
              <w:t>from</w:t>
            </w:r>
            <w:proofErr w:type="spellEnd"/>
            <w:r w:rsidR="00D166E7">
              <w:rPr>
                <w:color w:val="000000"/>
                <w:lang w:val="fr-FR"/>
              </w:rPr>
              <w:t xml:space="preserve"> ITU-R WP1A</w:t>
            </w:r>
          </w:p>
        </w:tc>
      </w:tr>
      <w:tr w:rsidR="00F82CB0" w:rsidRPr="00BA7DF4" w:rsidTr="00B75E0D">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7954"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B75E0D">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7954"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307E84" w:rsidRPr="00E738BB" w:rsidRDefault="00DC7119" w:rsidP="00DC7119">
      <w:pPr>
        <w:jc w:val="center"/>
        <w:rPr>
          <w:b/>
          <w:sz w:val="36"/>
          <w:lang w:eastAsia="ja-JP"/>
        </w:rPr>
      </w:pPr>
      <w:r w:rsidRPr="00E738BB">
        <w:rPr>
          <w:b/>
          <w:sz w:val="32"/>
        </w:rPr>
        <w:t xml:space="preserve">Input from the Horizon 2020 </w:t>
      </w:r>
      <w:proofErr w:type="spellStart"/>
      <w:r w:rsidRPr="00E738BB">
        <w:rPr>
          <w:b/>
          <w:sz w:val="32"/>
        </w:rPr>
        <w:t>iBROW</w:t>
      </w:r>
      <w:proofErr w:type="spellEnd"/>
      <w:r w:rsidRPr="00E738BB">
        <w:rPr>
          <w:b/>
          <w:sz w:val="32"/>
        </w:rPr>
        <w:t xml:space="preserve"> Project to the TG3d Call for Contributions to the Response on</w:t>
      </w:r>
      <w:r w:rsidR="00E738BB">
        <w:rPr>
          <w:b/>
          <w:sz w:val="32"/>
        </w:rPr>
        <w:t xml:space="preserve"> the Liaison Statement from ITU</w:t>
      </w:r>
      <w:r w:rsidRPr="00E738BB">
        <w:rPr>
          <w:b/>
          <w:sz w:val="32"/>
        </w:rPr>
        <w:t>-R WP1A</w:t>
      </w:r>
    </w:p>
    <w:p w:rsidR="00307E84" w:rsidRPr="00E738BB" w:rsidRDefault="00307E84" w:rsidP="00307E84">
      <w:pPr>
        <w:jc w:val="center"/>
        <w:rPr>
          <w:b/>
          <w:sz w:val="36"/>
        </w:rPr>
      </w:pPr>
    </w:p>
    <w:p w:rsidR="00307E84" w:rsidRPr="00DC7119" w:rsidRDefault="00DC7119" w:rsidP="00B055D7">
      <w:pPr>
        <w:pStyle w:val="berschrift1"/>
        <w:numPr>
          <w:ilvl w:val="0"/>
          <w:numId w:val="4"/>
        </w:numPr>
        <w:ind w:left="0" w:firstLine="0"/>
        <w:rPr>
          <w:rFonts w:ascii="Times New Roman" w:hAnsi="Times New Roman" w:cs="Times New Roman"/>
          <w:color w:val="000000" w:themeColor="text1"/>
          <w:lang w:eastAsia="ja-JP"/>
        </w:rPr>
      </w:pPr>
      <w:r w:rsidRPr="00DC7119">
        <w:rPr>
          <w:rFonts w:ascii="Times New Roman" w:hAnsi="Times New Roman" w:cs="Times New Roman"/>
          <w:color w:val="000000" w:themeColor="text1"/>
          <w:lang w:eastAsia="ja-JP"/>
        </w:rPr>
        <w:t xml:space="preserve">The </w:t>
      </w:r>
      <w:proofErr w:type="spellStart"/>
      <w:r w:rsidRPr="00DC7119">
        <w:rPr>
          <w:rFonts w:ascii="Times New Roman" w:hAnsi="Times New Roman" w:cs="Times New Roman"/>
          <w:color w:val="000000" w:themeColor="text1"/>
          <w:lang w:eastAsia="ja-JP"/>
        </w:rPr>
        <w:t>iBROW</w:t>
      </w:r>
      <w:proofErr w:type="spellEnd"/>
      <w:r w:rsidRPr="00DC7119">
        <w:rPr>
          <w:rFonts w:ascii="Times New Roman" w:hAnsi="Times New Roman" w:cs="Times New Roman"/>
          <w:color w:val="000000" w:themeColor="text1"/>
          <w:lang w:eastAsia="ja-JP"/>
        </w:rPr>
        <w:t>-Project</w:t>
      </w:r>
    </w:p>
    <w:p w:rsidR="00307E84" w:rsidRDefault="00994613" w:rsidP="00307E84">
      <w:r>
        <w:t xml:space="preserve"> </w:t>
      </w:r>
    </w:p>
    <w:p w:rsidR="00DB0DB1" w:rsidRDefault="00DC7119" w:rsidP="001F0CA2">
      <w:pPr>
        <w:jc w:val="both"/>
      </w:pPr>
      <w:proofErr w:type="spellStart"/>
      <w:proofErr w:type="gramStart"/>
      <w:r>
        <w:t>iBROW</w:t>
      </w:r>
      <w:proofErr w:type="spellEnd"/>
      <w:proofErr w:type="gramEnd"/>
      <w:r>
        <w:t xml:space="preserve"> </w:t>
      </w:r>
      <w:r w:rsidR="00E738BB">
        <w:t>(</w:t>
      </w:r>
      <w:r>
        <w:t>Innovative ultra-</w:t>
      </w:r>
      <w:proofErr w:type="spellStart"/>
      <w:r>
        <w:t>BROadband</w:t>
      </w:r>
      <w:proofErr w:type="spellEnd"/>
      <w:r>
        <w:t xml:space="preserve"> ubiquitous Wir</w:t>
      </w:r>
      <w:r w:rsidR="00B055D7">
        <w:t>e</w:t>
      </w:r>
      <w:r>
        <w:t>less communications through terahertz transceivers</w:t>
      </w:r>
      <w:r w:rsidR="00E738BB">
        <w:t>) is a collaborative research project supported by the Euro</w:t>
      </w:r>
      <w:r w:rsidR="001F0CA2">
        <w:t>pea</w:t>
      </w:r>
      <w:r w:rsidR="00E738BB">
        <w:t>n Commission through Horizon 2020 under Grant Agreement 645369</w:t>
      </w:r>
      <w:r w:rsidR="00AF4DA2">
        <w:t xml:space="preserve"> [1,2]</w:t>
      </w:r>
      <w:r w:rsidR="00E738BB">
        <w:t>.</w:t>
      </w:r>
      <w:r w:rsidR="001F0CA2">
        <w:t xml:space="preserve"> The project started on 1 January 2015 and runs until 31 December 2017.</w:t>
      </w:r>
    </w:p>
    <w:p w:rsidR="00E738BB" w:rsidRDefault="00E738BB"/>
    <w:p w:rsidR="00E738BB" w:rsidRPr="00AF4DA2" w:rsidRDefault="00E738BB" w:rsidP="00AF4DA2">
      <w:pPr>
        <w:pStyle w:val="Listenabsatz"/>
        <w:numPr>
          <w:ilvl w:val="1"/>
          <w:numId w:val="4"/>
        </w:numPr>
        <w:ind w:left="0" w:firstLine="0"/>
        <w:rPr>
          <w:b/>
        </w:rPr>
      </w:pPr>
      <w:r w:rsidRPr="00AF4DA2">
        <w:rPr>
          <w:b/>
        </w:rPr>
        <w:t>Project Goals</w:t>
      </w:r>
    </w:p>
    <w:p w:rsidR="00E738BB" w:rsidRDefault="00AF4DA2" w:rsidP="001F0CA2">
      <w:pPr>
        <w:pStyle w:val="Listenabsatz"/>
        <w:ind w:left="0"/>
        <w:jc w:val="both"/>
      </w:pPr>
      <w:r>
        <w:t xml:space="preserve">The </w:t>
      </w:r>
      <w:proofErr w:type="spellStart"/>
      <w:r>
        <w:t>iBroW</w:t>
      </w:r>
      <w:proofErr w:type="spellEnd"/>
      <w:r>
        <w:t xml:space="preserve"> project addresses the growing requirement for high bit rate sho</w:t>
      </w:r>
      <w:r w:rsidR="005F5D5A">
        <w:t>rt range wireless communication</w:t>
      </w:r>
      <w:r>
        <w:t xml:space="preserve">. To achieve wireless data rates of multiple tens of </w:t>
      </w:r>
      <w:proofErr w:type="spellStart"/>
      <w:r>
        <w:t>Gbps</w:t>
      </w:r>
      <w:proofErr w:type="spellEnd"/>
      <w:r>
        <w:t xml:space="preserve"> resonant tunneling diode (RTD) transceiver technology will be applied</w:t>
      </w:r>
      <w:r w:rsidR="001F0CA2">
        <w:t xml:space="preserve"> enabling seamless interfaci</w:t>
      </w:r>
      <w:r>
        <w:t>ng with opti</w:t>
      </w:r>
      <w:r w:rsidR="001F0CA2">
        <w:t>c</w:t>
      </w:r>
      <w:r>
        <w:t xml:space="preserve">al </w:t>
      </w:r>
      <w:proofErr w:type="spellStart"/>
      <w:r>
        <w:t>fibre</w:t>
      </w:r>
      <w:proofErr w:type="spellEnd"/>
      <w:r>
        <w:t xml:space="preserve"> networks. </w:t>
      </w:r>
      <w:proofErr w:type="spellStart"/>
      <w:proofErr w:type="gramStart"/>
      <w:r>
        <w:t>iBROW</w:t>
      </w:r>
      <w:proofErr w:type="spellEnd"/>
      <w:proofErr w:type="gramEnd"/>
      <w:r>
        <w:t xml:space="preserve"> will achieve a novel RTD device technology on a II</w:t>
      </w:r>
      <w:r w:rsidR="00B75E0D">
        <w:t>I</w:t>
      </w:r>
      <w:r>
        <w:t xml:space="preserve">-V on Si platform integrated with laser diodes and photo-detectors. This approach offers </w:t>
      </w:r>
      <w:r w:rsidR="001F0CA2">
        <w:t>a simpl</w:t>
      </w:r>
      <w:r w:rsidR="00B055D7">
        <w:t>e</w:t>
      </w:r>
      <w:r>
        <w:t xml:space="preserve"> technology that </w:t>
      </w:r>
      <w:r w:rsidR="001F0CA2">
        <w:t>can be integrated into both ends of a wireless link, consumer portab</w:t>
      </w:r>
      <w:r w:rsidR="00B055D7">
        <w:t xml:space="preserve">le </w:t>
      </w:r>
      <w:r w:rsidR="001F0CA2">
        <w:t xml:space="preserve">devices and </w:t>
      </w:r>
      <w:proofErr w:type="spellStart"/>
      <w:r w:rsidR="001F0CA2">
        <w:t>fibre</w:t>
      </w:r>
      <w:proofErr w:type="spellEnd"/>
      <w:r w:rsidR="001F0CA2">
        <w:t>-optic supported base stations.</w:t>
      </w:r>
    </w:p>
    <w:p w:rsidR="00E738BB" w:rsidRDefault="00E738BB" w:rsidP="00AF4DA2">
      <w:pPr>
        <w:pStyle w:val="Listenabsatz"/>
        <w:ind w:left="0"/>
      </w:pPr>
    </w:p>
    <w:p w:rsidR="00E738BB" w:rsidRPr="00AF4DA2" w:rsidRDefault="00E738BB" w:rsidP="00AF4DA2">
      <w:pPr>
        <w:pStyle w:val="Listenabsatz"/>
        <w:numPr>
          <w:ilvl w:val="1"/>
          <w:numId w:val="4"/>
        </w:numPr>
        <w:ind w:left="0" w:firstLine="0"/>
        <w:rPr>
          <w:b/>
        </w:rPr>
      </w:pPr>
      <w:r w:rsidRPr="00AF4DA2">
        <w:rPr>
          <w:b/>
        </w:rPr>
        <w:t>Consortium</w:t>
      </w:r>
    </w:p>
    <w:p w:rsidR="00E738BB" w:rsidRDefault="001F0CA2" w:rsidP="00B055D7">
      <w:pPr>
        <w:jc w:val="both"/>
      </w:pPr>
      <w:proofErr w:type="spellStart"/>
      <w:r>
        <w:t>iBROW</w:t>
      </w:r>
      <w:proofErr w:type="spellEnd"/>
      <w:r>
        <w:t xml:space="preserve"> consists of 11 partners from four different countries and includes large industrial partners (Alcatel-Lucent/Germany, IQE/United Kingdom), SMEs (Compound Semiconductor Tec</w:t>
      </w:r>
      <w:r w:rsidR="00B055D7">
        <w:t>h</w:t>
      </w:r>
      <w:r>
        <w:t xml:space="preserve">nologies/United Kingdom, </w:t>
      </w:r>
      <w:proofErr w:type="spellStart"/>
      <w:r>
        <w:t>Optocap</w:t>
      </w:r>
      <w:proofErr w:type="spellEnd"/>
      <w:r>
        <w:t xml:space="preserve"> (United Kingdom), Vivid Components/Germany), </w:t>
      </w:r>
      <w:r w:rsidR="00B055D7">
        <w:t>r</w:t>
      </w:r>
      <w:r>
        <w:t xml:space="preserve">esearch &amp; </w:t>
      </w:r>
      <w:r w:rsidR="00B055D7">
        <w:t>d</w:t>
      </w:r>
      <w:r>
        <w:t xml:space="preserve">evelopment </w:t>
      </w:r>
      <w:r w:rsidR="00B055D7">
        <w:t>c</w:t>
      </w:r>
      <w:r>
        <w:t xml:space="preserve">enters (CEA-LETI/France, III-V-Labs/France, INESC/Portugal) and academic partners (University of Glasgow/United Kingdom, </w:t>
      </w:r>
      <w:r w:rsidR="00B055D7">
        <w:t>TU Braunschweig/Germany, University of the Algarve/Portugal).</w:t>
      </w:r>
    </w:p>
    <w:p w:rsidR="00E738BB" w:rsidRDefault="00E738BB" w:rsidP="00AF4DA2"/>
    <w:p w:rsidR="00E738BB" w:rsidRPr="00AF4DA2" w:rsidRDefault="00E738BB" w:rsidP="00AF4DA2">
      <w:pPr>
        <w:pStyle w:val="Listenabsatz"/>
        <w:numPr>
          <w:ilvl w:val="1"/>
          <w:numId w:val="4"/>
        </w:numPr>
        <w:ind w:left="0" w:firstLine="0"/>
        <w:rPr>
          <w:b/>
        </w:rPr>
      </w:pPr>
      <w:r w:rsidRPr="00AF4DA2">
        <w:rPr>
          <w:b/>
        </w:rPr>
        <w:t>Expected Output</w:t>
      </w:r>
    </w:p>
    <w:p w:rsidR="00E738BB" w:rsidRDefault="005F5D5A" w:rsidP="005F5D5A">
      <w:pPr>
        <w:jc w:val="both"/>
      </w:pPr>
      <w:r>
        <w:t xml:space="preserve">The expected output of </w:t>
      </w:r>
      <w:proofErr w:type="spellStart"/>
      <w:r>
        <w:t>iBROW</w:t>
      </w:r>
      <w:proofErr w:type="spellEnd"/>
      <w:r>
        <w:t xml:space="preserve"> most rel</w:t>
      </w:r>
      <w:r w:rsidR="00B6244A">
        <w:t>e</w:t>
      </w:r>
      <w:r>
        <w:t xml:space="preserve">vant for this call for contribution is a test-bed for the demonstration of &gt; 10 </w:t>
      </w:r>
      <w:proofErr w:type="spellStart"/>
      <w:r>
        <w:t>Gbps</w:t>
      </w:r>
      <w:proofErr w:type="spellEnd"/>
      <w:r>
        <w:t xml:space="preserve"> wireless communication between several stand-alone prototype nodes at ~300 GHz. On the technological side </w:t>
      </w:r>
      <w:proofErr w:type="spellStart"/>
      <w:r>
        <w:t>iB</w:t>
      </w:r>
      <w:r w:rsidR="00B75E0D">
        <w:t>ROW</w:t>
      </w:r>
      <w:proofErr w:type="spellEnd"/>
      <w:r w:rsidR="00B75E0D">
        <w:t xml:space="preserve"> considers also packaging asp</w:t>
      </w:r>
      <w:r>
        <w:t xml:space="preserve">ects </w:t>
      </w:r>
      <w:r w:rsidR="00B75E0D">
        <w:t>and</w:t>
      </w:r>
      <w:r>
        <w:t xml:space="preserve"> low cost manufacturing, which is based on direct growth of III-V RTD layers on a Si substrate, direct wafer bonding between III-V &amp; Si substrates, potential large diameter wafers (up to 200 mm OD) and simple integration with CMOS</w:t>
      </w:r>
      <w:r w:rsidR="00B6244A">
        <w:t xml:space="preserve"> [3]</w:t>
      </w:r>
      <w:r>
        <w:t>.</w:t>
      </w:r>
    </w:p>
    <w:p w:rsidR="00E738BB" w:rsidRDefault="00E738BB" w:rsidP="00AF4DA2"/>
    <w:p w:rsidR="00B6244A" w:rsidRDefault="00B6244A">
      <w:pPr>
        <w:rPr>
          <w:rFonts w:eastAsiaTheme="majorEastAsia"/>
          <w:b/>
          <w:bCs/>
          <w:color w:val="000000" w:themeColor="text1"/>
          <w:sz w:val="28"/>
          <w:szCs w:val="28"/>
          <w:lang w:eastAsia="ja-JP"/>
        </w:rPr>
      </w:pPr>
      <w:r>
        <w:rPr>
          <w:color w:val="000000" w:themeColor="text1"/>
          <w:lang w:eastAsia="ja-JP"/>
        </w:rPr>
        <w:br w:type="page"/>
      </w:r>
    </w:p>
    <w:p w:rsidR="00E738BB" w:rsidRPr="00DC7119" w:rsidRDefault="00043AA4" w:rsidP="00B6244A">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lastRenderedPageBreak/>
        <w:t xml:space="preserve">Target </w:t>
      </w:r>
      <w:r w:rsidR="005B7204">
        <w:rPr>
          <w:rFonts w:ascii="Times New Roman" w:hAnsi="Times New Roman" w:cs="Times New Roman"/>
          <w:color w:val="000000" w:themeColor="text1"/>
          <w:lang w:eastAsia="ja-JP"/>
        </w:rPr>
        <w:t>System Overview</w:t>
      </w:r>
      <w:r w:rsidR="00B6244A">
        <w:rPr>
          <w:rFonts w:ascii="Times New Roman" w:hAnsi="Times New Roman" w:cs="Times New Roman"/>
          <w:color w:val="000000" w:themeColor="text1"/>
          <w:lang w:eastAsia="ja-JP"/>
        </w:rPr>
        <w:t xml:space="preserve"> (based on [4])</w:t>
      </w:r>
    </w:p>
    <w:p w:rsidR="00E738BB" w:rsidRDefault="00E738BB" w:rsidP="00E738BB">
      <w:r>
        <w:t xml:space="preserve"> </w:t>
      </w:r>
    </w:p>
    <w:p w:rsidR="00B6244A" w:rsidRPr="00CE4C5E" w:rsidRDefault="00B6244A" w:rsidP="00B6244A">
      <w:pPr>
        <w:jc w:val="both"/>
      </w:pPr>
      <w:r w:rsidRPr="00CE4C5E">
        <w:t>RTD based devices</w:t>
      </w:r>
      <w:r w:rsidR="00B75E0D">
        <w:t xml:space="preserve"> open the chances for the realiz</w:t>
      </w:r>
      <w:r w:rsidRPr="00CE4C5E">
        <w:t>ation of high bandwidth fixed radio access technologies which may allow for wireless bit rates in the range of several</w:t>
      </w:r>
      <w:r>
        <w:t xml:space="preserve"> tens</w:t>
      </w:r>
      <w:r w:rsidRPr="00CE4C5E">
        <w:t xml:space="preserve"> of </w:t>
      </w:r>
      <w:proofErr w:type="spellStart"/>
      <w:r w:rsidRPr="00CE4C5E">
        <w:t>Gbit</w:t>
      </w:r>
      <w:proofErr w:type="spellEnd"/>
      <w:r w:rsidRPr="00CE4C5E">
        <w:t>/s.</w:t>
      </w:r>
    </w:p>
    <w:p w:rsidR="00B6244A" w:rsidRPr="00CE4C5E" w:rsidRDefault="00B6244A" w:rsidP="00B6244A">
      <w:pPr>
        <w:jc w:val="both"/>
      </w:pPr>
    </w:p>
    <w:p w:rsidR="00B6244A" w:rsidRPr="00CE4C5E" w:rsidRDefault="00B6244A" w:rsidP="00B6244A">
      <w:pPr>
        <w:jc w:val="both"/>
      </w:pPr>
      <w:r w:rsidRPr="00CE4C5E">
        <w:t xml:space="preserve">The target application for such envisaged RTD transceivers is mainly in the scope of indoor applications </w:t>
      </w:r>
      <w:r>
        <w:t>because</w:t>
      </w:r>
      <w:r w:rsidRPr="00CE4C5E">
        <w:t xml:space="preserve"> these devices will support quite low </w:t>
      </w:r>
      <w:r>
        <w:t>RF</w:t>
      </w:r>
      <w:r w:rsidRPr="00CE4C5E">
        <w:t xml:space="preserve">-power in the early stage of realization. For </w:t>
      </w:r>
      <w:r>
        <w:t>such</w:t>
      </w:r>
      <w:r w:rsidRPr="00CE4C5E">
        <w:t xml:space="preserve"> indoor applications a variety of possible scenarios is under investigation like:</w:t>
      </w:r>
    </w:p>
    <w:p w:rsidR="00B6244A" w:rsidRPr="00CE4C5E" w:rsidRDefault="00B6244A" w:rsidP="00B6244A">
      <w:pPr>
        <w:jc w:val="both"/>
      </w:pPr>
    </w:p>
    <w:p w:rsidR="00B6244A" w:rsidRPr="00CE4C5E" w:rsidRDefault="00B6244A" w:rsidP="00B6244A">
      <w:pPr>
        <w:pStyle w:val="Listenabsatz"/>
        <w:numPr>
          <w:ilvl w:val="0"/>
          <w:numId w:val="7"/>
        </w:numPr>
        <w:jc w:val="both"/>
      </w:pPr>
      <w:r w:rsidRPr="00CE4C5E">
        <w:t>high speed data links for office applications</w:t>
      </w:r>
    </w:p>
    <w:p w:rsidR="00B6244A" w:rsidRPr="00CE4C5E" w:rsidRDefault="00B6244A" w:rsidP="00B6244A">
      <w:pPr>
        <w:pStyle w:val="Listenabsatz"/>
        <w:numPr>
          <w:ilvl w:val="0"/>
          <w:numId w:val="7"/>
        </w:numPr>
        <w:jc w:val="both"/>
      </w:pPr>
      <w:r w:rsidRPr="00CE4C5E">
        <w:t>data links for home applications like video and gamin</w:t>
      </w:r>
      <w:r>
        <w:t>g</w:t>
      </w:r>
      <w:r w:rsidRPr="00CE4C5E">
        <w:t>,</w:t>
      </w:r>
    </w:p>
    <w:p w:rsidR="00B6244A" w:rsidRPr="00CE4C5E" w:rsidRDefault="00B6244A" w:rsidP="00B6244A">
      <w:pPr>
        <w:pStyle w:val="Listenabsatz"/>
        <w:numPr>
          <w:ilvl w:val="0"/>
          <w:numId w:val="7"/>
        </w:numPr>
        <w:jc w:val="both"/>
      </w:pPr>
      <w:r w:rsidRPr="00CE4C5E">
        <w:t>realization of coverage for shopping malls, airports, railway stations,</w:t>
      </w:r>
    </w:p>
    <w:p w:rsidR="00B6244A" w:rsidRPr="00CE4C5E" w:rsidRDefault="00B6244A" w:rsidP="00B6244A">
      <w:pPr>
        <w:pStyle w:val="Listenabsatz"/>
        <w:numPr>
          <w:ilvl w:val="0"/>
          <w:numId w:val="7"/>
        </w:numPr>
        <w:jc w:val="both"/>
      </w:pPr>
      <w:r w:rsidRPr="00CE4C5E">
        <w:t>realization of access for on the fly networks like music or sports events</w:t>
      </w:r>
    </w:p>
    <w:p w:rsidR="00B6244A" w:rsidRDefault="00B6244A" w:rsidP="00B6244A">
      <w:pPr>
        <w:jc w:val="both"/>
        <w:rPr>
          <w:color w:val="0070C0"/>
        </w:rPr>
      </w:pPr>
    </w:p>
    <w:p w:rsidR="00B6244A" w:rsidRDefault="00B6244A" w:rsidP="00B6244A">
      <w:pPr>
        <w:jc w:val="center"/>
        <w:rPr>
          <w:bCs/>
          <w:sz w:val="22"/>
          <w:szCs w:val="22"/>
        </w:rPr>
      </w:pPr>
      <w:r>
        <w:rPr>
          <w:bCs/>
          <w:noProof/>
          <w:sz w:val="22"/>
          <w:szCs w:val="22"/>
          <w:lang w:val="de-DE" w:eastAsia="de-DE"/>
        </w:rPr>
        <w:drawing>
          <wp:inline distT="0" distB="0" distL="0" distR="0">
            <wp:extent cx="5417611" cy="1576304"/>
            <wp:effectExtent l="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18 at 10.21.50.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17611" cy="1576304"/>
                    </a:xfrm>
                    <a:prstGeom prst="rect">
                      <a:avLst/>
                    </a:prstGeom>
                  </pic:spPr>
                </pic:pic>
              </a:graphicData>
            </a:graphic>
          </wp:inline>
        </w:drawing>
      </w:r>
    </w:p>
    <w:p w:rsidR="00B6244A" w:rsidRDefault="00B6244A" w:rsidP="00B6244A">
      <w:pPr>
        <w:jc w:val="center"/>
      </w:pPr>
      <w:bookmarkStart w:id="0" w:name="_Ref293564003"/>
      <w:r>
        <w:t xml:space="preserve">Figure </w:t>
      </w:r>
      <w:r w:rsidR="00DB21B4">
        <w:fldChar w:fldCharType="begin"/>
      </w:r>
      <w:r>
        <w:instrText xml:space="preserve"> SEQ Figure \* ARABIC </w:instrText>
      </w:r>
      <w:r w:rsidR="00DB21B4">
        <w:fldChar w:fldCharType="separate"/>
      </w:r>
      <w:r w:rsidR="00B75E0D">
        <w:rPr>
          <w:noProof/>
        </w:rPr>
        <w:t>1</w:t>
      </w:r>
      <w:r w:rsidR="00DB21B4">
        <w:rPr>
          <w:noProof/>
        </w:rPr>
        <w:fldChar w:fldCharType="end"/>
      </w:r>
      <w:bookmarkEnd w:id="0"/>
      <w:r>
        <w:t xml:space="preserve"> – Schematic representation of the </w:t>
      </w:r>
      <w:proofErr w:type="spellStart"/>
      <w:r>
        <w:t>iBROW</w:t>
      </w:r>
      <w:proofErr w:type="spellEnd"/>
      <w:r>
        <w:t xml:space="preserve"> target application scenario</w:t>
      </w:r>
    </w:p>
    <w:p w:rsidR="00B6244A" w:rsidRDefault="00B6244A" w:rsidP="00B6244A">
      <w:pPr>
        <w:jc w:val="both"/>
      </w:pPr>
    </w:p>
    <w:p w:rsidR="00B6244A" w:rsidRPr="00960F8F" w:rsidRDefault="00B6244A" w:rsidP="00B6244A">
      <w:pPr>
        <w:jc w:val="both"/>
      </w:pPr>
    </w:p>
    <w:p w:rsidR="00B6244A" w:rsidRDefault="00B6244A" w:rsidP="00B6244A">
      <w:pPr>
        <w:jc w:val="both"/>
      </w:pPr>
      <w:r w:rsidRPr="00960F8F">
        <w:t>Used carrier frequencies will be in the range up to 300GHz with clear focus to 90 GHz, 160GHz and 300</w:t>
      </w:r>
      <w:r>
        <w:t> </w:t>
      </w:r>
      <w:r w:rsidRPr="00960F8F">
        <w:t xml:space="preserve">GHz. In the medium timeframe especially the 300 GHz carrier frequency will be of interest for 5G applications and beyond. The target output power will be in the range of 0-10dBm to support the mentioned indoor application scenarios like office, home, lecture hall, stadium and campus. As part of this power related topic a kind of output power roadmap for the RTD device could be a helpful indicator </w:t>
      </w:r>
      <w:r>
        <w:t>regarding</w:t>
      </w:r>
      <w:r w:rsidRPr="00960F8F">
        <w:t xml:space="preserve"> potential future application scenarios. </w:t>
      </w:r>
    </w:p>
    <w:p w:rsidR="00B6244A" w:rsidRPr="00960F8F" w:rsidRDefault="00B6244A" w:rsidP="00B6244A">
      <w:pPr>
        <w:jc w:val="both"/>
      </w:pPr>
    </w:p>
    <w:p w:rsidR="00B6244A" w:rsidRPr="004814C3" w:rsidRDefault="00B6244A" w:rsidP="00B6244A">
      <w:pPr>
        <w:jc w:val="both"/>
      </w:pPr>
      <w:r>
        <w:t xml:space="preserve">Part of </w:t>
      </w:r>
      <w:proofErr w:type="spellStart"/>
      <w:r>
        <w:t>iBROW</w:t>
      </w:r>
      <w:proofErr w:type="spellEnd"/>
      <w:r>
        <w:t xml:space="preserve"> will</w:t>
      </w:r>
      <w:r w:rsidRPr="004814C3">
        <w:t xml:space="preserve"> be the optical connection of the fiber to the device to support the high target bandwidth</w:t>
      </w:r>
      <w:r>
        <w:t>, see Figure 1</w:t>
      </w:r>
      <w:r w:rsidRPr="004814C3">
        <w:t>.</w:t>
      </w:r>
      <w:r>
        <w:t xml:space="preserve"> There are a few reasons for resorting to concepts and technologies known from passive optical networks (PONs): Future PON systems address data rates which are in a similar range (several tens of </w:t>
      </w:r>
      <w:proofErr w:type="spellStart"/>
      <w:r>
        <w:t>Gbit</w:t>
      </w:r>
      <w:proofErr w:type="spellEnd"/>
      <w:r>
        <w:t xml:space="preserve">/s up to hundreds of </w:t>
      </w:r>
      <w:proofErr w:type="spellStart"/>
      <w:r>
        <w:t>Gbit</w:t>
      </w:r>
      <w:proofErr w:type="spellEnd"/>
      <w:r>
        <w:t xml:space="preserve">/s) as those discussed in this project, and they as well face harsh cost constraints. By finding synergies between our targeted system and PON system solutions, we might be able to share the same or similar hardware and benefit from the reduction of costs in PON systems as technologies mature. </w:t>
      </w:r>
    </w:p>
    <w:p w:rsidR="00043AA4" w:rsidRDefault="00043AA4" w:rsidP="00B6244A"/>
    <w:p w:rsidR="005B7204" w:rsidRPr="00DC7119" w:rsidRDefault="005B7204" w:rsidP="00F77F61">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lastRenderedPageBreak/>
        <w:t>Application Scenarios</w:t>
      </w:r>
    </w:p>
    <w:p w:rsidR="005B7204" w:rsidRDefault="005B7204" w:rsidP="005B7204">
      <w:r>
        <w:t xml:space="preserve"> </w:t>
      </w:r>
    </w:p>
    <w:p w:rsidR="00F77F61" w:rsidRPr="00312526" w:rsidRDefault="00F77F61" w:rsidP="00F77F61">
      <w:pPr>
        <w:jc w:val="both"/>
      </w:pPr>
      <w:proofErr w:type="spellStart"/>
      <w:proofErr w:type="gramStart"/>
      <w:r>
        <w:t>iBROW</w:t>
      </w:r>
      <w:proofErr w:type="spellEnd"/>
      <w:proofErr w:type="gramEnd"/>
      <w:r>
        <w:t xml:space="preserve"> has defined three application scenarios, for which simulations will be performed and channel measurements will be made[4]. </w:t>
      </w:r>
      <w:r w:rsidRPr="00312526">
        <w:t>The different scenarios taken into account are the following:</w:t>
      </w:r>
    </w:p>
    <w:p w:rsidR="00F77F61" w:rsidRPr="00312526" w:rsidRDefault="00F77F61" w:rsidP="00F77F61">
      <w:pPr>
        <w:jc w:val="both"/>
      </w:pPr>
    </w:p>
    <w:p w:rsidR="00F77F61" w:rsidRPr="00312526" w:rsidRDefault="00F77F61" w:rsidP="00F77F61">
      <w:pPr>
        <w:pStyle w:val="Listenabsatz"/>
        <w:numPr>
          <w:ilvl w:val="0"/>
          <w:numId w:val="10"/>
        </w:numPr>
        <w:jc w:val="both"/>
      </w:pPr>
      <w:r w:rsidRPr="00312526">
        <w:t>Small Office Scenario</w:t>
      </w:r>
      <w:r>
        <w:t xml:space="preserve"> with a size of about 5m x 4m x 2.6m: intended for the investigation of small single office applications with static users</w:t>
      </w:r>
    </w:p>
    <w:p w:rsidR="00F77F61" w:rsidRPr="00312526" w:rsidRDefault="00F77F61" w:rsidP="00F77F61">
      <w:pPr>
        <w:pStyle w:val="Listenabsatz"/>
        <w:numPr>
          <w:ilvl w:val="0"/>
          <w:numId w:val="10"/>
        </w:numPr>
        <w:jc w:val="both"/>
      </w:pPr>
      <w:r w:rsidRPr="00312526">
        <w:t>Meeting Room Scenario</w:t>
      </w:r>
      <w:r>
        <w:t xml:space="preserve"> with size of about 14m x 10m x 3.3m: intended for investigation with a medium numbers of users, which may be moving</w:t>
      </w:r>
    </w:p>
    <w:p w:rsidR="00F77F61" w:rsidRPr="00B25512" w:rsidRDefault="00F77F61" w:rsidP="000D0766">
      <w:pPr>
        <w:pStyle w:val="Listenabsatz"/>
        <w:numPr>
          <w:ilvl w:val="0"/>
          <w:numId w:val="10"/>
        </w:numPr>
        <w:jc w:val="both"/>
      </w:pPr>
      <w:r w:rsidRPr="00312526">
        <w:t>Auditorium Scenario</w:t>
      </w:r>
      <w:r>
        <w:t xml:space="preserve"> with a size of about </w:t>
      </w:r>
      <w:r w:rsidR="00B75E0D">
        <w:t>16m x 14m x 3.7m</w:t>
      </w:r>
      <w:r w:rsidR="000D0766">
        <w:t>: intended for investigation with a large numbers of users, where a few may be moving.</w:t>
      </w:r>
    </w:p>
    <w:p w:rsidR="00043AA4" w:rsidRPr="00DC7119" w:rsidRDefault="00043AA4" w:rsidP="000D0766">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System Characteristics</w:t>
      </w:r>
    </w:p>
    <w:p w:rsidR="00043AA4" w:rsidRDefault="00043AA4" w:rsidP="00043AA4">
      <w:r>
        <w:t xml:space="preserve"> </w:t>
      </w:r>
    </w:p>
    <w:p w:rsidR="00043AA4" w:rsidRDefault="000D0766" w:rsidP="00043AA4">
      <w:r>
        <w:t xml:space="preserve">The targeted system characteristics for the 300 GHz system are data rates </w:t>
      </w:r>
      <w:r w:rsidR="00B75E0D">
        <w:t>&gt;</w:t>
      </w:r>
      <w:r>
        <w:t xml:space="preserve"> 10 </w:t>
      </w:r>
      <w:proofErr w:type="spellStart"/>
      <w:r>
        <w:t>Gbps</w:t>
      </w:r>
      <w:proofErr w:type="spellEnd"/>
      <w:r>
        <w:t xml:space="preserve"> achieved by a system bandwidth of up to 50 GHz and 0 to 10 </w:t>
      </w:r>
      <w:proofErr w:type="spellStart"/>
      <w:r>
        <w:t>dBm</w:t>
      </w:r>
      <w:proofErr w:type="spellEnd"/>
      <w:r>
        <w:t xml:space="preserve"> output power using antennas with a gain of 20-30 dB on both sides of the link.</w:t>
      </w:r>
      <w:r w:rsidR="00B75E0D">
        <w:t xml:space="preserve"> Hence, the expected EIRP will be in the order of 20-40 </w:t>
      </w:r>
      <w:proofErr w:type="spellStart"/>
      <w:r w:rsidR="00B75E0D">
        <w:t>dBm</w:t>
      </w:r>
      <w:proofErr w:type="spellEnd"/>
      <w:r w:rsidR="00B75E0D">
        <w:t>.</w:t>
      </w:r>
    </w:p>
    <w:p w:rsidR="00E738BB" w:rsidRDefault="00E738BB" w:rsidP="000D0766"/>
    <w:p w:rsidR="00E738BB" w:rsidRPr="00DC7119" w:rsidRDefault="00E738BB" w:rsidP="000D0766">
      <w:pPr>
        <w:pStyle w:val="berschrift1"/>
        <w:numPr>
          <w:ilvl w:val="0"/>
          <w:numId w:val="4"/>
        </w:numPr>
        <w:ind w:left="0" w:firstLine="0"/>
        <w:rPr>
          <w:rFonts w:ascii="Times New Roman" w:hAnsi="Times New Roman" w:cs="Times New Roman"/>
          <w:color w:val="000000" w:themeColor="text1"/>
          <w:lang w:eastAsia="ja-JP"/>
        </w:rPr>
      </w:pPr>
      <w:r>
        <w:rPr>
          <w:rFonts w:ascii="Times New Roman" w:hAnsi="Times New Roman" w:cs="Times New Roman"/>
          <w:color w:val="000000" w:themeColor="text1"/>
          <w:lang w:eastAsia="ja-JP"/>
        </w:rPr>
        <w:t>References</w:t>
      </w:r>
    </w:p>
    <w:p w:rsidR="00E738BB" w:rsidRDefault="00E738BB" w:rsidP="00E738BB">
      <w:r>
        <w:t xml:space="preserve"> </w:t>
      </w:r>
    </w:p>
    <w:p w:rsidR="00AF4DA2" w:rsidRDefault="00AF4DA2" w:rsidP="00E738BB">
      <w:r>
        <w:t xml:space="preserve">[1] </w:t>
      </w:r>
      <w:r w:rsidR="00B25512" w:rsidRPr="00B25512">
        <w:t>http://ibrow-project.eu/</w:t>
      </w:r>
    </w:p>
    <w:p w:rsidR="00B25512" w:rsidRDefault="00E738BB" w:rsidP="00E738BB">
      <w:r>
        <w:t>[</w:t>
      </w:r>
      <w:r w:rsidR="00AF4DA2">
        <w:t>2</w:t>
      </w:r>
      <w:r>
        <w:t>]</w:t>
      </w:r>
      <w:r w:rsidR="006C6FA1">
        <w:t xml:space="preserve"> </w:t>
      </w:r>
      <w:r w:rsidR="00104C79">
        <w:t>Kürner, T.</w:t>
      </w:r>
      <w:proofErr w:type="gramStart"/>
      <w:r w:rsidR="006C6FA1">
        <w:t xml:space="preserve">, </w:t>
      </w:r>
      <w:r w:rsidR="00B25512" w:rsidRPr="00B25512">
        <w:t xml:space="preserve"> “</w:t>
      </w:r>
      <w:proofErr w:type="gramEnd"/>
      <w:r w:rsidR="00B25512" w:rsidRPr="00B25512">
        <w:t>Innovative ultra-</w:t>
      </w:r>
      <w:proofErr w:type="spellStart"/>
      <w:r w:rsidR="00B25512" w:rsidRPr="00B25512">
        <w:t>BROadband</w:t>
      </w:r>
      <w:proofErr w:type="spellEnd"/>
      <w:r w:rsidR="00B25512" w:rsidRPr="00B25512">
        <w:t xml:space="preserve"> ubiquitous Wireless  communications through terahertz transceivers - H2020 </w:t>
      </w:r>
      <w:proofErr w:type="spellStart"/>
      <w:r w:rsidR="00B25512" w:rsidRPr="00B25512">
        <w:t>iBROW</w:t>
      </w:r>
      <w:proofErr w:type="spellEnd"/>
      <w:r w:rsidR="00B25512" w:rsidRPr="00B25512">
        <w:t>,” IEEE 802.15 Document 15-15-0516-00-003d, Waikoloa/Hawaii, Jul</w:t>
      </w:r>
      <w:r w:rsidR="00B25512">
        <w:t>y</w:t>
      </w:r>
      <w:r w:rsidR="00B25512" w:rsidRPr="00B25512">
        <w:t xml:space="preserve"> 2015. </w:t>
      </w:r>
    </w:p>
    <w:p w:rsidR="005B7204" w:rsidRDefault="005B7204" w:rsidP="00E738BB">
      <w:r>
        <w:t>[</w:t>
      </w:r>
      <w:r w:rsidR="00AF4DA2">
        <w:t>3</w:t>
      </w:r>
      <w:r>
        <w:t xml:space="preserve">] </w:t>
      </w:r>
      <w:proofErr w:type="spellStart"/>
      <w:proofErr w:type="gramStart"/>
      <w:r w:rsidR="00B25512">
        <w:t>iBROW</w:t>
      </w:r>
      <w:proofErr w:type="spellEnd"/>
      <w:proofErr w:type="gramEnd"/>
      <w:r w:rsidR="00B25512">
        <w:t xml:space="preserve"> project flyer</w:t>
      </w:r>
    </w:p>
    <w:p w:rsidR="00B6244A" w:rsidRDefault="00B6244A" w:rsidP="00E738BB">
      <w:r>
        <w:t xml:space="preserve">[4] </w:t>
      </w:r>
      <w:proofErr w:type="spellStart"/>
      <w:proofErr w:type="gramStart"/>
      <w:r w:rsidR="00B25512">
        <w:t>iBROW</w:t>
      </w:r>
      <w:proofErr w:type="spellEnd"/>
      <w:proofErr w:type="gramEnd"/>
      <w:r w:rsidR="00B25512">
        <w:t xml:space="preserve"> Deliverable 1.3, Report On Target Application Scenarios And Requirements, (confidential deliverable)</w:t>
      </w:r>
    </w:p>
    <w:p w:rsidR="00E738BB" w:rsidRDefault="00E738BB" w:rsidP="00E738BB"/>
    <w:sectPr w:rsidR="00E738BB" w:rsidSect="00CF27F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921" w:rsidRDefault="00411921">
      <w:r>
        <w:separator/>
      </w:r>
    </w:p>
  </w:endnote>
  <w:endnote w:type="continuationSeparator" w:id="0">
    <w:p w:rsidR="00411921" w:rsidRDefault="00411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D166E7" w:rsidRDefault="00D76CB8" w:rsidP="00DB14EE">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D166E7">
      <w:rPr>
        <w:lang w:val="de-DE"/>
      </w:rPr>
      <w:t>Submission</w:t>
    </w:r>
    <w:r w:rsidRPr="00D166E7">
      <w:rPr>
        <w:lang w:val="de-DE"/>
      </w:rPr>
      <w:tab/>
      <w:t xml:space="preserve">Page </w:t>
    </w:r>
    <w:r>
      <w:pgNum/>
    </w:r>
    <w:r w:rsidRPr="00D166E7">
      <w:rPr>
        <w:lang w:val="de-DE"/>
      </w:rPr>
      <w:tab/>
    </w:r>
    <w:r w:rsidR="00D166E7" w:rsidRPr="00D166E7">
      <w:rPr>
        <w:lang w:val="de-DE" w:eastAsia="ja-JP"/>
      </w:rPr>
      <w:t>Thomas Kürner, TU Braunschweig</w:t>
    </w:r>
  </w:p>
  <w:p w:rsidR="00D76CB8" w:rsidRPr="00D166E7" w:rsidRDefault="00D76CB8">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921" w:rsidRDefault="00411921">
      <w:r>
        <w:separator/>
      </w:r>
    </w:p>
  </w:footnote>
  <w:footnote w:type="continuationSeparator" w:id="0">
    <w:p w:rsidR="00411921" w:rsidRDefault="00411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C7119"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January 2016</w:t>
    </w:r>
    <w:r w:rsidR="00D76CB8">
      <w:rPr>
        <w:b/>
        <w:sz w:val="28"/>
      </w:rPr>
      <w:t xml:space="preserve">                    </w:t>
    </w:r>
    <w:r w:rsidR="004F2FA9">
      <w:rPr>
        <w:b/>
        <w:sz w:val="28"/>
      </w:rPr>
      <w:tab/>
      <w:t xml:space="preserve">              </w:t>
    </w:r>
    <w:r w:rsidR="00D76CB8">
      <w:rPr>
        <w:b/>
        <w:sz w:val="28"/>
      </w:rPr>
      <w:t>IEEE 802.15</w:t>
    </w:r>
    <w:r w:rsidR="004F2FA9">
      <w:rPr>
        <w:b/>
        <w:sz w:val="28"/>
      </w:rPr>
      <w:t xml:space="preserve"> </w:t>
    </w:r>
    <w:r w:rsidR="00D76CB8">
      <w:rPr>
        <w:b/>
        <w:sz w:val="28"/>
      </w:rPr>
      <w:t>-</w:t>
    </w:r>
    <w:r w:rsidR="004F2FA9">
      <w:rPr>
        <w:b/>
        <w:sz w:val="28"/>
        <w:lang w:eastAsia="ja-JP"/>
      </w:rPr>
      <w:t>16</w:t>
    </w:r>
    <w:r w:rsidR="004F2FA9">
      <w:rPr>
        <w:b/>
        <w:sz w:val="28"/>
      </w:rPr>
      <w:t>-03d-</w:t>
    </w:r>
    <w:r w:rsidR="00154604">
      <w:rPr>
        <w:rFonts w:hint="eastAsia"/>
        <w:b/>
        <w:sz w:val="28"/>
        <w:lang w:eastAsia="ja-JP"/>
      </w:rPr>
      <w:t>0</w:t>
    </w:r>
    <w:r w:rsidR="006A4F5C">
      <w:rPr>
        <w:b/>
        <w:sz w:val="28"/>
        <w:lang w:eastAsia="ja-JP"/>
      </w:rPr>
      <w:t>034</w:t>
    </w:r>
    <w:r w:rsidR="00154604">
      <w:rPr>
        <w:rFonts w:hint="eastAsia"/>
        <w:b/>
        <w:sz w:val="28"/>
        <w:lang w:eastAsia="ja-JP"/>
      </w:rPr>
      <w:t>r</w:t>
    </w:r>
    <w:r w:rsidR="004F2FA9">
      <w:rPr>
        <w:b/>
        <w:sz w:val="28"/>
        <w:lang w:eastAsia="ja-JP"/>
      </w:rPr>
      <w:t>0</w:t>
    </w:r>
  </w:p>
  <w:p w:rsidR="00D76CB8" w:rsidRPr="00F14458"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942"/>
    <w:multiLevelType w:val="hybridMultilevel"/>
    <w:tmpl w:val="FAA4E72C"/>
    <w:lvl w:ilvl="0" w:tplc="10805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B1E75"/>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A21C64"/>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6161CB"/>
    <w:multiLevelType w:val="hybridMultilevel"/>
    <w:tmpl w:val="9198E840"/>
    <w:lvl w:ilvl="0" w:tplc="F88EE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D5B95"/>
    <w:multiLevelType w:val="hybridMultilevel"/>
    <w:tmpl w:val="69B4916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nsid w:val="346A7309"/>
    <w:multiLevelType w:val="hybridMultilevel"/>
    <w:tmpl w:val="713A62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2C3744B"/>
    <w:multiLevelType w:val="hybridMultilevel"/>
    <w:tmpl w:val="FD58DA6A"/>
    <w:lvl w:ilvl="0" w:tplc="8F7E50F4">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BD029BB"/>
    <w:multiLevelType w:val="multilevel"/>
    <w:tmpl w:val="459E5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7"/>
  </w:num>
  <w:num w:numId="4">
    <w:abstractNumId w:val="9"/>
  </w:num>
  <w:num w:numId="5">
    <w:abstractNumId w:val="2"/>
  </w:num>
  <w:num w:numId="6">
    <w:abstractNumId w:val="3"/>
  </w:num>
  <w:num w:numId="7">
    <w:abstractNumId w:val="8"/>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noPunctuationKerning/>
  <w:characterSpacingControl w:val="doNotCompress"/>
  <w:hdrShapeDefaults>
    <o:shapedefaults v:ext="edit" spidmax="30722">
      <v:textbox inset="5.85pt,.7pt,5.85pt,.7pt"/>
    </o:shapedefaults>
  </w:hdrShapeDefaults>
  <w:footnotePr>
    <w:footnote w:id="-1"/>
    <w:footnote w:id="0"/>
  </w:footnotePr>
  <w:endnotePr>
    <w:endnote w:id="-1"/>
    <w:endnote w:id="0"/>
  </w:endnotePr>
  <w:compat>
    <w:applyBreakingRules/>
    <w:useFELayout/>
  </w:compat>
  <w:rsids>
    <w:rsidRoot w:val="00EF4D97"/>
    <w:rsid w:val="00021360"/>
    <w:rsid w:val="00043AA4"/>
    <w:rsid w:val="00046DB9"/>
    <w:rsid w:val="000501CF"/>
    <w:rsid w:val="0007316E"/>
    <w:rsid w:val="000C43EE"/>
    <w:rsid w:val="000C604A"/>
    <w:rsid w:val="000D0766"/>
    <w:rsid w:val="000D520C"/>
    <w:rsid w:val="000E1645"/>
    <w:rsid w:val="000E7798"/>
    <w:rsid w:val="000F0CF2"/>
    <w:rsid w:val="001003E6"/>
    <w:rsid w:val="00104C79"/>
    <w:rsid w:val="001355EC"/>
    <w:rsid w:val="00151F09"/>
    <w:rsid w:val="00153084"/>
    <w:rsid w:val="00154604"/>
    <w:rsid w:val="00166CDA"/>
    <w:rsid w:val="0017702B"/>
    <w:rsid w:val="00186E3D"/>
    <w:rsid w:val="001B637F"/>
    <w:rsid w:val="001C0490"/>
    <w:rsid w:val="001C0BCC"/>
    <w:rsid w:val="001D2557"/>
    <w:rsid w:val="001F0CA2"/>
    <w:rsid w:val="00202A87"/>
    <w:rsid w:val="0020461D"/>
    <w:rsid w:val="00255E9D"/>
    <w:rsid w:val="002746E9"/>
    <w:rsid w:val="00275BE3"/>
    <w:rsid w:val="002A3957"/>
    <w:rsid w:val="002A4D11"/>
    <w:rsid w:val="002C5D6C"/>
    <w:rsid w:val="002D1C8B"/>
    <w:rsid w:val="002D73A2"/>
    <w:rsid w:val="002E422A"/>
    <w:rsid w:val="002E6047"/>
    <w:rsid w:val="00303467"/>
    <w:rsid w:val="00303853"/>
    <w:rsid w:val="00307E84"/>
    <w:rsid w:val="00323ABD"/>
    <w:rsid w:val="0033184F"/>
    <w:rsid w:val="00335E3E"/>
    <w:rsid w:val="00337F28"/>
    <w:rsid w:val="00391D6F"/>
    <w:rsid w:val="00392F1F"/>
    <w:rsid w:val="00397570"/>
    <w:rsid w:val="003E1AD7"/>
    <w:rsid w:val="003F472D"/>
    <w:rsid w:val="00411921"/>
    <w:rsid w:val="00456748"/>
    <w:rsid w:val="00477A8A"/>
    <w:rsid w:val="00492B1C"/>
    <w:rsid w:val="004A6BE1"/>
    <w:rsid w:val="004C74D7"/>
    <w:rsid w:val="004E54CD"/>
    <w:rsid w:val="004F2FA9"/>
    <w:rsid w:val="00500DAF"/>
    <w:rsid w:val="00582337"/>
    <w:rsid w:val="005B7204"/>
    <w:rsid w:val="005E54F3"/>
    <w:rsid w:val="005F5D5A"/>
    <w:rsid w:val="00601CC4"/>
    <w:rsid w:val="00634D59"/>
    <w:rsid w:val="00642725"/>
    <w:rsid w:val="00643EE7"/>
    <w:rsid w:val="00646473"/>
    <w:rsid w:val="006630A1"/>
    <w:rsid w:val="00672AAD"/>
    <w:rsid w:val="006829A5"/>
    <w:rsid w:val="00685D18"/>
    <w:rsid w:val="006A4F5C"/>
    <w:rsid w:val="006A5A0F"/>
    <w:rsid w:val="006C6FA1"/>
    <w:rsid w:val="006D3F1E"/>
    <w:rsid w:val="006F33DA"/>
    <w:rsid w:val="0070723E"/>
    <w:rsid w:val="007235A9"/>
    <w:rsid w:val="00726879"/>
    <w:rsid w:val="0073422F"/>
    <w:rsid w:val="00796CC7"/>
    <w:rsid w:val="007F3A36"/>
    <w:rsid w:val="00800883"/>
    <w:rsid w:val="008118D9"/>
    <w:rsid w:val="00881987"/>
    <w:rsid w:val="008B52A0"/>
    <w:rsid w:val="008D2B8E"/>
    <w:rsid w:val="008D3940"/>
    <w:rsid w:val="008E7026"/>
    <w:rsid w:val="008F2712"/>
    <w:rsid w:val="0090635B"/>
    <w:rsid w:val="00933998"/>
    <w:rsid w:val="0094619D"/>
    <w:rsid w:val="00955934"/>
    <w:rsid w:val="009824D6"/>
    <w:rsid w:val="009906B6"/>
    <w:rsid w:val="00994613"/>
    <w:rsid w:val="009E2234"/>
    <w:rsid w:val="009E548F"/>
    <w:rsid w:val="00A27A32"/>
    <w:rsid w:val="00A34160"/>
    <w:rsid w:val="00A96055"/>
    <w:rsid w:val="00A97754"/>
    <w:rsid w:val="00AD14AD"/>
    <w:rsid w:val="00AF4DA2"/>
    <w:rsid w:val="00B055D7"/>
    <w:rsid w:val="00B1275B"/>
    <w:rsid w:val="00B23462"/>
    <w:rsid w:val="00B25512"/>
    <w:rsid w:val="00B529D6"/>
    <w:rsid w:val="00B6244A"/>
    <w:rsid w:val="00B75E0D"/>
    <w:rsid w:val="00B8422C"/>
    <w:rsid w:val="00B86B61"/>
    <w:rsid w:val="00BA0D4E"/>
    <w:rsid w:val="00BB60E2"/>
    <w:rsid w:val="00C00EDD"/>
    <w:rsid w:val="00C35521"/>
    <w:rsid w:val="00C44315"/>
    <w:rsid w:val="00C579FE"/>
    <w:rsid w:val="00C64F18"/>
    <w:rsid w:val="00C81335"/>
    <w:rsid w:val="00C82A8B"/>
    <w:rsid w:val="00CA441D"/>
    <w:rsid w:val="00CA649B"/>
    <w:rsid w:val="00CC4B75"/>
    <w:rsid w:val="00CF27F9"/>
    <w:rsid w:val="00D1011D"/>
    <w:rsid w:val="00D1082A"/>
    <w:rsid w:val="00D166E7"/>
    <w:rsid w:val="00D425BE"/>
    <w:rsid w:val="00D43AC2"/>
    <w:rsid w:val="00D76173"/>
    <w:rsid w:val="00D76CB8"/>
    <w:rsid w:val="00D841F5"/>
    <w:rsid w:val="00D908A2"/>
    <w:rsid w:val="00D96F38"/>
    <w:rsid w:val="00DB0DB1"/>
    <w:rsid w:val="00DB14EE"/>
    <w:rsid w:val="00DB21B4"/>
    <w:rsid w:val="00DC6E80"/>
    <w:rsid w:val="00DC7119"/>
    <w:rsid w:val="00DE3453"/>
    <w:rsid w:val="00E15830"/>
    <w:rsid w:val="00E355CC"/>
    <w:rsid w:val="00E61769"/>
    <w:rsid w:val="00E738BB"/>
    <w:rsid w:val="00E74CD5"/>
    <w:rsid w:val="00EB3B15"/>
    <w:rsid w:val="00EC4ED5"/>
    <w:rsid w:val="00EF4D97"/>
    <w:rsid w:val="00EF6A60"/>
    <w:rsid w:val="00F05A85"/>
    <w:rsid w:val="00F11376"/>
    <w:rsid w:val="00F14458"/>
    <w:rsid w:val="00F762CD"/>
    <w:rsid w:val="00F77F61"/>
    <w:rsid w:val="00F8130F"/>
    <w:rsid w:val="00F82CB0"/>
    <w:rsid w:val="00FD183C"/>
    <w:rsid w:val="00FD65E3"/>
    <w:rsid w:val="00FD6ADB"/>
    <w:rsid w:val="00FF3747"/>
    <w:rsid w:val="00FF60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paragraph" w:styleId="berschrift1">
    <w:name w:val="heading 1"/>
    <w:basedOn w:val="Standard"/>
    <w:next w:val="Standard"/>
    <w:link w:val="berschrift1Zchn"/>
    <w:uiPriority w:val="9"/>
    <w:qFormat/>
    <w:rsid w:val="00DC7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77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nhideWhenUsed/>
    <w:rsid w:val="00B23462"/>
  </w:style>
  <w:style w:type="character" w:customStyle="1" w:styleId="KommentartextZchn">
    <w:name w:val="Kommentartext Zchn"/>
    <w:link w:val="Kommentartext"/>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Listenabsatz">
    <w:name w:val="List Paragraph"/>
    <w:basedOn w:val="Standard"/>
    <w:uiPriority w:val="34"/>
    <w:qFormat/>
    <w:rsid w:val="00DC7119"/>
    <w:pPr>
      <w:ind w:left="720"/>
      <w:contextualSpacing/>
    </w:pPr>
  </w:style>
  <w:style w:type="character" w:customStyle="1" w:styleId="berschrift1Zchn">
    <w:name w:val="Überschrift 1 Zchn"/>
    <w:basedOn w:val="Absatz-Standardschriftart"/>
    <w:link w:val="berschrift1"/>
    <w:uiPriority w:val="9"/>
    <w:rsid w:val="00DC7119"/>
    <w:rPr>
      <w:rFonts w:asciiTheme="majorHAnsi" w:eastAsiaTheme="majorEastAsia" w:hAnsiTheme="majorHAnsi" w:cstheme="majorBidi"/>
      <w:b/>
      <w:bCs/>
      <w:color w:val="365F91" w:themeColor="accent1" w:themeShade="BF"/>
      <w:sz w:val="28"/>
      <w:szCs w:val="28"/>
      <w:lang w:eastAsia="zh-CN"/>
    </w:rPr>
  </w:style>
  <w:style w:type="character" w:customStyle="1" w:styleId="berschrift2Zchn">
    <w:name w:val="Überschrift 2 Zchn"/>
    <w:basedOn w:val="Absatz-Standardschriftart"/>
    <w:link w:val="berschrift2"/>
    <w:uiPriority w:val="9"/>
    <w:semiHidden/>
    <w:rsid w:val="00F77F61"/>
    <w:rPr>
      <w:rFonts w:asciiTheme="majorHAnsi" w:eastAsiaTheme="majorEastAsia" w:hAnsiTheme="majorHAnsi" w:cstheme="majorBidi"/>
      <w:b/>
      <w:bCs/>
      <w:color w:val="4F81BD" w:themeColor="accent1"/>
      <w:sz w:val="26"/>
      <w:szCs w:val="26"/>
      <w:lang w:eastAsia="zh-CN"/>
    </w:rPr>
  </w:style>
  <w:style w:type="paragraph" w:styleId="Beschriftung">
    <w:name w:val="caption"/>
    <w:basedOn w:val="Standard"/>
    <w:next w:val="Standard"/>
    <w:uiPriority w:val="35"/>
    <w:qFormat/>
    <w:rsid w:val="00F77F61"/>
    <w:pPr>
      <w:spacing w:before="50" w:after="50" w:line="280" w:lineRule="atLeast"/>
      <w:jc w:val="center"/>
    </w:pPr>
    <w:rPr>
      <w:rFonts w:ascii="Arial" w:eastAsia="SimSun" w:hAnsi="Arial"/>
      <w:bCs/>
      <w:sz w:val="20"/>
      <w:lang w:val="en-GB" w:eastAsia="fr-FR"/>
    </w:rPr>
  </w:style>
  <w:style w:type="table" w:styleId="Tabellengitternetz">
    <w:name w:val="Table Grid"/>
    <w:basedOn w:val="NormaleTabelle"/>
    <w:uiPriority w:val="59"/>
    <w:rsid w:val="00F77F61"/>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31CF4-E51E-4148-8DF0-84EB99D6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5806</Characters>
  <Application>Microsoft Office Word</Application>
  <DocSecurity>0</DocSecurity>
  <Lines>193</Lines>
  <Paragraphs>82</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tg5-wpan-mesh-networking-call-proposals</vt:lpstr>
      <vt:lpstr>tg5-wpan-mesh-networking-call-proposals</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12</cp:revision>
  <cp:lastPrinted>2016-01-07T09:36:00Z</cp:lastPrinted>
  <dcterms:created xsi:type="dcterms:W3CDTF">2016-01-05T13:29:00Z</dcterms:created>
  <dcterms:modified xsi:type="dcterms:W3CDTF">2016-01-11T22:23:00Z</dcterms:modified>
</cp:coreProperties>
</file>