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A81520">
            <w:pPr>
              <w:pStyle w:val="covertext"/>
            </w:pPr>
            <w:fldSimple w:instr=" TITLE  \* MERGEFORMAT ">
              <w:r w:rsidR="00877355" w:rsidRPr="00877355">
                <w:rPr>
                  <w:b/>
                  <w:sz w:val="28"/>
                </w:rPr>
                <w:t>&lt;IG 6tisch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165A9CCE" w:rsidR="001F1C8A" w:rsidRDefault="00F4038F" w:rsidP="00EF5D5D">
            <w:pPr>
              <w:pStyle w:val="covertext"/>
            </w:pPr>
            <w:r>
              <w:t>[</w:t>
            </w:r>
            <w:r w:rsidR="00EF5D5D">
              <w:t>13 Nov</w:t>
            </w:r>
            <w:r w:rsidR="002C7560">
              <w:t xml:space="preserve"> 2015</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4839D11D" w:rsidR="001F1C8A" w:rsidRDefault="00267B1D" w:rsidP="00EF5D5D">
            <w:pPr>
              <w:pStyle w:val="covertext"/>
            </w:pPr>
            <w:r>
              <w:t>[</w:t>
            </w:r>
            <w:r w:rsidR="00CF4489">
              <w:t>Interest</w:t>
            </w:r>
            <w:r>
              <w:t xml:space="preserve"> Group </w:t>
            </w:r>
            <w:r w:rsidR="00CF4489">
              <w:t>6tisch</w:t>
            </w:r>
            <w:r w:rsidR="001F1C8A">
              <w:t xml:space="preserve"> </w:t>
            </w:r>
            <w:r w:rsidR="00940951">
              <w:t>Plenary</w:t>
            </w:r>
            <w:r w:rsidR="001F1C8A">
              <w:t xml:space="preserve"> Meeting in </w:t>
            </w:r>
            <w:r w:rsidR="00EF5D5D">
              <w:t>Dallas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72FCE3D0"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9A2337">
        <w:rPr>
          <w:b/>
          <w:color w:val="FF0000"/>
          <w:sz w:val="28"/>
          <w:szCs w:val="28"/>
        </w:rPr>
        <w:t>Interim</w:t>
      </w:r>
      <w:r w:rsidR="00410B30" w:rsidRPr="006C7CCC">
        <w:rPr>
          <w:b/>
          <w:color w:val="FF0000"/>
          <w:sz w:val="28"/>
          <w:szCs w:val="28"/>
        </w:rPr>
        <w:t xml:space="preserve"> Meeting – Session #</w:t>
      </w:r>
      <w:r w:rsidR="003C4278">
        <w:rPr>
          <w:b/>
          <w:color w:val="FF0000"/>
          <w:sz w:val="28"/>
          <w:szCs w:val="28"/>
        </w:rPr>
        <w:t>9</w:t>
      </w:r>
      <w:r w:rsidR="00CE0B4D">
        <w:rPr>
          <w:b/>
          <w:color w:val="FF0000"/>
          <w:sz w:val="28"/>
          <w:szCs w:val="28"/>
        </w:rPr>
        <w:t>9</w:t>
      </w:r>
    </w:p>
    <w:p w14:paraId="595042B8" w14:textId="0E5713B1" w:rsidR="00410B30" w:rsidRPr="00BC3A78" w:rsidRDefault="00CE0B4D" w:rsidP="00410B30">
      <w:pPr>
        <w:widowControl w:val="0"/>
        <w:spacing w:before="120"/>
        <w:jc w:val="center"/>
        <w:rPr>
          <w:b/>
          <w:color w:val="FF0000"/>
          <w:sz w:val="28"/>
          <w:szCs w:val="28"/>
        </w:rPr>
      </w:pPr>
      <w:r>
        <w:rPr>
          <w:b/>
          <w:color w:val="FF0000"/>
          <w:sz w:val="28"/>
          <w:szCs w:val="28"/>
        </w:rPr>
        <w:t>Hyatt Regency</w:t>
      </w:r>
      <w:r w:rsidR="00410B30" w:rsidRPr="00BC3A78">
        <w:rPr>
          <w:b/>
          <w:color w:val="FF0000"/>
          <w:sz w:val="28"/>
          <w:szCs w:val="28"/>
        </w:rPr>
        <w:t xml:space="preserve">, </w:t>
      </w:r>
      <w:r>
        <w:rPr>
          <w:b/>
          <w:color w:val="FF0000"/>
          <w:sz w:val="28"/>
          <w:szCs w:val="28"/>
        </w:rPr>
        <w:t>Dallas</w:t>
      </w:r>
    </w:p>
    <w:p w14:paraId="771C7597" w14:textId="0C8F3538" w:rsidR="00410B30" w:rsidRPr="00042A51" w:rsidRDefault="00CE0B4D" w:rsidP="00410B30">
      <w:pPr>
        <w:widowControl w:val="0"/>
        <w:spacing w:before="120"/>
        <w:jc w:val="center"/>
        <w:rPr>
          <w:b/>
          <w:color w:val="FF0000"/>
          <w:sz w:val="28"/>
          <w:szCs w:val="28"/>
        </w:rPr>
      </w:pPr>
      <w:r>
        <w:rPr>
          <w:b/>
          <w:color w:val="FF0000"/>
          <w:sz w:val="28"/>
          <w:szCs w:val="28"/>
        </w:rPr>
        <w:t>Nov</w:t>
      </w:r>
      <w:r w:rsidR="00410B30" w:rsidRPr="00D07AA1">
        <w:rPr>
          <w:b/>
          <w:color w:val="FF0000"/>
          <w:sz w:val="28"/>
          <w:szCs w:val="28"/>
        </w:rPr>
        <w:t xml:space="preserve"> </w:t>
      </w:r>
      <w:r>
        <w:rPr>
          <w:b/>
          <w:color w:val="FF0000"/>
          <w:sz w:val="28"/>
          <w:szCs w:val="28"/>
        </w:rPr>
        <w:t>9</w:t>
      </w:r>
      <w:r w:rsidR="00410B30">
        <w:rPr>
          <w:b/>
          <w:color w:val="FF0000"/>
          <w:sz w:val="28"/>
          <w:szCs w:val="28"/>
        </w:rPr>
        <w:t>-</w:t>
      </w:r>
      <w:r w:rsidR="003C4278">
        <w:rPr>
          <w:b/>
          <w:color w:val="FF0000"/>
          <w:sz w:val="28"/>
          <w:szCs w:val="28"/>
        </w:rPr>
        <w:t>1</w:t>
      </w:r>
      <w:r>
        <w:rPr>
          <w:b/>
          <w:color w:val="FF0000"/>
          <w:sz w:val="28"/>
          <w:szCs w:val="28"/>
        </w:rPr>
        <w:t>2</w:t>
      </w:r>
      <w:r w:rsidR="00410B30" w:rsidRPr="00D07AA1">
        <w:rPr>
          <w:b/>
          <w:color w:val="FF0000"/>
          <w:sz w:val="28"/>
          <w:szCs w:val="28"/>
        </w:rPr>
        <w:t>, 201</w:t>
      </w:r>
      <w:r w:rsidR="003C4278">
        <w:rPr>
          <w:b/>
          <w:color w:val="FF0000"/>
          <w:sz w:val="28"/>
          <w:szCs w:val="28"/>
        </w:rPr>
        <w:t>5</w:t>
      </w:r>
    </w:p>
    <w:p w14:paraId="772D5688" w14:textId="77777777" w:rsidR="003C28FA" w:rsidRDefault="008A035E">
      <w:pPr>
        <w:pStyle w:val="TOC1"/>
        <w:tabs>
          <w:tab w:val="right" w:leader="dot" w:pos="9350"/>
        </w:tabs>
        <w:rPr>
          <w:rFonts w:asciiTheme="minorHAnsi" w:eastAsia="MS Mincho" w:hAnsiTheme="minorHAnsi" w:cstheme="minorBidi"/>
          <w:noProof/>
          <w:lang w:eastAsia="ja-JP"/>
        </w:rPr>
      </w:pPr>
      <w:r>
        <w:fldChar w:fldCharType="begin"/>
      </w:r>
      <w:r w:rsidR="001F1C8A">
        <w:instrText xml:space="preserve"> TOC \o "1-3" \h \z \u </w:instrText>
      </w:r>
      <w:r>
        <w:fldChar w:fldCharType="separate"/>
      </w:r>
      <w:r w:rsidR="003C28FA">
        <w:rPr>
          <w:noProof/>
        </w:rPr>
        <w:t>Tuesday, 10 Nov 2015, 10:30 (AM2)</w:t>
      </w:r>
      <w:r w:rsidR="003C28FA">
        <w:rPr>
          <w:noProof/>
        </w:rPr>
        <w:tab/>
      </w:r>
      <w:r w:rsidR="003C28FA">
        <w:rPr>
          <w:noProof/>
        </w:rPr>
        <w:fldChar w:fldCharType="begin"/>
      </w:r>
      <w:r w:rsidR="003C28FA">
        <w:rPr>
          <w:noProof/>
        </w:rPr>
        <w:instrText xml:space="preserve"> PAGEREF _Toc309042097 \h </w:instrText>
      </w:r>
      <w:r w:rsidR="003C28FA">
        <w:rPr>
          <w:noProof/>
        </w:rPr>
      </w:r>
      <w:r w:rsidR="003C28FA">
        <w:rPr>
          <w:noProof/>
        </w:rPr>
        <w:fldChar w:fldCharType="separate"/>
      </w:r>
      <w:r w:rsidR="003C28FA">
        <w:rPr>
          <w:noProof/>
        </w:rPr>
        <w:t>2</w:t>
      </w:r>
      <w:r w:rsidR="003C28FA">
        <w:rPr>
          <w:noProof/>
        </w:rPr>
        <w:fldChar w:fldCharType="end"/>
      </w:r>
    </w:p>
    <w:p w14:paraId="2A878B1F" w14:textId="77777777" w:rsidR="001F1C8A" w:rsidRDefault="008A035E" w:rsidP="001F1C8A">
      <w:r>
        <w:fldChar w:fldCharType="end"/>
      </w:r>
    </w:p>
    <w:p w14:paraId="2CF0E96C" w14:textId="5B550AE1" w:rsidR="0025673B" w:rsidRDefault="00940951" w:rsidP="0025673B">
      <w:pPr>
        <w:pStyle w:val="Heading1"/>
        <w:keepNext w:val="0"/>
      </w:pPr>
      <w:bookmarkStart w:id="0" w:name="_Toc309042097"/>
      <w:r>
        <w:t>Tues</w:t>
      </w:r>
      <w:r w:rsidR="000F4742">
        <w:t xml:space="preserve">day, </w:t>
      </w:r>
      <w:r>
        <w:t>1</w:t>
      </w:r>
      <w:r w:rsidR="003C28FA">
        <w:t>0</w:t>
      </w:r>
      <w:r w:rsidR="00E4105A">
        <w:t xml:space="preserve"> </w:t>
      </w:r>
      <w:r w:rsidR="003C28FA">
        <w:t>Nov</w:t>
      </w:r>
      <w:r w:rsidR="00E4105A">
        <w:t xml:space="preserve"> </w:t>
      </w:r>
      <w:r w:rsidR="003C4278">
        <w:t>2015</w:t>
      </w:r>
      <w:r w:rsidR="00E4105A">
        <w:t>, 1</w:t>
      </w:r>
      <w:r w:rsidR="00A04CB8">
        <w:t>3</w:t>
      </w:r>
      <w:r w:rsidR="008651AA">
        <w:t>:</w:t>
      </w:r>
      <w:r w:rsidR="00F550E2">
        <w:t>3</w:t>
      </w:r>
      <w:r w:rsidR="00E4105A">
        <w:t>0 (</w:t>
      </w:r>
      <w:r w:rsidR="00A04CB8">
        <w:t>P</w:t>
      </w:r>
      <w:r w:rsidR="00D41D7F">
        <w:t>M</w:t>
      </w:r>
      <w:r w:rsidR="00A04CB8">
        <w:t>1</w:t>
      </w:r>
      <w:r w:rsidR="0025673B">
        <w:t>)</w:t>
      </w:r>
      <w:bookmarkEnd w:id="0"/>
    </w:p>
    <w:p w14:paraId="3137A0D0" w14:textId="6C26F846" w:rsidR="0083623D" w:rsidRDefault="0083623D" w:rsidP="0083623D">
      <w:r>
        <w:rPr>
          <w:b/>
        </w:rPr>
        <w:t>1</w:t>
      </w:r>
      <w:r w:rsidR="00A04CB8">
        <w:rPr>
          <w:b/>
        </w:rPr>
        <w:t>3</w:t>
      </w:r>
      <w:r w:rsidR="00165357">
        <w:rPr>
          <w:b/>
        </w:rPr>
        <w:t>:</w:t>
      </w:r>
      <w:r w:rsidR="00F550E2">
        <w:rPr>
          <w:b/>
        </w:rPr>
        <w:t>3</w:t>
      </w:r>
      <w:r w:rsidR="00A04CB8">
        <w:rPr>
          <w:b/>
        </w:rPr>
        <w:t>5</w:t>
      </w:r>
      <w:r>
        <w:tab/>
      </w:r>
      <w:r w:rsidR="00B52B2E">
        <w:t>IG 6tisch c</w:t>
      </w:r>
      <w:r>
        <w:t>hair</w:t>
      </w:r>
      <w:r w:rsidR="00B52B2E">
        <w:t>, Pat Kinney,</w:t>
      </w:r>
      <w:r>
        <w:t xml:space="preserve"> called meeting to order.</w:t>
      </w:r>
    </w:p>
    <w:p w14:paraId="3E211777" w14:textId="321FA0B5" w:rsidR="0083623D" w:rsidRDefault="0083623D" w:rsidP="0083623D">
      <w:pPr>
        <w:ind w:left="720"/>
      </w:pPr>
      <w:r>
        <w:t xml:space="preserve">Chair presented opening report </w:t>
      </w:r>
      <w:r w:rsidRPr="00FE328E">
        <w:t>15-</w:t>
      </w:r>
      <w:r w:rsidR="00F550E2">
        <w:t>15</w:t>
      </w:r>
      <w:r w:rsidRPr="00FE328E">
        <w:t>-</w:t>
      </w:r>
      <w:r w:rsidR="0022420E">
        <w:t>0</w:t>
      </w:r>
      <w:r w:rsidR="003C28FA">
        <w:t>856-03</w:t>
      </w:r>
      <w:r w:rsidR="00B52B2E">
        <w:t>-ig6t</w:t>
      </w:r>
      <w:r>
        <w:t>:</w:t>
      </w:r>
    </w:p>
    <w:p w14:paraId="168E0A26" w14:textId="1C87FA76" w:rsidR="0083623D" w:rsidRDefault="0083623D" w:rsidP="0083623D">
      <w:pPr>
        <w:ind w:left="720"/>
      </w:pPr>
      <w:r>
        <w:t xml:space="preserve">Chair displayed </w:t>
      </w:r>
      <w:r w:rsidR="003C28FA">
        <w:t>administration slide showing the URL for the</w:t>
      </w:r>
      <w:r>
        <w:t xml:space="preserv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6FA24647" w:rsidR="0083623D" w:rsidRPr="0074769D" w:rsidRDefault="0083623D" w:rsidP="0083623D">
      <w:pPr>
        <w:ind w:left="720"/>
        <w:rPr>
          <w:b/>
        </w:rPr>
      </w:pPr>
      <w:r w:rsidRPr="0074769D">
        <w:rPr>
          <w:b/>
        </w:rPr>
        <w:t xml:space="preserve">Agenda for </w:t>
      </w:r>
      <w:r w:rsidR="00A04CB8">
        <w:rPr>
          <w:b/>
        </w:rPr>
        <w:t>Dallas</w:t>
      </w:r>
    </w:p>
    <w:p w14:paraId="6C147B84" w14:textId="77777777" w:rsidR="00A04CB8" w:rsidRPr="00A04CB8" w:rsidRDefault="00A04CB8" w:rsidP="00E846A7">
      <w:pPr>
        <w:numPr>
          <w:ilvl w:val="1"/>
          <w:numId w:val="1"/>
        </w:numPr>
      </w:pPr>
      <w:r w:rsidRPr="00A04CB8">
        <w:t>Review of IETF94, Yokohama; Nov 2015</w:t>
      </w:r>
    </w:p>
    <w:p w14:paraId="68D378CD" w14:textId="77777777" w:rsidR="00A04CB8" w:rsidRPr="00A04CB8" w:rsidRDefault="00A04CB8" w:rsidP="00E846A7">
      <w:pPr>
        <w:numPr>
          <w:ilvl w:val="1"/>
          <w:numId w:val="1"/>
        </w:numPr>
      </w:pPr>
      <w:r w:rsidRPr="00A04CB8">
        <w:t>6tisch issues discussion</w:t>
      </w:r>
    </w:p>
    <w:p w14:paraId="13CE4870" w14:textId="77777777" w:rsidR="00A04CB8" w:rsidRPr="00A04CB8" w:rsidRDefault="00A04CB8" w:rsidP="00E846A7">
      <w:pPr>
        <w:numPr>
          <w:ilvl w:val="2"/>
          <w:numId w:val="1"/>
        </w:numPr>
      </w:pPr>
      <w:r w:rsidRPr="00A04CB8">
        <w:t>6top IEs</w:t>
      </w:r>
    </w:p>
    <w:p w14:paraId="6BBD9CBE" w14:textId="77777777" w:rsidR="00A04CB8" w:rsidRPr="00A04CB8" w:rsidRDefault="00A04CB8" w:rsidP="00E846A7">
      <w:pPr>
        <w:numPr>
          <w:ilvl w:val="2"/>
          <w:numId w:val="1"/>
        </w:numPr>
      </w:pPr>
      <w:r w:rsidRPr="00A04CB8">
        <w:t>Security</w:t>
      </w:r>
    </w:p>
    <w:p w14:paraId="64331DBB" w14:textId="77777777" w:rsidR="00A04CB8" w:rsidRPr="00A04CB8" w:rsidRDefault="00A04CB8" w:rsidP="00E846A7">
      <w:pPr>
        <w:numPr>
          <w:ilvl w:val="2"/>
          <w:numId w:val="1"/>
        </w:numPr>
      </w:pPr>
      <w:proofErr w:type="spellStart"/>
      <w:r w:rsidRPr="00A04CB8">
        <w:t>ReCharter</w:t>
      </w:r>
      <w:proofErr w:type="spellEnd"/>
    </w:p>
    <w:p w14:paraId="180880C1" w14:textId="77777777" w:rsidR="00A04CB8" w:rsidRPr="00A04CB8" w:rsidRDefault="00A04CB8" w:rsidP="00E846A7">
      <w:pPr>
        <w:numPr>
          <w:ilvl w:val="2"/>
          <w:numId w:val="1"/>
        </w:numPr>
      </w:pPr>
      <w:r w:rsidRPr="00A04CB8">
        <w:t>LLC impact</w:t>
      </w:r>
    </w:p>
    <w:p w14:paraId="19401C38" w14:textId="77777777" w:rsidR="00A04CB8" w:rsidRPr="00A04CB8" w:rsidRDefault="00A04CB8" w:rsidP="00E846A7">
      <w:pPr>
        <w:numPr>
          <w:ilvl w:val="1"/>
          <w:numId w:val="1"/>
        </w:numPr>
      </w:pPr>
      <w:r w:rsidRPr="00A04CB8">
        <w:t>Approval of agenda (15-15-807-00)</w:t>
      </w:r>
    </w:p>
    <w:p w14:paraId="4B875B59" w14:textId="77777777" w:rsidR="00A04CB8" w:rsidRPr="00A04CB8" w:rsidRDefault="00A04CB8" w:rsidP="00E846A7">
      <w:pPr>
        <w:numPr>
          <w:ilvl w:val="1"/>
          <w:numId w:val="1"/>
        </w:numPr>
      </w:pPr>
      <w:r w:rsidRPr="00A04CB8">
        <w:t>Approval of minutes from Bangkok (15-15-0766-00)</w:t>
      </w:r>
    </w:p>
    <w:p w14:paraId="02E3138B" w14:textId="77777777" w:rsidR="00B01EA6" w:rsidRDefault="00A04CB8" w:rsidP="00E846A7">
      <w:pPr>
        <w:pStyle w:val="ListParagraph"/>
        <w:numPr>
          <w:ilvl w:val="0"/>
          <w:numId w:val="2"/>
        </w:numPr>
      </w:pPr>
      <w:r>
        <w:t>Review Summary of IETF94</w:t>
      </w:r>
    </w:p>
    <w:p w14:paraId="379F33D1" w14:textId="77777777" w:rsidR="00B01EA6" w:rsidRDefault="00A04CB8" w:rsidP="00E846A7">
      <w:pPr>
        <w:pStyle w:val="ListParagraph"/>
        <w:numPr>
          <w:ilvl w:val="1"/>
          <w:numId w:val="2"/>
        </w:numPr>
      </w:pPr>
      <w:r w:rsidRPr="00A04CB8">
        <w:t xml:space="preserve">New Charter </w:t>
      </w:r>
    </w:p>
    <w:p w14:paraId="04453BED" w14:textId="77777777" w:rsidR="00B01EA6" w:rsidRDefault="00A04CB8" w:rsidP="00E846A7">
      <w:pPr>
        <w:pStyle w:val="ListParagraph"/>
        <w:numPr>
          <w:ilvl w:val="2"/>
          <w:numId w:val="2"/>
        </w:numPr>
      </w:pPr>
      <w:r w:rsidRPr="00A04CB8">
        <w:t>Status Document</w:t>
      </w:r>
    </w:p>
    <w:p w14:paraId="25C4F34D" w14:textId="77777777" w:rsidR="00B01EA6" w:rsidRDefault="00A04CB8" w:rsidP="00E846A7">
      <w:pPr>
        <w:pStyle w:val="ListParagraph"/>
        <w:numPr>
          <w:ilvl w:val="2"/>
          <w:numId w:val="2"/>
        </w:numPr>
      </w:pPr>
      <w:r w:rsidRPr="00A04CB8">
        <w:t>New Charter</w:t>
      </w:r>
    </w:p>
    <w:p w14:paraId="00588077" w14:textId="77777777" w:rsidR="00B01EA6" w:rsidRDefault="00A04CB8" w:rsidP="00E846A7">
      <w:pPr>
        <w:pStyle w:val="ListParagraph"/>
        <w:numPr>
          <w:ilvl w:val="2"/>
          <w:numId w:val="2"/>
        </w:numPr>
      </w:pPr>
      <w:r w:rsidRPr="00A04CB8">
        <w:t>Milestones</w:t>
      </w:r>
    </w:p>
    <w:p w14:paraId="4AE1CABA" w14:textId="77777777" w:rsidR="00B01EA6" w:rsidRDefault="00A04CB8" w:rsidP="00E846A7">
      <w:pPr>
        <w:pStyle w:val="ListParagraph"/>
        <w:numPr>
          <w:ilvl w:val="2"/>
          <w:numId w:val="2"/>
        </w:numPr>
      </w:pPr>
      <w:r w:rsidRPr="00A04CB8">
        <w:t>Action Plan</w:t>
      </w:r>
    </w:p>
    <w:p w14:paraId="215A2855" w14:textId="77777777" w:rsidR="00B01EA6" w:rsidRDefault="00A04CB8" w:rsidP="00E846A7">
      <w:pPr>
        <w:pStyle w:val="ListParagraph"/>
        <w:numPr>
          <w:ilvl w:val="1"/>
          <w:numId w:val="2"/>
        </w:numPr>
      </w:pPr>
      <w:r w:rsidRPr="00A04CB8">
        <w:t>Dynamic Scheduling</w:t>
      </w:r>
    </w:p>
    <w:p w14:paraId="40EF362F" w14:textId="77777777" w:rsidR="00B01EA6" w:rsidRDefault="00A04CB8" w:rsidP="00E846A7">
      <w:pPr>
        <w:pStyle w:val="ListParagraph"/>
        <w:numPr>
          <w:ilvl w:val="2"/>
          <w:numId w:val="2"/>
        </w:numPr>
      </w:pPr>
      <w:hyperlink r:id="rId9" w:history="1">
        <w:r w:rsidRPr="00A04CB8">
          <w:rPr>
            <w:rStyle w:val="Hyperlink"/>
          </w:rPr>
          <w:t>draft-wang-6tisch-6top-sublayer-03</w:t>
        </w:r>
      </w:hyperlink>
    </w:p>
    <w:p w14:paraId="56C74C56" w14:textId="77777777" w:rsidR="00B01EA6" w:rsidRPr="00B01EA6" w:rsidRDefault="00A04CB8" w:rsidP="00E846A7">
      <w:pPr>
        <w:pStyle w:val="ListParagraph"/>
        <w:numPr>
          <w:ilvl w:val="2"/>
          <w:numId w:val="2"/>
        </w:numPr>
      </w:pPr>
      <w:r w:rsidRPr="00B01EA6">
        <w:rPr>
          <w:u w:val="single"/>
        </w:rPr>
        <w:t>draft-dujovne-6tisch-6top-sf0-00</w:t>
      </w:r>
    </w:p>
    <w:p w14:paraId="41DADCAD" w14:textId="77777777" w:rsidR="00B01EA6" w:rsidRDefault="00A04CB8" w:rsidP="00E846A7">
      <w:pPr>
        <w:pStyle w:val="ListParagraph"/>
        <w:numPr>
          <w:ilvl w:val="1"/>
          <w:numId w:val="2"/>
        </w:numPr>
      </w:pPr>
      <w:r w:rsidRPr="00A04CB8">
        <w:t>Tracks in 6TiSCH</w:t>
      </w:r>
    </w:p>
    <w:p w14:paraId="746EA987" w14:textId="77777777" w:rsidR="00B01EA6" w:rsidRDefault="00A04CB8" w:rsidP="00E846A7">
      <w:pPr>
        <w:pStyle w:val="ListParagraph"/>
        <w:numPr>
          <w:ilvl w:val="2"/>
          <w:numId w:val="2"/>
        </w:numPr>
      </w:pPr>
      <w:hyperlink r:id="rId10" w:history="1">
        <w:r w:rsidRPr="00A04CB8">
          <w:rPr>
            <w:rStyle w:val="Hyperlink"/>
          </w:rPr>
          <w:t>draft-thubert-6tisch-4detne</w:t>
        </w:r>
        <w:r w:rsidRPr="00A04CB8">
          <w:rPr>
            <w:rStyle w:val="Hyperlink"/>
          </w:rPr>
          <w:t>t</w:t>
        </w:r>
        <w:r w:rsidRPr="00A04CB8">
          <w:rPr>
            <w:rStyle w:val="Hyperlink"/>
          </w:rPr>
          <w:t>-01</w:t>
        </w:r>
      </w:hyperlink>
    </w:p>
    <w:p w14:paraId="09D197E2" w14:textId="77777777" w:rsidR="00B01EA6" w:rsidRDefault="00A04CB8" w:rsidP="00E846A7">
      <w:pPr>
        <w:pStyle w:val="ListParagraph"/>
        <w:numPr>
          <w:ilvl w:val="1"/>
          <w:numId w:val="2"/>
        </w:numPr>
      </w:pPr>
      <w:r w:rsidRPr="00A04CB8">
        <w:t>Any Other Business</w:t>
      </w:r>
    </w:p>
    <w:p w14:paraId="5DD130FB" w14:textId="48BC6D40" w:rsidR="00A04CB8" w:rsidRPr="00A04CB8" w:rsidRDefault="00A04CB8" w:rsidP="00E846A7">
      <w:pPr>
        <w:pStyle w:val="ListParagraph"/>
        <w:numPr>
          <w:ilvl w:val="2"/>
          <w:numId w:val="2"/>
        </w:numPr>
      </w:pPr>
      <w:r w:rsidRPr="00A04CB8">
        <w:t xml:space="preserve">Announcement second ETSI 6TiSCH </w:t>
      </w:r>
      <w:proofErr w:type="spellStart"/>
      <w:r w:rsidRPr="00A04CB8">
        <w:t>Plugtests</w:t>
      </w:r>
      <w:proofErr w:type="spellEnd"/>
    </w:p>
    <w:p w14:paraId="06AD0CB0" w14:textId="7FB81A45" w:rsidR="00BA06C3" w:rsidRDefault="00B01EA6" w:rsidP="00E846A7">
      <w:pPr>
        <w:pStyle w:val="ListParagraph"/>
        <w:numPr>
          <w:ilvl w:val="0"/>
          <w:numId w:val="2"/>
        </w:numPr>
      </w:pPr>
      <w:r>
        <w:t>6top IEs</w:t>
      </w:r>
    </w:p>
    <w:p w14:paraId="0CAE5A94" w14:textId="77777777" w:rsidR="003175EB" w:rsidRPr="003175EB" w:rsidRDefault="003175EB" w:rsidP="00E846A7">
      <w:pPr>
        <w:pStyle w:val="ListParagraph"/>
        <w:numPr>
          <w:ilvl w:val="1"/>
          <w:numId w:val="2"/>
        </w:numPr>
      </w:pPr>
      <w:r w:rsidRPr="003175EB">
        <w:t>The 6P messages are carried in a payload IE, i.e. IETF Information Element:</w:t>
      </w:r>
    </w:p>
    <w:p w14:paraId="17D59CFC" w14:textId="77777777" w:rsidR="003175EB" w:rsidRPr="003175EB" w:rsidRDefault="003175EB" w:rsidP="00E846A7">
      <w:pPr>
        <w:pStyle w:val="ListParagraph"/>
        <w:numPr>
          <w:ilvl w:val="1"/>
          <w:numId w:val="2"/>
        </w:numPr>
      </w:pPr>
      <w:r w:rsidRPr="003175EB">
        <w:t>Group ID: IANA_IETF_IE_GROUP_ID -Length: variable</w:t>
      </w:r>
    </w:p>
    <w:p w14:paraId="78F43261" w14:textId="77777777" w:rsidR="003175EB" w:rsidRPr="003175EB" w:rsidRDefault="003175EB" w:rsidP="00E846A7">
      <w:pPr>
        <w:pStyle w:val="ListParagraph"/>
        <w:numPr>
          <w:ilvl w:val="1"/>
          <w:numId w:val="2"/>
        </w:numPr>
      </w:pPr>
      <w:r w:rsidRPr="003175EB">
        <w:lastRenderedPageBreak/>
        <w:t xml:space="preserve">Content: defined as follows </w:t>
      </w:r>
    </w:p>
    <w:p w14:paraId="4B3DB457" w14:textId="77777777" w:rsidR="003175EB" w:rsidRPr="003175EB" w:rsidRDefault="003175EB" w:rsidP="00E846A7">
      <w:pPr>
        <w:pStyle w:val="ListParagraph"/>
        <w:numPr>
          <w:ilvl w:val="1"/>
          <w:numId w:val="2"/>
        </w:numPr>
      </w:pPr>
      <w:r w:rsidRPr="003175EB">
        <w:t>IEEE Liaison Considerations</w:t>
      </w:r>
    </w:p>
    <w:p w14:paraId="193C4640" w14:textId="77777777" w:rsidR="003175EB" w:rsidRPr="003175EB" w:rsidRDefault="003175EB" w:rsidP="00E846A7">
      <w:pPr>
        <w:pStyle w:val="ListParagraph"/>
        <w:numPr>
          <w:ilvl w:val="1"/>
          <w:numId w:val="2"/>
        </w:numPr>
      </w:pPr>
      <w:r w:rsidRPr="003175EB">
        <w:t>If the specification described in this document is supported by the 6TiSCH WG, the authors of this document ask the 6TiSCH WG chairs to liaise with the IEEE to request a Payload Information Element Group ID to be assigned to the IETF (Group ID IANA_IETF_IE_GROUP_ID described in Appendix A).</w:t>
      </w:r>
    </w:p>
    <w:p w14:paraId="385FB428" w14:textId="77777777" w:rsidR="003175EB" w:rsidRPr="003175EB" w:rsidRDefault="003175EB" w:rsidP="00E846A7">
      <w:pPr>
        <w:pStyle w:val="ListParagraph"/>
        <w:numPr>
          <w:ilvl w:val="1"/>
          <w:numId w:val="2"/>
        </w:numPr>
      </w:pPr>
      <w:r w:rsidRPr="003175EB">
        <w:t>Members of 6tisch also asked if IG 6tisch could assist in the use of the requested ID by proposing a detailed format consisting of elements such as sub-ids and other fields</w:t>
      </w:r>
    </w:p>
    <w:p w14:paraId="4A8F3121" w14:textId="77777777" w:rsidR="003175EB" w:rsidRPr="003175EB" w:rsidRDefault="003175EB" w:rsidP="00E846A7">
      <w:pPr>
        <w:pStyle w:val="ListParagraph"/>
        <w:numPr>
          <w:ilvl w:val="1"/>
          <w:numId w:val="2"/>
        </w:numPr>
      </w:pPr>
      <w:r w:rsidRPr="003175EB">
        <w:t>Current 6tisch proposal</w:t>
      </w:r>
    </w:p>
    <w:p w14:paraId="725CAD94" w14:textId="77777777" w:rsidR="003175EB" w:rsidRDefault="003175EB" w:rsidP="00E846A7">
      <w:pPr>
        <w:pStyle w:val="ListParagraph"/>
        <w:numPr>
          <w:ilvl w:val="1"/>
          <w:numId w:val="2"/>
        </w:numPr>
      </w:pPr>
      <w:r w:rsidRPr="003175EB">
        <w:t>draft-wang-6tisch-6top-coapie-01</w:t>
      </w:r>
    </w:p>
    <w:p w14:paraId="359D1C3F" w14:textId="77777777" w:rsidR="003175EB" w:rsidRPr="003175EB" w:rsidRDefault="003175EB" w:rsidP="00E846A7">
      <w:pPr>
        <w:pStyle w:val="ListParagraph"/>
        <w:numPr>
          <w:ilvl w:val="1"/>
          <w:numId w:val="2"/>
        </w:numPr>
      </w:pPr>
      <w:r w:rsidRPr="003175EB">
        <w:t>In response to a request from IETF 6tisch, IG 6T agreed to a recommended practice for external SDO Payload IE sub-types</w:t>
      </w:r>
    </w:p>
    <w:p w14:paraId="67516903" w14:textId="7FF555C4" w:rsidR="003175EB" w:rsidRPr="003175EB" w:rsidRDefault="00270C0C" w:rsidP="00E846A7">
      <w:pPr>
        <w:pStyle w:val="ListParagraph"/>
        <w:numPr>
          <w:ilvl w:val="2"/>
          <w:numId w:val="2"/>
        </w:numPr>
      </w:pPr>
      <w:r>
        <w:t>As captured in doc 15-15-0939-02</w:t>
      </w:r>
      <w:r w:rsidR="003175EB" w:rsidRPr="003175EB">
        <w:t>, the consensus was to limit nesting the sub-types to one, allowing concatenation of the  Payload IEs rather than the method used in 802.15.4-2015 of nesting sub-types</w:t>
      </w:r>
    </w:p>
    <w:p w14:paraId="393686E9" w14:textId="77777777" w:rsidR="003175EB" w:rsidRDefault="003175EB" w:rsidP="00E846A7">
      <w:pPr>
        <w:pStyle w:val="ListParagraph"/>
        <w:numPr>
          <w:ilvl w:val="2"/>
          <w:numId w:val="2"/>
        </w:numPr>
      </w:pPr>
      <w:r w:rsidRPr="003175EB">
        <w:t>The following figures illustrates an overview of this concept compared to the 802.15.4-2015 technique:</w:t>
      </w:r>
    </w:p>
    <w:p w14:paraId="5BFA180F" w14:textId="77777777" w:rsidR="00270C0C" w:rsidRDefault="00270C0C" w:rsidP="00E846A7">
      <w:pPr>
        <w:pStyle w:val="ListParagraph"/>
        <w:numPr>
          <w:ilvl w:val="1"/>
          <w:numId w:val="2"/>
        </w:numPr>
      </w:pPr>
    </w:p>
    <w:tbl>
      <w:tblPr>
        <w:tblStyle w:val="TableGrid"/>
        <w:tblW w:w="6390" w:type="dxa"/>
        <w:tblInd w:w="108" w:type="dxa"/>
        <w:tblLayout w:type="fixed"/>
        <w:tblLook w:val="04A0" w:firstRow="1" w:lastRow="0" w:firstColumn="1" w:lastColumn="0" w:noHBand="0" w:noVBand="1"/>
      </w:tblPr>
      <w:tblGrid>
        <w:gridCol w:w="1800"/>
        <w:gridCol w:w="900"/>
        <w:gridCol w:w="810"/>
        <w:gridCol w:w="990"/>
        <w:gridCol w:w="1890"/>
      </w:tblGrid>
      <w:tr w:rsidR="00FE2415" w:rsidRPr="009F7D0C" w14:paraId="0961F513" w14:textId="77777777" w:rsidTr="00FE2415">
        <w:tc>
          <w:tcPr>
            <w:tcW w:w="1800" w:type="dxa"/>
          </w:tcPr>
          <w:p w14:paraId="0BB625C4" w14:textId="77777777" w:rsidR="00FE2415" w:rsidRPr="009F7D0C" w:rsidRDefault="00FE2415" w:rsidP="00FE2415">
            <w:pPr>
              <w:keepNext/>
              <w:keepLines/>
              <w:rPr>
                <w:rFonts w:ascii="Cambria" w:eastAsia="MS Mincho" w:hAnsi="Cambria"/>
                <w:b/>
                <w:szCs w:val="24"/>
                <w:lang w:eastAsia="ja-JP"/>
              </w:rPr>
            </w:pPr>
            <w:r w:rsidRPr="009F7D0C">
              <w:rPr>
                <w:rFonts w:ascii="Cambria" w:eastAsia="MS Mincho" w:hAnsi="Cambria"/>
                <w:b/>
                <w:szCs w:val="24"/>
                <w:lang w:eastAsia="ja-JP"/>
              </w:rPr>
              <w:t>Bits: 0-10</w:t>
            </w:r>
          </w:p>
        </w:tc>
        <w:tc>
          <w:tcPr>
            <w:tcW w:w="900" w:type="dxa"/>
          </w:tcPr>
          <w:p w14:paraId="65D38F71" w14:textId="77777777" w:rsidR="00FE2415" w:rsidRPr="009F7D0C" w:rsidRDefault="00FE2415" w:rsidP="00FE2415">
            <w:pPr>
              <w:keepNext/>
              <w:keepLines/>
              <w:rPr>
                <w:rFonts w:ascii="Cambria" w:eastAsia="MS Mincho" w:hAnsi="Cambria"/>
                <w:b/>
                <w:szCs w:val="24"/>
                <w:lang w:eastAsia="ja-JP"/>
              </w:rPr>
            </w:pPr>
            <w:r w:rsidRPr="009F7D0C">
              <w:rPr>
                <w:rFonts w:ascii="Cambria" w:eastAsia="MS Mincho" w:hAnsi="Cambria"/>
                <w:b/>
                <w:szCs w:val="24"/>
                <w:lang w:eastAsia="ja-JP"/>
              </w:rPr>
              <w:t>11-14</w:t>
            </w:r>
          </w:p>
        </w:tc>
        <w:tc>
          <w:tcPr>
            <w:tcW w:w="810" w:type="dxa"/>
          </w:tcPr>
          <w:p w14:paraId="0032C795" w14:textId="77777777" w:rsidR="00FE2415" w:rsidRPr="009F7D0C" w:rsidRDefault="00FE2415" w:rsidP="00FE2415">
            <w:pPr>
              <w:keepNext/>
              <w:keepLines/>
              <w:rPr>
                <w:rFonts w:ascii="Cambria" w:eastAsia="MS Mincho" w:hAnsi="Cambria"/>
                <w:b/>
                <w:szCs w:val="24"/>
                <w:lang w:eastAsia="ja-JP"/>
              </w:rPr>
            </w:pPr>
            <w:r w:rsidRPr="009F7D0C">
              <w:rPr>
                <w:rFonts w:ascii="Cambria" w:eastAsia="MS Mincho" w:hAnsi="Cambria"/>
                <w:b/>
                <w:szCs w:val="24"/>
                <w:lang w:eastAsia="ja-JP"/>
              </w:rPr>
              <w:t>15</w:t>
            </w:r>
          </w:p>
        </w:tc>
        <w:tc>
          <w:tcPr>
            <w:tcW w:w="990" w:type="dxa"/>
          </w:tcPr>
          <w:p w14:paraId="371F5753" w14:textId="77777777" w:rsidR="00FE2415" w:rsidRPr="009F7D0C" w:rsidRDefault="00FE2415" w:rsidP="00FE2415">
            <w:pPr>
              <w:keepNext/>
              <w:keepLines/>
              <w:rPr>
                <w:rFonts w:ascii="Cambria" w:eastAsia="MS Mincho" w:hAnsi="Cambria"/>
                <w:b/>
                <w:szCs w:val="24"/>
                <w:lang w:eastAsia="ja-JP"/>
              </w:rPr>
            </w:pPr>
            <w:r>
              <w:rPr>
                <w:rFonts w:ascii="Cambria" w:eastAsia="MS Mincho" w:hAnsi="Cambria"/>
                <w:b/>
                <w:szCs w:val="24"/>
                <w:lang w:eastAsia="ja-JP"/>
              </w:rPr>
              <w:t>16-23</w:t>
            </w:r>
          </w:p>
        </w:tc>
        <w:tc>
          <w:tcPr>
            <w:tcW w:w="1890" w:type="dxa"/>
          </w:tcPr>
          <w:p w14:paraId="4865EDD6" w14:textId="77777777" w:rsidR="00FE2415" w:rsidRPr="009F7D0C" w:rsidRDefault="00FE2415" w:rsidP="00FE2415">
            <w:pPr>
              <w:keepNext/>
              <w:keepLines/>
              <w:rPr>
                <w:rFonts w:ascii="Cambria" w:eastAsia="MS Mincho" w:hAnsi="Cambria"/>
                <w:b/>
                <w:szCs w:val="24"/>
                <w:lang w:eastAsia="ja-JP"/>
              </w:rPr>
            </w:pPr>
            <w:r w:rsidRPr="009F7D0C">
              <w:rPr>
                <w:rFonts w:ascii="Cambria" w:eastAsia="MS Mincho" w:hAnsi="Cambria"/>
                <w:b/>
                <w:szCs w:val="24"/>
                <w:lang w:eastAsia="ja-JP"/>
              </w:rPr>
              <w:t>Octets: 0-204</w:t>
            </w:r>
            <w:r>
              <w:rPr>
                <w:rFonts w:ascii="Cambria" w:eastAsia="MS Mincho" w:hAnsi="Cambria"/>
                <w:b/>
                <w:szCs w:val="24"/>
                <w:lang w:eastAsia="ja-JP"/>
              </w:rPr>
              <w:t>6</w:t>
            </w:r>
          </w:p>
        </w:tc>
      </w:tr>
      <w:tr w:rsidR="00FE2415" w:rsidRPr="009F7D0C" w14:paraId="51C02AD3" w14:textId="77777777" w:rsidTr="00FE2415">
        <w:tc>
          <w:tcPr>
            <w:tcW w:w="1800" w:type="dxa"/>
          </w:tcPr>
          <w:p w14:paraId="0E039493" w14:textId="77777777" w:rsidR="00FE2415" w:rsidRPr="009F7D0C" w:rsidRDefault="00FE2415" w:rsidP="00FE2415">
            <w:pPr>
              <w:keepNext/>
              <w:keepLines/>
              <w:rPr>
                <w:rFonts w:ascii="Cambria" w:eastAsia="MS Mincho" w:hAnsi="Cambria"/>
                <w:szCs w:val="24"/>
                <w:lang w:eastAsia="ja-JP"/>
              </w:rPr>
            </w:pPr>
            <w:r>
              <w:rPr>
                <w:rFonts w:ascii="Cambria" w:eastAsia="MS Mincho" w:hAnsi="Cambria"/>
                <w:szCs w:val="24"/>
                <w:lang w:eastAsia="ja-JP"/>
              </w:rPr>
              <w:t xml:space="preserve">Payload IE Content </w:t>
            </w:r>
            <w:r w:rsidRPr="009F7D0C">
              <w:rPr>
                <w:rFonts w:ascii="Cambria" w:eastAsia="MS Mincho" w:hAnsi="Cambria"/>
                <w:szCs w:val="24"/>
                <w:lang w:eastAsia="ja-JP"/>
              </w:rPr>
              <w:t>Length</w:t>
            </w:r>
          </w:p>
        </w:tc>
        <w:tc>
          <w:tcPr>
            <w:tcW w:w="900" w:type="dxa"/>
          </w:tcPr>
          <w:p w14:paraId="3A67877F" w14:textId="77777777" w:rsidR="00FE2415" w:rsidRPr="009F7D0C" w:rsidRDefault="00FE2415" w:rsidP="00FE2415">
            <w:pPr>
              <w:keepNext/>
              <w:keepLines/>
              <w:rPr>
                <w:rFonts w:ascii="Cambria" w:eastAsia="MS Mincho" w:hAnsi="Cambria"/>
                <w:szCs w:val="24"/>
                <w:lang w:eastAsia="ja-JP"/>
              </w:rPr>
            </w:pPr>
            <w:r w:rsidRPr="009F7D0C">
              <w:rPr>
                <w:rFonts w:ascii="Cambria" w:eastAsia="MS Mincho" w:hAnsi="Cambria"/>
                <w:szCs w:val="24"/>
                <w:lang w:eastAsia="ja-JP"/>
              </w:rPr>
              <w:t>Group ID</w:t>
            </w:r>
          </w:p>
        </w:tc>
        <w:tc>
          <w:tcPr>
            <w:tcW w:w="810" w:type="dxa"/>
          </w:tcPr>
          <w:p w14:paraId="30C5E08A" w14:textId="77777777" w:rsidR="00FE2415" w:rsidRPr="009F7D0C" w:rsidRDefault="00FE2415" w:rsidP="00FE2415">
            <w:pPr>
              <w:keepNext/>
              <w:keepLines/>
              <w:rPr>
                <w:rFonts w:ascii="Cambria" w:eastAsia="MS Mincho" w:hAnsi="Cambria"/>
                <w:szCs w:val="24"/>
                <w:lang w:eastAsia="ja-JP"/>
              </w:rPr>
            </w:pPr>
            <w:r w:rsidRPr="009F7D0C">
              <w:rPr>
                <w:rFonts w:ascii="Cambria" w:eastAsia="MS Mincho" w:hAnsi="Cambria"/>
                <w:szCs w:val="24"/>
                <w:lang w:eastAsia="ja-JP"/>
              </w:rPr>
              <w:t xml:space="preserve">Type </w:t>
            </w:r>
            <w:r>
              <w:rPr>
                <w:rFonts w:ascii="Cambria" w:eastAsia="MS Mincho" w:hAnsi="Cambria"/>
                <w:szCs w:val="24"/>
                <w:lang w:eastAsia="ja-JP"/>
              </w:rPr>
              <w:t>(0b1)</w:t>
            </w:r>
          </w:p>
        </w:tc>
        <w:tc>
          <w:tcPr>
            <w:tcW w:w="990" w:type="dxa"/>
          </w:tcPr>
          <w:p w14:paraId="3243D9F6" w14:textId="77777777" w:rsidR="00FE2415" w:rsidRPr="009F7D0C" w:rsidRDefault="00FE2415" w:rsidP="00FE2415">
            <w:pPr>
              <w:keepNext/>
              <w:keepLines/>
              <w:rPr>
                <w:rFonts w:ascii="Cambria" w:eastAsia="MS Mincho" w:hAnsi="Cambria"/>
                <w:szCs w:val="24"/>
                <w:lang w:eastAsia="ja-JP"/>
              </w:rPr>
            </w:pPr>
            <w:r>
              <w:rPr>
                <w:rFonts w:ascii="Cambria" w:eastAsia="MS Mincho" w:hAnsi="Cambria"/>
                <w:szCs w:val="24"/>
                <w:lang w:eastAsia="ja-JP"/>
              </w:rPr>
              <w:t xml:space="preserve">Sub-type ID </w:t>
            </w:r>
          </w:p>
        </w:tc>
        <w:tc>
          <w:tcPr>
            <w:tcW w:w="1890" w:type="dxa"/>
          </w:tcPr>
          <w:p w14:paraId="700D854F" w14:textId="77777777" w:rsidR="00FE2415" w:rsidRPr="009F7D0C" w:rsidRDefault="00FE2415" w:rsidP="00FE2415">
            <w:pPr>
              <w:keepNext/>
              <w:keepLines/>
              <w:widowControl w:val="0"/>
              <w:autoSpaceDE w:val="0"/>
              <w:autoSpaceDN w:val="0"/>
              <w:adjustRightInd w:val="0"/>
              <w:spacing w:line="300" w:lineRule="atLeast"/>
              <w:rPr>
                <w:b/>
                <w:bCs/>
                <w:sz w:val="28"/>
                <w:szCs w:val="28"/>
              </w:rPr>
            </w:pPr>
            <w:r>
              <w:rPr>
                <w:rFonts w:ascii="Cambria" w:eastAsia="MS Mincho" w:hAnsi="Cambria"/>
                <w:szCs w:val="24"/>
                <w:lang w:eastAsia="ja-JP"/>
              </w:rPr>
              <w:t xml:space="preserve">Sub-type </w:t>
            </w:r>
            <w:r w:rsidRPr="009F7D0C">
              <w:rPr>
                <w:rFonts w:ascii="Cambria" w:eastAsia="MS Mincho" w:hAnsi="Cambria"/>
                <w:szCs w:val="24"/>
                <w:lang w:eastAsia="ja-JP"/>
              </w:rPr>
              <w:t>Content</w:t>
            </w:r>
          </w:p>
        </w:tc>
      </w:tr>
      <w:tr w:rsidR="00FE2415" w:rsidRPr="009F7D0C" w14:paraId="22AC86CE" w14:textId="77777777" w:rsidTr="00FE2415">
        <w:tc>
          <w:tcPr>
            <w:tcW w:w="3510" w:type="dxa"/>
            <w:gridSpan w:val="3"/>
          </w:tcPr>
          <w:p w14:paraId="5437B5B2" w14:textId="77777777" w:rsidR="00FE2415" w:rsidRPr="009F7D0C" w:rsidRDefault="00FE2415" w:rsidP="00FE2415">
            <w:pPr>
              <w:keepNext/>
              <w:keepLines/>
              <w:rPr>
                <w:rFonts w:ascii="Cambria" w:eastAsia="MS Mincho" w:hAnsi="Cambria"/>
                <w:szCs w:val="24"/>
                <w:lang w:eastAsia="ja-JP"/>
              </w:rPr>
            </w:pPr>
            <w:r>
              <w:rPr>
                <w:rFonts w:ascii="Cambria" w:eastAsia="MS Mincho" w:hAnsi="Cambria"/>
                <w:szCs w:val="24"/>
                <w:lang w:eastAsia="ja-JP"/>
              </w:rPr>
              <w:t>Payload IE</w:t>
            </w:r>
          </w:p>
        </w:tc>
        <w:tc>
          <w:tcPr>
            <w:tcW w:w="2880" w:type="dxa"/>
            <w:gridSpan w:val="2"/>
          </w:tcPr>
          <w:p w14:paraId="78424DB8" w14:textId="77777777" w:rsidR="00FE2415" w:rsidRDefault="00FE2415" w:rsidP="00FE2415">
            <w:pPr>
              <w:keepNext/>
              <w:keepLines/>
              <w:widowControl w:val="0"/>
              <w:autoSpaceDE w:val="0"/>
              <w:autoSpaceDN w:val="0"/>
              <w:adjustRightInd w:val="0"/>
              <w:spacing w:line="300" w:lineRule="atLeast"/>
              <w:rPr>
                <w:rFonts w:ascii="Cambria" w:eastAsia="MS Mincho" w:hAnsi="Cambria"/>
                <w:szCs w:val="24"/>
                <w:lang w:eastAsia="ja-JP"/>
              </w:rPr>
            </w:pPr>
            <w:r>
              <w:rPr>
                <w:rFonts w:ascii="Cambria" w:eastAsia="MS Mincho" w:hAnsi="Cambria"/>
                <w:szCs w:val="24"/>
                <w:lang w:eastAsia="ja-JP"/>
              </w:rPr>
              <w:t>Payload IE Content</w:t>
            </w:r>
          </w:p>
        </w:tc>
      </w:tr>
    </w:tbl>
    <w:p w14:paraId="024C8332" w14:textId="026F9FDA" w:rsidR="003175EB" w:rsidRDefault="003175EB" w:rsidP="00FE2415"/>
    <w:tbl>
      <w:tblPr>
        <w:tblStyle w:val="TableGrid"/>
        <w:tblW w:w="5580" w:type="dxa"/>
        <w:tblInd w:w="108" w:type="dxa"/>
        <w:tblLayout w:type="fixed"/>
        <w:tblLook w:val="04A0" w:firstRow="1" w:lastRow="0" w:firstColumn="1" w:lastColumn="0" w:noHBand="0" w:noVBand="1"/>
      </w:tblPr>
      <w:tblGrid>
        <w:gridCol w:w="1306"/>
        <w:gridCol w:w="1394"/>
        <w:gridCol w:w="1170"/>
        <w:gridCol w:w="1350"/>
        <w:gridCol w:w="360"/>
      </w:tblGrid>
      <w:tr w:rsidR="00FE2415" w:rsidRPr="009F7D0C" w14:paraId="2B6FDDF3" w14:textId="77777777" w:rsidTr="00FE2415">
        <w:tc>
          <w:tcPr>
            <w:tcW w:w="1306" w:type="dxa"/>
          </w:tcPr>
          <w:p w14:paraId="7D993A52" w14:textId="77777777" w:rsidR="00FE2415" w:rsidRPr="009F7D0C" w:rsidRDefault="00FE2415" w:rsidP="00FE2415">
            <w:pPr>
              <w:rPr>
                <w:rFonts w:ascii="Cambria" w:eastAsia="MS Mincho" w:hAnsi="Cambria"/>
                <w:szCs w:val="24"/>
                <w:lang w:eastAsia="ja-JP"/>
              </w:rPr>
            </w:pPr>
            <w:r>
              <w:rPr>
                <w:rFonts w:ascii="Cambria" w:eastAsia="MS Mincho" w:hAnsi="Cambria"/>
                <w:szCs w:val="24"/>
                <w:lang w:eastAsia="ja-JP"/>
              </w:rPr>
              <w:t>Payload IE</w:t>
            </w:r>
          </w:p>
        </w:tc>
        <w:tc>
          <w:tcPr>
            <w:tcW w:w="1394" w:type="dxa"/>
          </w:tcPr>
          <w:p w14:paraId="7A5F5638" w14:textId="77777777" w:rsidR="00FE2415" w:rsidRPr="009F7D0C" w:rsidRDefault="00FE2415" w:rsidP="00FE2415">
            <w:pPr>
              <w:rPr>
                <w:rFonts w:ascii="Cambria" w:eastAsia="MS Mincho" w:hAnsi="Cambria"/>
                <w:szCs w:val="24"/>
                <w:lang w:eastAsia="ja-JP"/>
              </w:rPr>
            </w:pPr>
            <w:r>
              <w:rPr>
                <w:rFonts w:ascii="Cambria" w:eastAsia="MS Mincho" w:hAnsi="Cambria"/>
                <w:szCs w:val="24"/>
                <w:lang w:eastAsia="ja-JP"/>
              </w:rPr>
              <w:t>Payload IE Content</w:t>
            </w:r>
          </w:p>
        </w:tc>
        <w:tc>
          <w:tcPr>
            <w:tcW w:w="1170" w:type="dxa"/>
          </w:tcPr>
          <w:p w14:paraId="367B9B0E" w14:textId="77777777" w:rsidR="00FE2415" w:rsidRPr="009F7D0C" w:rsidRDefault="00FE2415" w:rsidP="00FE2415">
            <w:pPr>
              <w:rPr>
                <w:rFonts w:ascii="Cambria" w:eastAsia="MS Mincho" w:hAnsi="Cambria"/>
                <w:szCs w:val="24"/>
                <w:lang w:eastAsia="ja-JP"/>
              </w:rPr>
            </w:pPr>
            <w:r>
              <w:rPr>
                <w:rFonts w:ascii="Cambria" w:eastAsia="MS Mincho" w:hAnsi="Cambria"/>
                <w:szCs w:val="24"/>
                <w:lang w:eastAsia="ja-JP"/>
              </w:rPr>
              <w:t>Payload IE</w:t>
            </w:r>
          </w:p>
        </w:tc>
        <w:tc>
          <w:tcPr>
            <w:tcW w:w="1350" w:type="dxa"/>
          </w:tcPr>
          <w:p w14:paraId="3EF8338A" w14:textId="77777777" w:rsidR="00FE2415" w:rsidRPr="009F7D0C" w:rsidRDefault="00FE2415" w:rsidP="00FE2415">
            <w:pPr>
              <w:rPr>
                <w:rFonts w:ascii="Cambria" w:eastAsia="MS Mincho" w:hAnsi="Cambria"/>
                <w:szCs w:val="24"/>
                <w:lang w:eastAsia="ja-JP"/>
              </w:rPr>
            </w:pPr>
            <w:r>
              <w:rPr>
                <w:rFonts w:ascii="Cambria" w:eastAsia="MS Mincho" w:hAnsi="Cambria"/>
                <w:szCs w:val="24"/>
                <w:lang w:eastAsia="ja-JP"/>
              </w:rPr>
              <w:t>Payload IE Content</w:t>
            </w:r>
          </w:p>
        </w:tc>
        <w:tc>
          <w:tcPr>
            <w:tcW w:w="360" w:type="dxa"/>
          </w:tcPr>
          <w:p w14:paraId="52DE0B99" w14:textId="77777777" w:rsidR="00FE2415" w:rsidRDefault="00FE2415" w:rsidP="00FE2415">
            <w:pPr>
              <w:rPr>
                <w:rFonts w:ascii="Cambria" w:eastAsia="MS Mincho" w:hAnsi="Cambria"/>
                <w:szCs w:val="24"/>
                <w:lang w:eastAsia="ja-JP"/>
              </w:rPr>
            </w:pPr>
            <w:r>
              <w:rPr>
                <w:rFonts w:ascii="Cambria" w:eastAsia="MS Mincho" w:hAnsi="Cambria"/>
                <w:szCs w:val="24"/>
                <w:lang w:eastAsia="ja-JP"/>
              </w:rPr>
              <w:t>…</w:t>
            </w:r>
          </w:p>
        </w:tc>
      </w:tr>
    </w:tbl>
    <w:p w14:paraId="65DD808B" w14:textId="77777777" w:rsidR="00FE2415" w:rsidRDefault="00FE2415" w:rsidP="00FE2415"/>
    <w:p w14:paraId="0C0716E5" w14:textId="77777777" w:rsidR="00A15F06" w:rsidRDefault="00A15F06" w:rsidP="00270C0C">
      <w:pPr>
        <w:ind w:left="-180"/>
      </w:pPr>
    </w:p>
    <w:tbl>
      <w:tblPr>
        <w:tblW w:w="0" w:type="auto"/>
        <w:tblBorders>
          <w:top w:val="nil"/>
          <w:left w:val="nil"/>
          <w:right w:val="nil"/>
        </w:tblBorders>
        <w:tblLayout w:type="fixed"/>
        <w:tblLook w:val="0000" w:firstRow="0" w:lastRow="0" w:firstColumn="0" w:lastColumn="0" w:noHBand="0" w:noVBand="0"/>
      </w:tblPr>
      <w:tblGrid>
        <w:gridCol w:w="1908"/>
        <w:gridCol w:w="1908"/>
        <w:gridCol w:w="1170"/>
        <w:gridCol w:w="450"/>
        <w:gridCol w:w="1170"/>
      </w:tblGrid>
      <w:tr w:rsidR="00270C0C" w14:paraId="3BF7188F" w14:textId="77777777" w:rsidTr="00270C0C">
        <w:tblPrEx>
          <w:tblCellMar>
            <w:top w:w="0" w:type="dxa"/>
            <w:bottom w:w="0" w:type="dxa"/>
          </w:tblCellMar>
        </w:tblPrEx>
        <w:tc>
          <w:tcPr>
            <w:tcW w:w="1908" w:type="dxa"/>
            <w:tcBorders>
              <w:top w:val="single" w:sz="13" w:space="0" w:color="auto"/>
              <w:left w:val="single" w:sz="13" w:space="0" w:color="auto"/>
              <w:bottom w:val="single" w:sz="13" w:space="0" w:color="auto"/>
              <w:right w:val="single" w:sz="13" w:space="0" w:color="auto"/>
            </w:tcBorders>
            <w:vAlign w:val="center"/>
          </w:tcPr>
          <w:p w14:paraId="0FF6CBFE" w14:textId="73AF0F62" w:rsidR="00270C0C" w:rsidRDefault="00270C0C" w:rsidP="00A15F06">
            <w:pPr>
              <w:widowControl w:val="0"/>
              <w:autoSpaceDE w:val="0"/>
              <w:autoSpaceDN w:val="0"/>
              <w:adjustRightInd w:val="0"/>
              <w:spacing w:line="280" w:lineRule="atLeast"/>
              <w:rPr>
                <w:rFonts w:ascii="Times" w:hAnsi="Times" w:cs="Times"/>
                <w:b/>
                <w:bCs/>
                <w:szCs w:val="24"/>
              </w:rPr>
            </w:pPr>
            <w:r>
              <w:rPr>
                <w:rFonts w:ascii="Times" w:hAnsi="Times" w:cs="Times"/>
                <w:b/>
                <w:bCs/>
                <w:szCs w:val="24"/>
              </w:rPr>
              <w:t xml:space="preserve">Octets: variable </w:t>
            </w:r>
          </w:p>
        </w:tc>
        <w:tc>
          <w:tcPr>
            <w:tcW w:w="1908"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1749560B" w14:textId="07A64020" w:rsidR="00270C0C" w:rsidRDefault="00270C0C" w:rsidP="00A15F06">
            <w:pPr>
              <w:widowControl w:val="0"/>
              <w:autoSpaceDE w:val="0"/>
              <w:autoSpaceDN w:val="0"/>
              <w:adjustRightInd w:val="0"/>
              <w:spacing w:line="280" w:lineRule="atLeast"/>
              <w:rPr>
                <w:rFonts w:ascii="Times" w:hAnsi="Times" w:cs="Times"/>
                <w:szCs w:val="24"/>
              </w:rPr>
            </w:pPr>
            <w:r>
              <w:rPr>
                <w:rFonts w:ascii="Times" w:hAnsi="Times" w:cs="Times"/>
                <w:b/>
                <w:bCs/>
                <w:szCs w:val="24"/>
              </w:rPr>
              <w:t xml:space="preserve">Octets: variable </w:t>
            </w:r>
          </w:p>
        </w:tc>
        <w:tc>
          <w:tcPr>
            <w:tcW w:w="117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73769752" w14:textId="77777777" w:rsidR="00270C0C" w:rsidRDefault="00270C0C" w:rsidP="00A15F06">
            <w:pPr>
              <w:widowControl w:val="0"/>
              <w:autoSpaceDE w:val="0"/>
              <w:autoSpaceDN w:val="0"/>
              <w:adjustRightInd w:val="0"/>
              <w:spacing w:line="280" w:lineRule="atLeast"/>
              <w:rPr>
                <w:rFonts w:ascii="Times" w:hAnsi="Times" w:cs="Times"/>
                <w:szCs w:val="24"/>
              </w:rPr>
            </w:pPr>
            <w:r>
              <w:rPr>
                <w:rFonts w:ascii="Times" w:hAnsi="Times" w:cs="Times"/>
                <w:b/>
                <w:bCs/>
                <w:szCs w:val="24"/>
              </w:rPr>
              <w:t xml:space="preserve">variable </w:t>
            </w:r>
          </w:p>
        </w:tc>
        <w:tc>
          <w:tcPr>
            <w:tcW w:w="45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27980EE4" w14:textId="77777777" w:rsidR="00270C0C" w:rsidRDefault="00270C0C" w:rsidP="00A15F06">
            <w:pPr>
              <w:widowControl w:val="0"/>
              <w:autoSpaceDE w:val="0"/>
              <w:autoSpaceDN w:val="0"/>
              <w:adjustRightInd w:val="0"/>
              <w:spacing w:line="280" w:lineRule="atLeast"/>
              <w:rPr>
                <w:rFonts w:ascii="Times" w:hAnsi="Times" w:cs="Times"/>
                <w:szCs w:val="24"/>
              </w:rPr>
            </w:pPr>
            <w:r>
              <w:rPr>
                <w:rFonts w:ascii="Times" w:hAnsi="Times" w:cs="Times"/>
                <w:b/>
                <w:bCs/>
                <w:szCs w:val="24"/>
              </w:rPr>
              <w:t xml:space="preserve">... </w:t>
            </w:r>
          </w:p>
        </w:tc>
        <w:tc>
          <w:tcPr>
            <w:tcW w:w="117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0F7FFC1A" w14:textId="77777777" w:rsidR="00270C0C" w:rsidRDefault="00270C0C" w:rsidP="00A15F06">
            <w:pPr>
              <w:widowControl w:val="0"/>
              <w:autoSpaceDE w:val="0"/>
              <w:autoSpaceDN w:val="0"/>
              <w:adjustRightInd w:val="0"/>
              <w:spacing w:line="280" w:lineRule="atLeast"/>
              <w:rPr>
                <w:rFonts w:ascii="Times" w:hAnsi="Times" w:cs="Times"/>
                <w:szCs w:val="24"/>
              </w:rPr>
            </w:pPr>
            <w:r>
              <w:rPr>
                <w:rFonts w:ascii="Times" w:hAnsi="Times" w:cs="Times"/>
                <w:b/>
                <w:bCs/>
                <w:szCs w:val="24"/>
              </w:rPr>
              <w:t xml:space="preserve">variable </w:t>
            </w:r>
          </w:p>
        </w:tc>
      </w:tr>
      <w:tr w:rsidR="00270C0C" w14:paraId="3AC833DF" w14:textId="77777777" w:rsidTr="00270C0C">
        <w:tblPrEx>
          <w:tblCellMar>
            <w:top w:w="0" w:type="dxa"/>
            <w:bottom w:w="0" w:type="dxa"/>
          </w:tblCellMar>
        </w:tblPrEx>
        <w:tc>
          <w:tcPr>
            <w:tcW w:w="1908" w:type="dxa"/>
            <w:tcBorders>
              <w:top w:val="single" w:sz="13" w:space="0" w:color="auto"/>
              <w:left w:val="single" w:sz="13" w:space="0" w:color="auto"/>
              <w:bottom w:val="single" w:sz="13" w:space="0" w:color="auto"/>
              <w:right w:val="single" w:sz="13" w:space="0" w:color="auto"/>
            </w:tcBorders>
            <w:vAlign w:val="center"/>
          </w:tcPr>
          <w:p w14:paraId="375BEF7C" w14:textId="077977C3" w:rsidR="00270C0C" w:rsidRDefault="00270C0C" w:rsidP="00A15F06">
            <w:pPr>
              <w:widowControl w:val="0"/>
              <w:autoSpaceDE w:val="0"/>
              <w:autoSpaceDN w:val="0"/>
              <w:adjustRightInd w:val="0"/>
              <w:spacing w:line="300" w:lineRule="atLeast"/>
              <w:rPr>
                <w:szCs w:val="24"/>
              </w:rPr>
            </w:pPr>
            <w:r>
              <w:rPr>
                <w:szCs w:val="24"/>
              </w:rPr>
              <w:t xml:space="preserve">Payload IE </w:t>
            </w:r>
          </w:p>
        </w:tc>
        <w:tc>
          <w:tcPr>
            <w:tcW w:w="1908"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1175F8C0" w14:textId="09FC83E0" w:rsidR="00270C0C" w:rsidRDefault="00270C0C" w:rsidP="00A15F06">
            <w:pPr>
              <w:widowControl w:val="0"/>
              <w:autoSpaceDE w:val="0"/>
              <w:autoSpaceDN w:val="0"/>
              <w:adjustRightInd w:val="0"/>
              <w:spacing w:line="300" w:lineRule="atLeast"/>
              <w:rPr>
                <w:rFonts w:ascii="Times" w:hAnsi="Times" w:cs="Times"/>
                <w:szCs w:val="24"/>
              </w:rPr>
            </w:pPr>
            <w:r>
              <w:rPr>
                <w:szCs w:val="24"/>
              </w:rPr>
              <w:t xml:space="preserve">Nested IE </w:t>
            </w:r>
          </w:p>
        </w:tc>
        <w:tc>
          <w:tcPr>
            <w:tcW w:w="117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75D48635" w14:textId="77777777" w:rsidR="00270C0C" w:rsidRDefault="00270C0C" w:rsidP="00A15F06">
            <w:pPr>
              <w:widowControl w:val="0"/>
              <w:autoSpaceDE w:val="0"/>
              <w:autoSpaceDN w:val="0"/>
              <w:adjustRightInd w:val="0"/>
              <w:spacing w:line="300" w:lineRule="atLeast"/>
              <w:rPr>
                <w:rFonts w:ascii="Times" w:hAnsi="Times" w:cs="Times"/>
                <w:szCs w:val="24"/>
              </w:rPr>
            </w:pPr>
            <w:r>
              <w:rPr>
                <w:szCs w:val="24"/>
              </w:rPr>
              <w:t xml:space="preserve">Nested IE </w:t>
            </w:r>
          </w:p>
        </w:tc>
        <w:tc>
          <w:tcPr>
            <w:tcW w:w="45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752DA2C0" w14:textId="77777777" w:rsidR="00270C0C" w:rsidRDefault="00270C0C" w:rsidP="00A15F06">
            <w:pPr>
              <w:widowControl w:val="0"/>
              <w:autoSpaceDE w:val="0"/>
              <w:autoSpaceDN w:val="0"/>
              <w:adjustRightInd w:val="0"/>
              <w:spacing w:line="300" w:lineRule="atLeast"/>
              <w:rPr>
                <w:rFonts w:ascii="Times" w:hAnsi="Times" w:cs="Times"/>
                <w:szCs w:val="24"/>
              </w:rPr>
            </w:pPr>
            <w:r>
              <w:rPr>
                <w:szCs w:val="24"/>
              </w:rPr>
              <w:t xml:space="preserve">... </w:t>
            </w:r>
          </w:p>
        </w:tc>
        <w:tc>
          <w:tcPr>
            <w:tcW w:w="117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72C9978F" w14:textId="77777777" w:rsidR="00270C0C" w:rsidRDefault="00270C0C" w:rsidP="00A15F06">
            <w:pPr>
              <w:widowControl w:val="0"/>
              <w:autoSpaceDE w:val="0"/>
              <w:autoSpaceDN w:val="0"/>
              <w:adjustRightInd w:val="0"/>
              <w:spacing w:line="300" w:lineRule="atLeast"/>
              <w:rPr>
                <w:rFonts w:ascii="Times" w:hAnsi="Times" w:cs="Times"/>
                <w:szCs w:val="24"/>
              </w:rPr>
            </w:pPr>
            <w:r>
              <w:rPr>
                <w:szCs w:val="24"/>
              </w:rPr>
              <w:t xml:space="preserve">Nested IE </w:t>
            </w:r>
          </w:p>
        </w:tc>
      </w:tr>
    </w:tbl>
    <w:p w14:paraId="28FEDB74" w14:textId="52C0A123" w:rsidR="00A15F06" w:rsidRDefault="00270C0C" w:rsidP="00FE2415">
      <w:r>
        <w:t>Payload IE with concatenation of Nested IEs</w:t>
      </w:r>
    </w:p>
    <w:p w14:paraId="42F29AE0" w14:textId="77777777" w:rsidR="00270C0C" w:rsidRDefault="00270C0C" w:rsidP="00FE2415"/>
    <w:tbl>
      <w:tblPr>
        <w:tblW w:w="0" w:type="auto"/>
        <w:tblBorders>
          <w:top w:val="nil"/>
          <w:left w:val="nil"/>
          <w:right w:val="nil"/>
        </w:tblBorders>
        <w:tblLayout w:type="fixed"/>
        <w:tblLook w:val="0000" w:firstRow="0" w:lastRow="0" w:firstColumn="0" w:lastColumn="0" w:noHBand="0" w:noVBand="0"/>
      </w:tblPr>
      <w:tblGrid>
        <w:gridCol w:w="1098"/>
        <w:gridCol w:w="1022"/>
        <w:gridCol w:w="1138"/>
        <w:gridCol w:w="1620"/>
      </w:tblGrid>
      <w:tr w:rsidR="00A15F06" w14:paraId="261363C1" w14:textId="77777777" w:rsidTr="00A15F06">
        <w:tblPrEx>
          <w:tblCellMar>
            <w:top w:w="0" w:type="dxa"/>
            <w:bottom w:w="0" w:type="dxa"/>
          </w:tblCellMar>
        </w:tblPrEx>
        <w:tc>
          <w:tcPr>
            <w:tcW w:w="1098"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05EC07ED" w14:textId="77777777" w:rsidR="00A15F06" w:rsidRDefault="00A15F06" w:rsidP="00A15F06">
            <w:pPr>
              <w:widowControl w:val="0"/>
              <w:autoSpaceDE w:val="0"/>
              <w:autoSpaceDN w:val="0"/>
              <w:adjustRightInd w:val="0"/>
              <w:spacing w:line="280" w:lineRule="atLeast"/>
              <w:rPr>
                <w:rFonts w:ascii="Times" w:hAnsi="Times" w:cs="Times"/>
                <w:szCs w:val="24"/>
              </w:rPr>
            </w:pPr>
            <w:r>
              <w:rPr>
                <w:rFonts w:ascii="Times" w:hAnsi="Times" w:cs="Times"/>
                <w:b/>
                <w:bCs/>
                <w:szCs w:val="24"/>
              </w:rPr>
              <w:t xml:space="preserve">Bits: 0-7 </w:t>
            </w:r>
          </w:p>
        </w:tc>
        <w:tc>
          <w:tcPr>
            <w:tcW w:w="1022"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4AF8CF9C" w14:textId="77777777" w:rsidR="00A15F06" w:rsidRDefault="00A15F06" w:rsidP="00A15F06">
            <w:pPr>
              <w:widowControl w:val="0"/>
              <w:autoSpaceDE w:val="0"/>
              <w:autoSpaceDN w:val="0"/>
              <w:adjustRightInd w:val="0"/>
              <w:spacing w:line="280" w:lineRule="atLeast"/>
              <w:rPr>
                <w:rFonts w:ascii="Times" w:hAnsi="Times" w:cs="Times"/>
                <w:szCs w:val="24"/>
              </w:rPr>
            </w:pPr>
            <w:r>
              <w:rPr>
                <w:rFonts w:ascii="Times" w:hAnsi="Times" w:cs="Times"/>
                <w:b/>
                <w:bCs/>
                <w:szCs w:val="24"/>
              </w:rPr>
              <w:t xml:space="preserve">8-14 </w:t>
            </w:r>
          </w:p>
        </w:tc>
        <w:tc>
          <w:tcPr>
            <w:tcW w:w="1138"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46417C92" w14:textId="77777777" w:rsidR="00A15F06" w:rsidRDefault="00A15F06" w:rsidP="00A15F06">
            <w:pPr>
              <w:widowControl w:val="0"/>
              <w:autoSpaceDE w:val="0"/>
              <w:autoSpaceDN w:val="0"/>
              <w:adjustRightInd w:val="0"/>
              <w:spacing w:line="280" w:lineRule="atLeast"/>
              <w:rPr>
                <w:rFonts w:ascii="Times" w:hAnsi="Times" w:cs="Times"/>
                <w:szCs w:val="24"/>
              </w:rPr>
            </w:pPr>
            <w:r>
              <w:rPr>
                <w:rFonts w:ascii="Times" w:hAnsi="Times" w:cs="Times"/>
                <w:b/>
                <w:bCs/>
                <w:szCs w:val="24"/>
              </w:rPr>
              <w:t xml:space="preserve">15 </w:t>
            </w:r>
          </w:p>
        </w:tc>
        <w:tc>
          <w:tcPr>
            <w:tcW w:w="162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5954D244" w14:textId="77777777" w:rsidR="00A15F06" w:rsidRDefault="00A15F06" w:rsidP="00A15F06">
            <w:pPr>
              <w:widowControl w:val="0"/>
              <w:autoSpaceDE w:val="0"/>
              <w:autoSpaceDN w:val="0"/>
              <w:adjustRightInd w:val="0"/>
              <w:spacing w:line="280" w:lineRule="atLeast"/>
              <w:rPr>
                <w:rFonts w:ascii="Times" w:hAnsi="Times" w:cs="Times"/>
                <w:szCs w:val="24"/>
              </w:rPr>
            </w:pPr>
            <w:r>
              <w:rPr>
                <w:rFonts w:ascii="Times" w:hAnsi="Times" w:cs="Times"/>
                <w:b/>
                <w:bCs/>
                <w:szCs w:val="24"/>
              </w:rPr>
              <w:t xml:space="preserve">Octets: 0-255 </w:t>
            </w:r>
          </w:p>
        </w:tc>
      </w:tr>
      <w:tr w:rsidR="00A15F06" w14:paraId="79E85BD8" w14:textId="77777777" w:rsidTr="00A15F06">
        <w:tblPrEx>
          <w:tblCellMar>
            <w:top w:w="0" w:type="dxa"/>
            <w:bottom w:w="0" w:type="dxa"/>
          </w:tblCellMar>
        </w:tblPrEx>
        <w:tc>
          <w:tcPr>
            <w:tcW w:w="1098"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50E6AFEA" w14:textId="77777777" w:rsidR="00A15F06" w:rsidRDefault="00A15F06" w:rsidP="00A15F06">
            <w:pPr>
              <w:widowControl w:val="0"/>
              <w:autoSpaceDE w:val="0"/>
              <w:autoSpaceDN w:val="0"/>
              <w:adjustRightInd w:val="0"/>
              <w:spacing w:line="300" w:lineRule="atLeast"/>
              <w:rPr>
                <w:rFonts w:ascii="Times" w:hAnsi="Times" w:cs="Times"/>
                <w:szCs w:val="24"/>
              </w:rPr>
            </w:pPr>
            <w:r>
              <w:rPr>
                <w:szCs w:val="24"/>
              </w:rPr>
              <w:t xml:space="preserve">Length </w:t>
            </w:r>
          </w:p>
        </w:tc>
        <w:tc>
          <w:tcPr>
            <w:tcW w:w="1022"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3CF784D1" w14:textId="77777777" w:rsidR="00A15F06" w:rsidRDefault="00A15F06" w:rsidP="00A15F06">
            <w:pPr>
              <w:widowControl w:val="0"/>
              <w:autoSpaceDE w:val="0"/>
              <w:autoSpaceDN w:val="0"/>
              <w:adjustRightInd w:val="0"/>
              <w:spacing w:line="300" w:lineRule="atLeast"/>
              <w:rPr>
                <w:rFonts w:ascii="Times" w:hAnsi="Times" w:cs="Times"/>
                <w:szCs w:val="24"/>
              </w:rPr>
            </w:pPr>
            <w:r>
              <w:rPr>
                <w:szCs w:val="24"/>
              </w:rPr>
              <w:t xml:space="preserve">Sub-ID </w:t>
            </w:r>
          </w:p>
        </w:tc>
        <w:tc>
          <w:tcPr>
            <w:tcW w:w="1138"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7EAF1379" w14:textId="77777777" w:rsidR="00A15F06" w:rsidRDefault="00A15F06" w:rsidP="00A15F06">
            <w:pPr>
              <w:widowControl w:val="0"/>
              <w:autoSpaceDE w:val="0"/>
              <w:autoSpaceDN w:val="0"/>
              <w:adjustRightInd w:val="0"/>
              <w:spacing w:line="300" w:lineRule="atLeast"/>
              <w:rPr>
                <w:rFonts w:ascii="Times" w:hAnsi="Times" w:cs="Times"/>
                <w:szCs w:val="24"/>
              </w:rPr>
            </w:pPr>
            <w:r>
              <w:rPr>
                <w:szCs w:val="24"/>
              </w:rPr>
              <w:t xml:space="preserve">Type = 0 </w:t>
            </w:r>
          </w:p>
        </w:tc>
        <w:tc>
          <w:tcPr>
            <w:tcW w:w="162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1D8B0916" w14:textId="77777777" w:rsidR="00A15F06" w:rsidRDefault="00A15F06" w:rsidP="00A15F06">
            <w:pPr>
              <w:widowControl w:val="0"/>
              <w:autoSpaceDE w:val="0"/>
              <w:autoSpaceDN w:val="0"/>
              <w:adjustRightInd w:val="0"/>
              <w:spacing w:line="300" w:lineRule="atLeast"/>
              <w:rPr>
                <w:rFonts w:ascii="Times" w:hAnsi="Times" w:cs="Times"/>
                <w:szCs w:val="24"/>
              </w:rPr>
            </w:pPr>
            <w:r>
              <w:rPr>
                <w:szCs w:val="24"/>
              </w:rPr>
              <w:t xml:space="preserve">Content </w:t>
            </w:r>
          </w:p>
        </w:tc>
      </w:tr>
    </w:tbl>
    <w:p w14:paraId="2B7A8BDF" w14:textId="0963BFC5" w:rsidR="00A15F06" w:rsidRDefault="00270C0C" w:rsidP="00FE2415">
      <w:r>
        <w:t>Nested IE</w:t>
      </w:r>
    </w:p>
    <w:p w14:paraId="5272F78C" w14:textId="77777777" w:rsidR="00E846A7" w:rsidRDefault="00E846A7" w:rsidP="00FE2415"/>
    <w:p w14:paraId="1EF95406" w14:textId="3F0223A6" w:rsidR="00E846A7" w:rsidRDefault="00E846A7" w:rsidP="00E846A7">
      <w:pPr>
        <w:rPr>
          <w:b/>
        </w:rPr>
      </w:pPr>
      <w:r>
        <w:rPr>
          <w:b/>
        </w:rPr>
        <w:t>Security</w:t>
      </w:r>
    </w:p>
    <w:p w14:paraId="450CAD52" w14:textId="77777777" w:rsidR="00E846A7" w:rsidRPr="00E846A7" w:rsidRDefault="00E846A7" w:rsidP="00E846A7">
      <w:r w:rsidRPr="00E846A7">
        <w:rPr>
          <w:bCs/>
        </w:rPr>
        <w:t>Join Process:</w:t>
      </w:r>
    </w:p>
    <w:p w14:paraId="1261ED02" w14:textId="77777777" w:rsidR="00000000" w:rsidRPr="00E846A7" w:rsidRDefault="00E846A7" w:rsidP="00E846A7">
      <w:pPr>
        <w:numPr>
          <w:ilvl w:val="0"/>
          <w:numId w:val="8"/>
        </w:numPr>
      </w:pPr>
      <w:r w:rsidRPr="00E846A7">
        <w:rPr>
          <w:bCs/>
        </w:rPr>
        <w:t>PANA</w:t>
      </w:r>
    </w:p>
    <w:p w14:paraId="51CE2929" w14:textId="77777777" w:rsidR="00000000" w:rsidRPr="00E846A7" w:rsidRDefault="00E846A7" w:rsidP="00E846A7">
      <w:pPr>
        <w:numPr>
          <w:ilvl w:val="1"/>
          <w:numId w:val="8"/>
        </w:numPr>
      </w:pPr>
      <w:r w:rsidRPr="00E846A7">
        <w:t>More than just restricted forwarding rules and hooks for the upper layers, it also involves resource</w:t>
      </w:r>
      <w:r w:rsidRPr="00E846A7">
        <w:t xml:space="preserve"> isolation at the lower layers to help ensure that unauthorized traffic cannot interfere with authorized traffic</w:t>
      </w:r>
    </w:p>
    <w:p w14:paraId="6D0DF603" w14:textId="77777777" w:rsidR="00000000" w:rsidRPr="00E846A7" w:rsidRDefault="00E846A7" w:rsidP="00E846A7">
      <w:pPr>
        <w:numPr>
          <w:ilvl w:val="0"/>
          <w:numId w:val="8"/>
        </w:numPr>
      </w:pPr>
      <w:r w:rsidRPr="00E846A7">
        <w:rPr>
          <w:bCs/>
        </w:rPr>
        <w:lastRenderedPageBreak/>
        <w:t>802.15.9 KMP</w:t>
      </w:r>
    </w:p>
    <w:p w14:paraId="4BA3D56A" w14:textId="77777777" w:rsidR="00000000" w:rsidRPr="00E846A7" w:rsidRDefault="00E846A7" w:rsidP="00E846A7">
      <w:pPr>
        <w:numPr>
          <w:ilvl w:val="1"/>
          <w:numId w:val="8"/>
        </w:numPr>
      </w:pPr>
      <w:r w:rsidRPr="00E846A7">
        <w:t>The main use of PANA in 802.15.9 is for provisioning the link-layer credentials (LLCs) to the joining node, where the LLCs can be of any type including shared key and public key credentials</w:t>
      </w:r>
    </w:p>
    <w:p w14:paraId="673F14F4" w14:textId="77777777" w:rsidR="00000000" w:rsidRPr="00E846A7" w:rsidRDefault="00E846A7" w:rsidP="00E846A7">
      <w:pPr>
        <w:numPr>
          <w:ilvl w:val="1"/>
          <w:numId w:val="8"/>
        </w:numPr>
      </w:pPr>
      <w:r w:rsidRPr="00E846A7">
        <w:t>While PANA can be used for both bootstrapping and link-establishment, this document provides the guidelines for the use of PANA as a bootstrapping KMP</w:t>
      </w:r>
    </w:p>
    <w:p w14:paraId="7A13BF7C" w14:textId="77777777" w:rsidR="00000000" w:rsidRPr="00E846A7" w:rsidRDefault="00E846A7" w:rsidP="00E846A7">
      <w:pPr>
        <w:numPr>
          <w:ilvl w:val="0"/>
          <w:numId w:val="8"/>
        </w:numPr>
      </w:pPr>
      <w:r w:rsidRPr="00E846A7">
        <w:rPr>
          <w:bCs/>
        </w:rPr>
        <w:t>Metrics to evaluate secure join me</w:t>
      </w:r>
      <w:r w:rsidRPr="00E846A7">
        <w:rPr>
          <w:bCs/>
        </w:rPr>
        <w:t>chanism</w:t>
      </w:r>
    </w:p>
    <w:p w14:paraId="62A5F8FF" w14:textId="77777777" w:rsidR="00000000" w:rsidRPr="00E846A7" w:rsidRDefault="00E846A7" w:rsidP="00E846A7">
      <w:pPr>
        <w:numPr>
          <w:ilvl w:val="1"/>
          <w:numId w:val="8"/>
        </w:numPr>
      </w:pPr>
      <w:r w:rsidRPr="00E846A7">
        <w:t>So IMO the key metric is the duration of the overall process, network-wise. Percentage of battery consumed was not the best metric to consider as it clearly depends on the capacit</w:t>
      </w:r>
      <w:r w:rsidRPr="00E846A7">
        <w:t>y of your battery. The duty cycle with minimal schedule during joining will probably be on the order of 10-15% (1/11, 1/7 cells). That means that 10-15% of time you will be wasting energy listening to the transmissions of others, collisions, retransmission</w:t>
      </w:r>
      <w:r w:rsidRPr="00E846A7">
        <w:t>s, the duration of which depends on the number of nodes contending for the minimal cell and obviously the traffic load per node</w:t>
      </w:r>
    </w:p>
    <w:p w14:paraId="144E3FB5" w14:textId="77777777" w:rsidR="00000000" w:rsidRPr="00E846A7" w:rsidRDefault="00E846A7" w:rsidP="00E846A7">
      <w:pPr>
        <w:numPr>
          <w:ilvl w:val="1"/>
          <w:numId w:val="8"/>
        </w:numPr>
      </w:pPr>
      <w:r w:rsidRPr="00E846A7">
        <w:t>It’s not that we do not care it, but as the joining process is</w:t>
      </w:r>
      <w:r w:rsidRPr="00E846A7">
        <w:t xml:space="preserve"> done only once, it is so small amount of actual network lifetime. For example, if the joining process takes an hour for the 100 node network, and the network is then up and running for a year, before next maintenance cycle, that is 0.01% of the lifetime o</w:t>
      </w:r>
      <w:r w:rsidRPr="00E846A7">
        <w:t>f the network.</w:t>
      </w:r>
    </w:p>
    <w:p w14:paraId="18EEB9E7" w14:textId="77777777" w:rsidR="00000000" w:rsidRPr="00E846A7" w:rsidRDefault="00E846A7" w:rsidP="00E846A7">
      <w:pPr>
        <w:numPr>
          <w:ilvl w:val="0"/>
          <w:numId w:val="8"/>
        </w:numPr>
      </w:pPr>
      <w:r w:rsidRPr="00E846A7">
        <w:rPr>
          <w:bCs/>
        </w:rPr>
        <w:t>Use of well-known key for beacons</w:t>
      </w:r>
    </w:p>
    <w:p w14:paraId="52270BF2" w14:textId="77777777" w:rsidR="00E846A7" w:rsidRPr="00E846A7" w:rsidRDefault="00E846A7" w:rsidP="00E846A7">
      <w:pPr>
        <w:rPr>
          <w:b/>
        </w:rPr>
      </w:pPr>
    </w:p>
    <w:p w14:paraId="3E042496" w14:textId="3FFC6E7A" w:rsidR="00E846A7" w:rsidRPr="00E846A7" w:rsidRDefault="00E846A7" w:rsidP="00E846A7">
      <w:pPr>
        <w:rPr>
          <w:b/>
        </w:rPr>
      </w:pPr>
    </w:p>
    <w:p w14:paraId="78F5B518" w14:textId="4D5B2E18" w:rsidR="00E846A7" w:rsidRPr="00E846A7" w:rsidRDefault="00E846A7" w:rsidP="00E846A7">
      <w:pPr>
        <w:rPr>
          <w:b/>
        </w:rPr>
      </w:pPr>
      <w:r w:rsidRPr="00E846A7">
        <w:rPr>
          <w:b/>
        </w:rPr>
        <w:t>LLC impact on 6tisch</w:t>
      </w:r>
    </w:p>
    <w:p w14:paraId="520170D2" w14:textId="77777777" w:rsidR="00E846A7" w:rsidRPr="00E846A7" w:rsidRDefault="00E846A7" w:rsidP="00E846A7">
      <w:pPr>
        <w:pStyle w:val="ListParagraph"/>
        <w:numPr>
          <w:ilvl w:val="0"/>
          <w:numId w:val="3"/>
        </w:numPr>
      </w:pPr>
      <w:r w:rsidRPr="00E846A7">
        <w:t>Commentary</w:t>
      </w:r>
    </w:p>
    <w:p w14:paraId="1C520368" w14:textId="77777777" w:rsidR="00000000" w:rsidRPr="00E846A7" w:rsidRDefault="00E846A7" w:rsidP="00E846A7">
      <w:pPr>
        <w:pStyle w:val="ListParagraph"/>
        <w:numPr>
          <w:ilvl w:val="0"/>
          <w:numId w:val="3"/>
        </w:numPr>
      </w:pPr>
      <w:r w:rsidRPr="00E846A7">
        <w:t>IETF AD seemed irritated that advance notice of the LLC group formation had not been given to him</w:t>
      </w:r>
    </w:p>
    <w:p w14:paraId="11595B77" w14:textId="77777777" w:rsidR="00000000" w:rsidRPr="00E846A7" w:rsidRDefault="00E846A7" w:rsidP="00E846A7">
      <w:pPr>
        <w:pStyle w:val="ListParagraph"/>
        <w:numPr>
          <w:ilvl w:val="0"/>
          <w:numId w:val="3"/>
        </w:numPr>
      </w:pPr>
      <w:r w:rsidRPr="00E846A7">
        <w:t>Significant confusion a</w:t>
      </w:r>
      <w:r w:rsidRPr="00E846A7">
        <w:t>s to the LLC’s impact on IETF efforts such as 6tisch and 6lo, i.e. will LLC define new and different versions of 6tisch and 6lo?</w:t>
      </w:r>
    </w:p>
    <w:p w14:paraId="2C169DED" w14:textId="77777777" w:rsidR="00E846A7" w:rsidRPr="00E846A7" w:rsidRDefault="00E846A7" w:rsidP="00E846A7">
      <w:pPr>
        <w:pStyle w:val="ListParagraph"/>
        <w:numPr>
          <w:ilvl w:val="0"/>
          <w:numId w:val="3"/>
        </w:numPr>
      </w:pPr>
      <w:r w:rsidRPr="00E846A7">
        <w:t>Announcement of 802.15.12 (LLC) effort in the IEEE</w:t>
      </w:r>
    </w:p>
    <w:p w14:paraId="7AB561B0" w14:textId="77777777" w:rsidR="00000000" w:rsidRPr="00E846A7" w:rsidRDefault="00E846A7" w:rsidP="00E846A7">
      <w:pPr>
        <w:pStyle w:val="ListParagraph"/>
        <w:numPr>
          <w:ilvl w:val="0"/>
          <w:numId w:val="3"/>
        </w:numPr>
      </w:pPr>
      <w:r w:rsidRPr="00E846A7">
        <w:t>LLC Interest Group has progressed to a Study Group that had first meeting recently.</w:t>
      </w:r>
    </w:p>
    <w:p w14:paraId="1B719FEA" w14:textId="77777777" w:rsidR="00000000" w:rsidRPr="00E846A7" w:rsidRDefault="00E846A7" w:rsidP="00E846A7">
      <w:pPr>
        <w:pStyle w:val="ListParagraph"/>
        <w:numPr>
          <w:ilvl w:val="0"/>
          <w:numId w:val="3"/>
        </w:numPr>
      </w:pPr>
      <w:r w:rsidRPr="00E846A7">
        <w:t>general goal is to make 15.4 easier to use. Right</w:t>
      </w:r>
      <w:r w:rsidRPr="00E846A7">
        <w:t xml:space="preserve"> now, a lot left to implementers</w:t>
      </w:r>
    </w:p>
    <w:p w14:paraId="71109AF6" w14:textId="77777777" w:rsidR="00000000" w:rsidRPr="00E846A7" w:rsidRDefault="00E846A7" w:rsidP="00E846A7">
      <w:pPr>
        <w:pStyle w:val="ListParagraph"/>
        <w:numPr>
          <w:ilvl w:val="0"/>
          <w:numId w:val="3"/>
        </w:numPr>
      </w:pPr>
      <w:r w:rsidRPr="00E846A7">
        <w:t xml:space="preserve">on the </w:t>
      </w:r>
      <w:proofErr w:type="spellStart"/>
      <w:r w:rsidRPr="00E846A7">
        <w:t>todo</w:t>
      </w:r>
      <w:proofErr w:type="spellEnd"/>
      <w:r w:rsidRPr="00E846A7">
        <w:t xml:space="preserve"> list: dispatch code (a la Ethertype), 15.9 and 15.10 alignment with LLC, etc.</w:t>
      </w:r>
    </w:p>
    <w:p w14:paraId="2515D019" w14:textId="77777777" w:rsidR="00000000" w:rsidRPr="00E846A7" w:rsidRDefault="00E846A7" w:rsidP="00E846A7">
      <w:pPr>
        <w:pStyle w:val="ListParagraph"/>
        <w:numPr>
          <w:ilvl w:val="0"/>
          <w:numId w:val="3"/>
        </w:numPr>
      </w:pPr>
      <w:r w:rsidRPr="00E846A7">
        <w:t>i</w:t>
      </w:r>
      <w:r w:rsidRPr="00E846A7">
        <w:t>nterface for Key Management Protocol (KMP) and L2 routing.</w:t>
      </w:r>
    </w:p>
    <w:p w14:paraId="50DD04F4" w14:textId="77777777" w:rsidR="00000000" w:rsidRPr="00E846A7" w:rsidRDefault="00E846A7" w:rsidP="00E846A7">
      <w:pPr>
        <w:pStyle w:val="ListParagraph"/>
        <w:numPr>
          <w:ilvl w:val="0"/>
          <w:numId w:val="3"/>
        </w:numPr>
      </w:pPr>
      <w:r w:rsidRPr="00E846A7">
        <w:t>802.15 has growing awareness of 6TiSCH thanks to 6TiSCH interest group at IEEE, that reports at every meeting about 6TiSCH progress</w:t>
      </w:r>
    </w:p>
    <w:p w14:paraId="4A13F57B" w14:textId="77777777" w:rsidR="00000000" w:rsidRPr="00E846A7" w:rsidRDefault="00E846A7" w:rsidP="00E846A7">
      <w:pPr>
        <w:pStyle w:val="ListParagraph"/>
        <w:numPr>
          <w:ilvl w:val="0"/>
          <w:numId w:val="3"/>
        </w:numPr>
      </w:pPr>
      <w:r w:rsidRPr="00E846A7">
        <w:t>provides link to presentation on LLC on IEEE side</w:t>
      </w:r>
    </w:p>
    <w:p w14:paraId="7ABD5EA6" w14:textId="77777777" w:rsidR="00000000" w:rsidRPr="00E846A7" w:rsidRDefault="00E846A7" w:rsidP="00E846A7">
      <w:pPr>
        <w:pStyle w:val="ListParagraph"/>
        <w:numPr>
          <w:ilvl w:val="0"/>
          <w:numId w:val="3"/>
        </w:numPr>
      </w:pPr>
      <w:r w:rsidRPr="00E846A7">
        <w:t xml:space="preserve">at January meeting: submit PAR and CSD </w:t>
      </w:r>
    </w:p>
    <w:p w14:paraId="4DE506E2" w14:textId="77777777" w:rsidR="00000000" w:rsidRPr="00E846A7" w:rsidRDefault="00E846A7" w:rsidP="00E846A7">
      <w:pPr>
        <w:pStyle w:val="ListParagraph"/>
        <w:numPr>
          <w:ilvl w:val="0"/>
          <w:numId w:val="3"/>
        </w:numPr>
      </w:pPr>
      <w:r w:rsidRPr="00E846A7">
        <w:t>how is it organized? 802.15.12 will not be merged into 802.15.4 release?</w:t>
      </w:r>
    </w:p>
    <w:p w14:paraId="6645DA40" w14:textId="77777777" w:rsidR="00000000" w:rsidRPr="00E846A7" w:rsidRDefault="00E846A7" w:rsidP="00E846A7">
      <w:pPr>
        <w:pStyle w:val="ListParagraph"/>
        <w:numPr>
          <w:ilvl w:val="0"/>
          <w:numId w:val="3"/>
        </w:numPr>
      </w:pPr>
      <w:r w:rsidRPr="00E846A7">
        <w:t>802.15.12 and 802.15.4 would have reasonably distinct content so they can be kept se</w:t>
      </w:r>
      <w:r w:rsidRPr="00E846A7">
        <w:t>parated. LLC work would be delivered separately from 802.15.4 and not wrapped into 802.15.4 revisions.</w:t>
      </w:r>
    </w:p>
    <w:p w14:paraId="20D2B466" w14:textId="77777777" w:rsidR="00000000" w:rsidRPr="00E846A7" w:rsidRDefault="00E846A7" w:rsidP="00E846A7">
      <w:pPr>
        <w:pStyle w:val="ListParagraph"/>
        <w:numPr>
          <w:ilvl w:val="0"/>
          <w:numId w:val="3"/>
        </w:numPr>
      </w:pPr>
      <w:r w:rsidRPr="00E846A7">
        <w:t>at 6TiSCH, we plan on just continuing our work at the current fast pace. Discussion and</w:t>
      </w:r>
      <w:r w:rsidRPr="00E846A7">
        <w:t xml:space="preserve"> coordination with IEEE will happen in parallel.</w:t>
      </w:r>
    </w:p>
    <w:p w14:paraId="4E5F7D27" w14:textId="77777777" w:rsidR="00000000" w:rsidRPr="00E846A7" w:rsidRDefault="00E846A7" w:rsidP="00E846A7">
      <w:pPr>
        <w:pStyle w:val="ListParagraph"/>
        <w:numPr>
          <w:ilvl w:val="0"/>
          <w:numId w:val="3"/>
        </w:numPr>
      </w:pPr>
      <w:r w:rsidRPr="00E846A7">
        <w:lastRenderedPageBreak/>
        <w:t>agreement that both groups want the same thing. Other "customers" also out there. 6TiSCH is a primary customer that LLC wants to keep satisfi</w:t>
      </w:r>
      <w:r w:rsidRPr="00E846A7">
        <w:t>ed</w:t>
      </w:r>
    </w:p>
    <w:p w14:paraId="1B54FEFF" w14:textId="77777777" w:rsidR="00E846A7" w:rsidRDefault="00E846A7" w:rsidP="00EE51F0">
      <w:pPr>
        <w:rPr>
          <w:b/>
        </w:rPr>
      </w:pPr>
    </w:p>
    <w:p w14:paraId="6AC4FFD6" w14:textId="26C74073" w:rsidR="00E846A7" w:rsidRDefault="00E846A7" w:rsidP="00EE51F0">
      <w:pPr>
        <w:rPr>
          <w:b/>
        </w:rPr>
      </w:pPr>
      <w:proofErr w:type="spellStart"/>
      <w:r>
        <w:rPr>
          <w:b/>
        </w:rPr>
        <w:t>ReCharter</w:t>
      </w:r>
      <w:proofErr w:type="spellEnd"/>
    </w:p>
    <w:p w14:paraId="4A5FA044" w14:textId="77777777" w:rsidR="00E846A7" w:rsidRPr="00E846A7" w:rsidRDefault="00E846A7" w:rsidP="00E846A7">
      <w:r w:rsidRPr="00E846A7">
        <w:t xml:space="preserve">Three new work items:  dynamic scheduling (6top, SF0), secure bootstrap, track definition and DetNet requirements </w:t>
      </w:r>
    </w:p>
    <w:p w14:paraId="51943E06" w14:textId="77777777" w:rsidR="00000000" w:rsidRPr="00E846A7" w:rsidRDefault="00E846A7" w:rsidP="00E846A7">
      <w:pPr>
        <w:numPr>
          <w:ilvl w:val="0"/>
          <w:numId w:val="7"/>
        </w:numPr>
      </w:pPr>
      <w:r w:rsidRPr="00E846A7">
        <w:t>Produce "6TiSCH architecture" to describe the design of 6TiSCH networks. This document will highlight the different architectural blocks and signaling flows, including the operation of the network in the presence of multiple LBRs. The existing document wil</w:t>
      </w:r>
      <w:r w:rsidRPr="00E846A7">
        <w:t xml:space="preserve">l be augmented to cover dynamic scheduling and application of the DetNet work. </w:t>
      </w:r>
    </w:p>
    <w:p w14:paraId="3F1C468B" w14:textId="77777777" w:rsidR="00000000" w:rsidRPr="00E846A7" w:rsidRDefault="00E846A7" w:rsidP="00E846A7">
      <w:pPr>
        <w:numPr>
          <w:ilvl w:val="0"/>
          <w:numId w:val="7"/>
        </w:numPr>
      </w:pPr>
      <w:r w:rsidRPr="00E846A7">
        <w:t>Describe the mechanisms offered by the 6top sublayer. This includes a protocol for neighbor nodes to negotiat</w:t>
      </w:r>
      <w:r w:rsidRPr="00E846A7">
        <w:t xml:space="preserve">e adding/removing cells. The work on the protocol and associate packet formats could be continued at the IEEE. </w:t>
      </w:r>
    </w:p>
    <w:p w14:paraId="3ACB1E95" w14:textId="77777777" w:rsidR="00000000" w:rsidRPr="00E846A7" w:rsidRDefault="00E846A7" w:rsidP="00E846A7">
      <w:pPr>
        <w:numPr>
          <w:ilvl w:val="0"/>
          <w:numId w:val="7"/>
        </w:numPr>
      </w:pPr>
      <w:r w:rsidRPr="00E846A7">
        <w:t xml:space="preserve">Produce a specification for a default 6top Scheduling Function including the </w:t>
      </w:r>
      <w:r w:rsidRPr="00E846A7">
        <w:t xml:space="preserve">policy to enable distributed dynamic scheduling of time slots for </w:t>
      </w:r>
      <w:r w:rsidRPr="00E846A7">
        <w:rPr>
          <w:bCs/>
        </w:rPr>
        <w:t>IP traffic</w:t>
      </w:r>
      <w:r w:rsidRPr="00E846A7">
        <w:t>. This may include the capability for IoT route</w:t>
      </w:r>
      <w:r w:rsidRPr="00E846A7">
        <w:t>rs to appropriate chunks of the matrix without starving, or interfering with other 6TiSCH nodes. This particular work will focus on IP traffic since the work on tracks is not yet advanced enough to specify their requirements for dynamic scheduling operatio</w:t>
      </w:r>
      <w:r w:rsidRPr="00E846A7">
        <w:t xml:space="preserve">ns. </w:t>
      </w:r>
    </w:p>
    <w:p w14:paraId="1D611D09" w14:textId="77777777" w:rsidR="00000000" w:rsidRPr="00E846A7" w:rsidRDefault="00E846A7" w:rsidP="00E846A7">
      <w:pPr>
        <w:numPr>
          <w:ilvl w:val="0"/>
          <w:numId w:val="7"/>
        </w:numPr>
      </w:pPr>
      <w:r w:rsidRPr="00E846A7">
        <w:t>Produce a specification for a secure 6TiSCH network bootstrap, adapted to the constraints of 6TiSCH nodes and leveraging existing art when possible.</w:t>
      </w:r>
    </w:p>
    <w:p w14:paraId="31A3B31E" w14:textId="77777777" w:rsidR="00000000" w:rsidRPr="00E846A7" w:rsidRDefault="00E846A7" w:rsidP="00E846A7">
      <w:pPr>
        <w:numPr>
          <w:ilvl w:val="0"/>
          <w:numId w:val="7"/>
        </w:numPr>
      </w:pPr>
      <w:r w:rsidRPr="00E846A7">
        <w:t xml:space="preserve">Produce requirements to the DetNet WG, detailing 6TiSCH chunks and tracks, and the data models to manipulate them from an external controller such as a PCE. </w:t>
      </w:r>
    </w:p>
    <w:p w14:paraId="43F7FA95" w14:textId="77777777" w:rsidR="00E846A7" w:rsidRDefault="00E846A7" w:rsidP="00EE51F0">
      <w:pPr>
        <w:rPr>
          <w:b/>
        </w:rPr>
      </w:pPr>
    </w:p>
    <w:p w14:paraId="73523D33" w14:textId="3502B574" w:rsidR="00E846A7" w:rsidRDefault="00E846A7" w:rsidP="00EE51F0">
      <w:pPr>
        <w:rPr>
          <w:b/>
        </w:rPr>
      </w:pPr>
    </w:p>
    <w:p w14:paraId="70AD3E76" w14:textId="5D0CD536" w:rsidR="00127345" w:rsidRPr="0087041B" w:rsidRDefault="00813D0D" w:rsidP="00EE51F0">
      <w:r>
        <w:rPr>
          <w:b/>
        </w:rPr>
        <w:t>1</w:t>
      </w:r>
      <w:r w:rsidR="00E846A7">
        <w:rPr>
          <w:b/>
        </w:rPr>
        <w:t>5:3</w:t>
      </w:r>
      <w:bookmarkStart w:id="1" w:name="_GoBack"/>
      <w:bookmarkEnd w:id="1"/>
      <w:r w:rsidR="00175C0C">
        <w:rPr>
          <w:b/>
        </w:rPr>
        <w:t>0</w:t>
      </w:r>
      <w:r w:rsidR="00BA06C3">
        <w:tab/>
        <w:t>Meeting adjourned</w:t>
      </w:r>
    </w:p>
    <w:sectPr w:rsidR="00127345" w:rsidRPr="0087041B" w:rsidSect="00270C0C">
      <w:headerReference w:type="default" r:id="rId11"/>
      <w:footerReference w:type="default" r:id="rId12"/>
      <w:headerReference w:type="first" r:id="rId13"/>
      <w:footerReference w:type="first" r:id="rId14"/>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270C0C" w:rsidRDefault="00270C0C">
      <w:r>
        <w:separator/>
      </w:r>
    </w:p>
  </w:endnote>
  <w:endnote w:type="continuationSeparator" w:id="0">
    <w:p w14:paraId="4F54E8ED" w14:textId="77777777" w:rsidR="00270C0C" w:rsidRDefault="0027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270C0C" w:rsidRDefault="00270C0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270C0C" w:rsidRDefault="00270C0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270C0C" w:rsidRDefault="00270C0C">
      <w:r>
        <w:separator/>
      </w:r>
    </w:p>
  </w:footnote>
  <w:footnote w:type="continuationSeparator" w:id="0">
    <w:p w14:paraId="729368E6" w14:textId="77777777" w:rsidR="00270C0C" w:rsidRDefault="00270C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270C0C" w:rsidRDefault="00270C0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2015</w:t>
    </w:r>
    <w:r>
      <w:rPr>
        <w:b/>
        <w:sz w:val="28"/>
      </w:rPr>
      <w:fldChar w:fldCharType="end"/>
    </w:r>
    <w:r>
      <w:rPr>
        <w:b/>
        <w:sz w:val="28"/>
      </w:rPr>
      <w:tab/>
      <w:t xml:space="preserve"> IEEE P802.15-</w:t>
    </w:r>
    <w:fldSimple w:instr=" DOCPROPERTY &quot;Category&quot;  \* MERGEFORMAT ">
      <w:r w:rsidRPr="00EF5D5D">
        <w:rPr>
          <w:b/>
          <w:sz w:val="28"/>
        </w:rPr>
        <w:t>&lt;15-15-0956-00-ig6t&gt;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270C0C" w:rsidRDefault="00270C0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4">
    <w:nsid w:val="30C126DA"/>
    <w:multiLevelType w:val="hybridMultilevel"/>
    <w:tmpl w:val="69F0A3F8"/>
    <w:lvl w:ilvl="0" w:tplc="EC8C3C7E">
      <w:start w:val="1"/>
      <w:numFmt w:val="bullet"/>
      <w:lvlText w:val="•"/>
      <w:lvlJc w:val="left"/>
      <w:pPr>
        <w:tabs>
          <w:tab w:val="num" w:pos="720"/>
        </w:tabs>
        <w:ind w:left="720" w:hanging="360"/>
      </w:pPr>
      <w:rPr>
        <w:rFonts w:ascii="Arial" w:hAnsi="Arial" w:hint="default"/>
      </w:rPr>
    </w:lvl>
    <w:lvl w:ilvl="1" w:tplc="3656DDBC">
      <w:start w:val="-16389"/>
      <w:numFmt w:val="bullet"/>
      <w:lvlText w:val="•"/>
      <w:lvlJc w:val="left"/>
      <w:pPr>
        <w:tabs>
          <w:tab w:val="num" w:pos="1440"/>
        </w:tabs>
        <w:ind w:left="1440" w:hanging="360"/>
      </w:pPr>
      <w:rPr>
        <w:rFonts w:ascii="Arial" w:hAnsi="Arial" w:hint="default"/>
      </w:rPr>
    </w:lvl>
    <w:lvl w:ilvl="2" w:tplc="1464B67C" w:tentative="1">
      <w:start w:val="1"/>
      <w:numFmt w:val="bullet"/>
      <w:lvlText w:val="•"/>
      <w:lvlJc w:val="left"/>
      <w:pPr>
        <w:tabs>
          <w:tab w:val="num" w:pos="2160"/>
        </w:tabs>
        <w:ind w:left="2160" w:hanging="360"/>
      </w:pPr>
      <w:rPr>
        <w:rFonts w:ascii="Arial" w:hAnsi="Arial" w:hint="default"/>
      </w:rPr>
    </w:lvl>
    <w:lvl w:ilvl="3" w:tplc="244E2832" w:tentative="1">
      <w:start w:val="1"/>
      <w:numFmt w:val="bullet"/>
      <w:lvlText w:val="•"/>
      <w:lvlJc w:val="left"/>
      <w:pPr>
        <w:tabs>
          <w:tab w:val="num" w:pos="2880"/>
        </w:tabs>
        <w:ind w:left="2880" w:hanging="360"/>
      </w:pPr>
      <w:rPr>
        <w:rFonts w:ascii="Arial" w:hAnsi="Arial" w:hint="default"/>
      </w:rPr>
    </w:lvl>
    <w:lvl w:ilvl="4" w:tplc="73A6140E" w:tentative="1">
      <w:start w:val="1"/>
      <w:numFmt w:val="bullet"/>
      <w:lvlText w:val="•"/>
      <w:lvlJc w:val="left"/>
      <w:pPr>
        <w:tabs>
          <w:tab w:val="num" w:pos="3600"/>
        </w:tabs>
        <w:ind w:left="3600" w:hanging="360"/>
      </w:pPr>
      <w:rPr>
        <w:rFonts w:ascii="Arial" w:hAnsi="Arial" w:hint="default"/>
      </w:rPr>
    </w:lvl>
    <w:lvl w:ilvl="5" w:tplc="DA5A2BBC" w:tentative="1">
      <w:start w:val="1"/>
      <w:numFmt w:val="bullet"/>
      <w:lvlText w:val="•"/>
      <w:lvlJc w:val="left"/>
      <w:pPr>
        <w:tabs>
          <w:tab w:val="num" w:pos="4320"/>
        </w:tabs>
        <w:ind w:left="4320" w:hanging="360"/>
      </w:pPr>
      <w:rPr>
        <w:rFonts w:ascii="Arial" w:hAnsi="Arial" w:hint="default"/>
      </w:rPr>
    </w:lvl>
    <w:lvl w:ilvl="6" w:tplc="3ED28FFA" w:tentative="1">
      <w:start w:val="1"/>
      <w:numFmt w:val="bullet"/>
      <w:lvlText w:val="•"/>
      <w:lvlJc w:val="left"/>
      <w:pPr>
        <w:tabs>
          <w:tab w:val="num" w:pos="5040"/>
        </w:tabs>
        <w:ind w:left="5040" w:hanging="360"/>
      </w:pPr>
      <w:rPr>
        <w:rFonts w:ascii="Arial" w:hAnsi="Arial" w:hint="default"/>
      </w:rPr>
    </w:lvl>
    <w:lvl w:ilvl="7" w:tplc="01EAD910" w:tentative="1">
      <w:start w:val="1"/>
      <w:numFmt w:val="bullet"/>
      <w:lvlText w:val="•"/>
      <w:lvlJc w:val="left"/>
      <w:pPr>
        <w:tabs>
          <w:tab w:val="num" w:pos="5760"/>
        </w:tabs>
        <w:ind w:left="5760" w:hanging="360"/>
      </w:pPr>
      <w:rPr>
        <w:rFonts w:ascii="Arial" w:hAnsi="Arial" w:hint="default"/>
      </w:rPr>
    </w:lvl>
    <w:lvl w:ilvl="8" w:tplc="E4EE078C" w:tentative="1">
      <w:start w:val="1"/>
      <w:numFmt w:val="bullet"/>
      <w:lvlText w:val="•"/>
      <w:lvlJc w:val="left"/>
      <w:pPr>
        <w:tabs>
          <w:tab w:val="num" w:pos="6480"/>
        </w:tabs>
        <w:ind w:left="6480" w:hanging="360"/>
      </w:pPr>
      <w:rPr>
        <w:rFonts w:ascii="Arial" w:hAnsi="Arial" w:hint="default"/>
      </w:rPr>
    </w:lvl>
  </w:abstractNum>
  <w:abstractNum w:abstractNumId="5">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7">
    <w:nsid w:val="7BD148B7"/>
    <w:multiLevelType w:val="hybridMultilevel"/>
    <w:tmpl w:val="BB2CFDAC"/>
    <w:lvl w:ilvl="0" w:tplc="66180688">
      <w:start w:val="1"/>
      <w:numFmt w:val="bullet"/>
      <w:lvlText w:val="•"/>
      <w:lvlJc w:val="left"/>
      <w:pPr>
        <w:tabs>
          <w:tab w:val="num" w:pos="720"/>
        </w:tabs>
        <w:ind w:left="720" w:hanging="360"/>
      </w:pPr>
      <w:rPr>
        <w:rFonts w:ascii="Arial" w:hAnsi="Arial" w:hint="default"/>
      </w:rPr>
    </w:lvl>
    <w:lvl w:ilvl="1" w:tplc="EDFEEE4C">
      <w:start w:val="-16389"/>
      <w:numFmt w:val="bullet"/>
      <w:lvlText w:val="•"/>
      <w:lvlJc w:val="left"/>
      <w:pPr>
        <w:tabs>
          <w:tab w:val="num" w:pos="1440"/>
        </w:tabs>
        <w:ind w:left="1440" w:hanging="360"/>
      </w:pPr>
      <w:rPr>
        <w:rFonts w:ascii="Arial" w:hAnsi="Arial" w:hint="default"/>
      </w:rPr>
    </w:lvl>
    <w:lvl w:ilvl="2" w:tplc="6914C0B4" w:tentative="1">
      <w:start w:val="1"/>
      <w:numFmt w:val="bullet"/>
      <w:lvlText w:val="•"/>
      <w:lvlJc w:val="left"/>
      <w:pPr>
        <w:tabs>
          <w:tab w:val="num" w:pos="2160"/>
        </w:tabs>
        <w:ind w:left="2160" w:hanging="360"/>
      </w:pPr>
      <w:rPr>
        <w:rFonts w:ascii="Arial" w:hAnsi="Arial" w:hint="default"/>
      </w:rPr>
    </w:lvl>
    <w:lvl w:ilvl="3" w:tplc="34949446" w:tentative="1">
      <w:start w:val="1"/>
      <w:numFmt w:val="bullet"/>
      <w:lvlText w:val="•"/>
      <w:lvlJc w:val="left"/>
      <w:pPr>
        <w:tabs>
          <w:tab w:val="num" w:pos="2880"/>
        </w:tabs>
        <w:ind w:left="2880" w:hanging="360"/>
      </w:pPr>
      <w:rPr>
        <w:rFonts w:ascii="Arial" w:hAnsi="Arial" w:hint="default"/>
      </w:rPr>
    </w:lvl>
    <w:lvl w:ilvl="4" w:tplc="DAACAD0A" w:tentative="1">
      <w:start w:val="1"/>
      <w:numFmt w:val="bullet"/>
      <w:lvlText w:val="•"/>
      <w:lvlJc w:val="left"/>
      <w:pPr>
        <w:tabs>
          <w:tab w:val="num" w:pos="3600"/>
        </w:tabs>
        <w:ind w:left="3600" w:hanging="360"/>
      </w:pPr>
      <w:rPr>
        <w:rFonts w:ascii="Arial" w:hAnsi="Arial" w:hint="default"/>
      </w:rPr>
    </w:lvl>
    <w:lvl w:ilvl="5" w:tplc="DC6A5D40" w:tentative="1">
      <w:start w:val="1"/>
      <w:numFmt w:val="bullet"/>
      <w:lvlText w:val="•"/>
      <w:lvlJc w:val="left"/>
      <w:pPr>
        <w:tabs>
          <w:tab w:val="num" w:pos="4320"/>
        </w:tabs>
        <w:ind w:left="4320" w:hanging="360"/>
      </w:pPr>
      <w:rPr>
        <w:rFonts w:ascii="Arial" w:hAnsi="Arial" w:hint="default"/>
      </w:rPr>
    </w:lvl>
    <w:lvl w:ilvl="6" w:tplc="D38415C0" w:tentative="1">
      <w:start w:val="1"/>
      <w:numFmt w:val="bullet"/>
      <w:lvlText w:val="•"/>
      <w:lvlJc w:val="left"/>
      <w:pPr>
        <w:tabs>
          <w:tab w:val="num" w:pos="5040"/>
        </w:tabs>
        <w:ind w:left="5040" w:hanging="360"/>
      </w:pPr>
      <w:rPr>
        <w:rFonts w:ascii="Arial" w:hAnsi="Arial" w:hint="default"/>
      </w:rPr>
    </w:lvl>
    <w:lvl w:ilvl="7" w:tplc="D72E7E2C" w:tentative="1">
      <w:start w:val="1"/>
      <w:numFmt w:val="bullet"/>
      <w:lvlText w:val="•"/>
      <w:lvlJc w:val="left"/>
      <w:pPr>
        <w:tabs>
          <w:tab w:val="num" w:pos="5760"/>
        </w:tabs>
        <w:ind w:left="5760" w:hanging="360"/>
      </w:pPr>
      <w:rPr>
        <w:rFonts w:ascii="Arial" w:hAnsi="Arial" w:hint="default"/>
      </w:rPr>
    </w:lvl>
    <w:lvl w:ilvl="8" w:tplc="DD4430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5"/>
  </w:num>
  <w:num w:numId="4">
    <w:abstractNumId w:val="3"/>
  </w:num>
  <w:num w:numId="5">
    <w:abstractNumId w:val="7"/>
  </w:num>
  <w:num w:numId="6">
    <w:abstractNumId w:val="2"/>
  </w:num>
  <w:num w:numId="7">
    <w:abstractNumId w:val="6"/>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75C0C"/>
    <w:rsid w:val="001847FA"/>
    <w:rsid w:val="00186787"/>
    <w:rsid w:val="0019330C"/>
    <w:rsid w:val="001A03E4"/>
    <w:rsid w:val="001B3EC1"/>
    <w:rsid w:val="001C2738"/>
    <w:rsid w:val="001C47E0"/>
    <w:rsid w:val="001C655E"/>
    <w:rsid w:val="001C6E09"/>
    <w:rsid w:val="001D0DF2"/>
    <w:rsid w:val="001D2502"/>
    <w:rsid w:val="001D520A"/>
    <w:rsid w:val="001E0BBE"/>
    <w:rsid w:val="001E7ED3"/>
    <w:rsid w:val="001F1C8A"/>
    <w:rsid w:val="002031EF"/>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C7560"/>
    <w:rsid w:val="002D12D0"/>
    <w:rsid w:val="002D2505"/>
    <w:rsid w:val="002D2997"/>
    <w:rsid w:val="002D2ACF"/>
    <w:rsid w:val="002E0D5D"/>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28FA"/>
    <w:rsid w:val="003C30FC"/>
    <w:rsid w:val="003C3A4F"/>
    <w:rsid w:val="003C40E0"/>
    <w:rsid w:val="003C4278"/>
    <w:rsid w:val="003C694F"/>
    <w:rsid w:val="003C74D8"/>
    <w:rsid w:val="003D372C"/>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13F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0F3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3D0D"/>
    <w:rsid w:val="00815D19"/>
    <w:rsid w:val="008160EA"/>
    <w:rsid w:val="00817569"/>
    <w:rsid w:val="00824845"/>
    <w:rsid w:val="008271D4"/>
    <w:rsid w:val="00827F92"/>
    <w:rsid w:val="00831767"/>
    <w:rsid w:val="00832434"/>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33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4CB8"/>
    <w:rsid w:val="00A06036"/>
    <w:rsid w:val="00A06D4A"/>
    <w:rsid w:val="00A15F06"/>
    <w:rsid w:val="00A26B3C"/>
    <w:rsid w:val="00A27C55"/>
    <w:rsid w:val="00A3158E"/>
    <w:rsid w:val="00A328EE"/>
    <w:rsid w:val="00A329D5"/>
    <w:rsid w:val="00A343A0"/>
    <w:rsid w:val="00A42CCA"/>
    <w:rsid w:val="00A439A2"/>
    <w:rsid w:val="00A500C5"/>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8324A"/>
    <w:rsid w:val="00B845B8"/>
    <w:rsid w:val="00B91DFC"/>
    <w:rsid w:val="00B924D0"/>
    <w:rsid w:val="00B937A5"/>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8766C"/>
    <w:rsid w:val="00CA2DCE"/>
    <w:rsid w:val="00CA4BD2"/>
    <w:rsid w:val="00CA5C5F"/>
    <w:rsid w:val="00CB6CF9"/>
    <w:rsid w:val="00CC2D71"/>
    <w:rsid w:val="00CD6150"/>
    <w:rsid w:val="00CD7209"/>
    <w:rsid w:val="00CE0B4D"/>
    <w:rsid w:val="00CE2620"/>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37F7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EF5D5D"/>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545E"/>
    <w:rsid w:val="00F75FCE"/>
    <w:rsid w:val="00F8122C"/>
    <w:rsid w:val="00F845E3"/>
    <w:rsid w:val="00F859F0"/>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2415"/>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ools.ietf.org/html?draft=draft-wang-6tisch-6top-sublayer-03" TargetMode="External"/><Relationship Id="rId10" Type="http://schemas.openxmlformats.org/officeDocument/2006/relationships/hyperlink" Target="http://tools.ietf.org/html?draft=draft-thubert-6tisch-4detnet-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D4C66-FCA6-944F-BB96-EF670301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1405</Words>
  <Characters>7082</Characters>
  <Application>Microsoft Macintosh Word</Application>
  <DocSecurity>0</DocSecurity>
  <Lines>208</Lines>
  <Paragraphs>126</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8361</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5</cp:revision>
  <cp:lastPrinted>2009-12-01T16:52:00Z</cp:lastPrinted>
  <dcterms:created xsi:type="dcterms:W3CDTF">2015-11-13T19:49:00Z</dcterms:created>
  <dcterms:modified xsi:type="dcterms:W3CDTF">2015-11-13T20:34:00Z</dcterms:modified>
  <cp:category>&lt;15-15-0956-00-ig6t&gt;</cp:category>
</cp:coreProperties>
</file>