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55322" w14:textId="77777777" w:rsidR="004E3A07" w:rsidRDefault="004E3A07">
      <w:pPr>
        <w:jc w:val="center"/>
        <w:rPr>
          <w:b/>
          <w:sz w:val="28"/>
        </w:rPr>
      </w:pPr>
      <w:r>
        <w:rPr>
          <w:b/>
          <w:sz w:val="28"/>
        </w:rPr>
        <w:t>IEEE P802.15</w:t>
      </w:r>
    </w:p>
    <w:p w14:paraId="2E932B40" w14:textId="77777777" w:rsidR="004E3A07" w:rsidRDefault="004E3A07">
      <w:pPr>
        <w:jc w:val="center"/>
        <w:rPr>
          <w:b/>
          <w:sz w:val="28"/>
        </w:rPr>
      </w:pPr>
      <w:r>
        <w:rPr>
          <w:b/>
          <w:sz w:val="28"/>
        </w:rPr>
        <w:t>Wireless Personal Area Networks</w:t>
      </w:r>
    </w:p>
    <w:p w14:paraId="11C53100"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3A9D3FD2" w14:textId="77777777">
        <w:tblPrEx>
          <w:tblCellMar>
            <w:top w:w="0" w:type="dxa"/>
            <w:bottom w:w="0" w:type="dxa"/>
          </w:tblCellMar>
        </w:tblPrEx>
        <w:tc>
          <w:tcPr>
            <w:tcW w:w="1260" w:type="dxa"/>
            <w:tcBorders>
              <w:top w:val="single" w:sz="6" w:space="0" w:color="auto"/>
            </w:tcBorders>
          </w:tcPr>
          <w:p w14:paraId="54F5826C" w14:textId="77777777" w:rsidR="004E3A07" w:rsidRDefault="004E3A07">
            <w:pPr>
              <w:pStyle w:val="covertext"/>
            </w:pPr>
            <w:r>
              <w:t>Project</w:t>
            </w:r>
          </w:p>
        </w:tc>
        <w:tc>
          <w:tcPr>
            <w:tcW w:w="8190" w:type="dxa"/>
            <w:gridSpan w:val="2"/>
            <w:tcBorders>
              <w:top w:val="single" w:sz="6" w:space="0" w:color="auto"/>
            </w:tcBorders>
          </w:tcPr>
          <w:p w14:paraId="699956A1" w14:textId="77777777" w:rsidR="004E3A07" w:rsidRDefault="004E3A07">
            <w:pPr>
              <w:pStyle w:val="covertext"/>
            </w:pPr>
            <w:r>
              <w:t>IEEE P802.15 Working Group for Wireless Personal Area Networks (WPANs)</w:t>
            </w:r>
          </w:p>
        </w:tc>
      </w:tr>
      <w:tr w:rsidR="004E3A07" w14:paraId="764C4984" w14:textId="77777777">
        <w:tblPrEx>
          <w:tblCellMar>
            <w:top w:w="0" w:type="dxa"/>
            <w:bottom w:w="0" w:type="dxa"/>
          </w:tblCellMar>
        </w:tblPrEx>
        <w:tc>
          <w:tcPr>
            <w:tcW w:w="1260" w:type="dxa"/>
            <w:tcBorders>
              <w:top w:val="single" w:sz="6" w:space="0" w:color="auto"/>
            </w:tcBorders>
          </w:tcPr>
          <w:p w14:paraId="3DA63341" w14:textId="77777777" w:rsidR="004E3A07" w:rsidRDefault="004E3A07">
            <w:pPr>
              <w:pStyle w:val="covertext"/>
            </w:pPr>
            <w:r>
              <w:t>Title</w:t>
            </w:r>
          </w:p>
        </w:tc>
        <w:tc>
          <w:tcPr>
            <w:tcW w:w="8190" w:type="dxa"/>
            <w:gridSpan w:val="2"/>
            <w:tcBorders>
              <w:top w:val="single" w:sz="6" w:space="0" w:color="auto"/>
            </w:tcBorders>
          </w:tcPr>
          <w:p w14:paraId="2C0927E5"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8D7D67">
              <w:rPr>
                <w:b/>
                <w:sz w:val="28"/>
              </w:rPr>
              <w:t>&lt;IETF 6tisch IE Information&gt;</w:t>
            </w:r>
            <w:r>
              <w:rPr>
                <w:b/>
                <w:sz w:val="28"/>
              </w:rPr>
              <w:fldChar w:fldCharType="end"/>
            </w:r>
          </w:p>
        </w:tc>
      </w:tr>
      <w:tr w:rsidR="004E3A07" w14:paraId="6AB3B7C3" w14:textId="77777777">
        <w:tblPrEx>
          <w:tblCellMar>
            <w:top w:w="0" w:type="dxa"/>
            <w:bottom w:w="0" w:type="dxa"/>
          </w:tblCellMar>
        </w:tblPrEx>
        <w:tc>
          <w:tcPr>
            <w:tcW w:w="1260" w:type="dxa"/>
            <w:tcBorders>
              <w:top w:val="single" w:sz="6" w:space="0" w:color="auto"/>
            </w:tcBorders>
          </w:tcPr>
          <w:p w14:paraId="67AD382C" w14:textId="77777777" w:rsidR="004E3A07" w:rsidRDefault="004E3A07">
            <w:pPr>
              <w:pStyle w:val="covertext"/>
            </w:pPr>
            <w:r>
              <w:t>Date Submitted</w:t>
            </w:r>
          </w:p>
        </w:tc>
        <w:tc>
          <w:tcPr>
            <w:tcW w:w="8190" w:type="dxa"/>
            <w:gridSpan w:val="2"/>
            <w:tcBorders>
              <w:top w:val="single" w:sz="6" w:space="0" w:color="auto"/>
            </w:tcBorders>
          </w:tcPr>
          <w:p w14:paraId="7B50ED7C" w14:textId="6197C6D3" w:rsidR="004E3A07" w:rsidRDefault="004E3A07" w:rsidP="008D7D67">
            <w:pPr>
              <w:pStyle w:val="covertext"/>
            </w:pPr>
            <w:r>
              <w:t>[</w:t>
            </w:r>
            <w:r w:rsidR="008D7D67">
              <w:t>13 November 2015</w:t>
            </w:r>
            <w:r>
              <w:t>]</w:t>
            </w:r>
          </w:p>
        </w:tc>
      </w:tr>
      <w:tr w:rsidR="004E3A07" w14:paraId="4084C937" w14:textId="77777777">
        <w:tblPrEx>
          <w:tblCellMar>
            <w:top w:w="0" w:type="dxa"/>
            <w:bottom w:w="0" w:type="dxa"/>
          </w:tblCellMar>
        </w:tblPrEx>
        <w:tc>
          <w:tcPr>
            <w:tcW w:w="1260" w:type="dxa"/>
            <w:tcBorders>
              <w:top w:val="single" w:sz="4" w:space="0" w:color="auto"/>
              <w:bottom w:val="single" w:sz="4" w:space="0" w:color="auto"/>
            </w:tcBorders>
          </w:tcPr>
          <w:p w14:paraId="0B9DAEA7" w14:textId="77777777" w:rsidR="004E3A07" w:rsidRDefault="004E3A07">
            <w:pPr>
              <w:pStyle w:val="covertext"/>
            </w:pPr>
            <w:r>
              <w:t>Source</w:t>
            </w:r>
          </w:p>
        </w:tc>
        <w:tc>
          <w:tcPr>
            <w:tcW w:w="4050" w:type="dxa"/>
            <w:tcBorders>
              <w:top w:val="single" w:sz="4" w:space="0" w:color="auto"/>
              <w:bottom w:val="single" w:sz="4" w:space="0" w:color="auto"/>
            </w:tcBorders>
          </w:tcPr>
          <w:p w14:paraId="3B41E4FB" w14:textId="77777777" w:rsidR="004E3A07" w:rsidRDefault="004E3A07">
            <w:pPr>
              <w:pStyle w:val="covertext"/>
              <w:spacing w:before="0" w:after="0"/>
            </w:pPr>
            <w:r>
              <w:t>[</w:t>
            </w:r>
            <w:fldSimple w:instr=" AUTHOR  \* MERGEFORMAT ">
              <w:r w:rsidR="003862B7">
                <w:rPr>
                  <w:noProof/>
                </w:rPr>
                <w:t>Pat Kinney</w:t>
              </w:r>
            </w:fldSimple>
            <w:r>
              <w:t>]</w:t>
            </w:r>
            <w:r>
              <w:br/>
              <w:t>[</w:t>
            </w:r>
            <w:fldSimple w:instr=" DOCPROPERTY &quot;Company&quot;  \* MERGEFORMAT ">
              <w:r w:rsidR="009E0DE4">
                <w:t>&lt;Kinney Consulting&gt;</w:t>
              </w:r>
            </w:fldSimple>
            <w:r>
              <w:t>]</w:t>
            </w:r>
            <w:r>
              <w:br/>
              <w:t>[address]</w:t>
            </w:r>
          </w:p>
        </w:tc>
        <w:tc>
          <w:tcPr>
            <w:tcW w:w="4140" w:type="dxa"/>
            <w:tcBorders>
              <w:top w:val="single" w:sz="4" w:space="0" w:color="auto"/>
              <w:bottom w:val="single" w:sz="4" w:space="0" w:color="auto"/>
            </w:tcBorders>
          </w:tcPr>
          <w:p w14:paraId="69FA4061"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5ED4A5E6" w14:textId="77777777">
        <w:tblPrEx>
          <w:tblCellMar>
            <w:top w:w="0" w:type="dxa"/>
            <w:bottom w:w="0" w:type="dxa"/>
          </w:tblCellMar>
        </w:tblPrEx>
        <w:tc>
          <w:tcPr>
            <w:tcW w:w="1260" w:type="dxa"/>
            <w:tcBorders>
              <w:top w:val="single" w:sz="6" w:space="0" w:color="auto"/>
            </w:tcBorders>
          </w:tcPr>
          <w:p w14:paraId="4128261C" w14:textId="77777777" w:rsidR="004E3A07" w:rsidRDefault="004E3A07">
            <w:pPr>
              <w:pStyle w:val="covertext"/>
            </w:pPr>
            <w:r>
              <w:t>Re:</w:t>
            </w:r>
          </w:p>
        </w:tc>
        <w:tc>
          <w:tcPr>
            <w:tcW w:w="8190" w:type="dxa"/>
            <w:gridSpan w:val="2"/>
            <w:tcBorders>
              <w:top w:val="single" w:sz="6" w:space="0" w:color="auto"/>
            </w:tcBorders>
          </w:tcPr>
          <w:p w14:paraId="2486B4D9" w14:textId="3BED7720" w:rsidR="004E3A07" w:rsidRDefault="009E0DE4">
            <w:pPr>
              <w:pStyle w:val="covertext"/>
            </w:pPr>
            <w:r>
              <w:t>Response to a request for information from IETF 6tisch</w:t>
            </w:r>
          </w:p>
        </w:tc>
      </w:tr>
      <w:tr w:rsidR="004E3A07" w14:paraId="0097636E" w14:textId="77777777">
        <w:tblPrEx>
          <w:tblCellMar>
            <w:top w:w="0" w:type="dxa"/>
            <w:bottom w:w="0" w:type="dxa"/>
          </w:tblCellMar>
        </w:tblPrEx>
        <w:tc>
          <w:tcPr>
            <w:tcW w:w="1260" w:type="dxa"/>
            <w:tcBorders>
              <w:top w:val="single" w:sz="6" w:space="0" w:color="auto"/>
            </w:tcBorders>
          </w:tcPr>
          <w:p w14:paraId="1EED43D2" w14:textId="77777777" w:rsidR="004E3A07" w:rsidRDefault="004E3A07">
            <w:pPr>
              <w:pStyle w:val="covertext"/>
            </w:pPr>
            <w:r>
              <w:t>Abstract</w:t>
            </w:r>
          </w:p>
        </w:tc>
        <w:tc>
          <w:tcPr>
            <w:tcW w:w="8190" w:type="dxa"/>
            <w:gridSpan w:val="2"/>
            <w:tcBorders>
              <w:top w:val="single" w:sz="6" w:space="0" w:color="auto"/>
            </w:tcBorders>
          </w:tcPr>
          <w:p w14:paraId="79B71B18" w14:textId="47525290" w:rsidR="004E3A07" w:rsidRDefault="004E3A07">
            <w:pPr>
              <w:pStyle w:val="covertext"/>
            </w:pPr>
            <w:r>
              <w:t>[</w:t>
            </w:r>
            <w:r w:rsidR="009E0DE4">
              <w:t xml:space="preserve">Information on request procedure for SDOs to obtain IE IDs and recommendation on IE sub-typing </w:t>
            </w:r>
          </w:p>
        </w:tc>
      </w:tr>
      <w:tr w:rsidR="004E3A07" w14:paraId="023A4C67" w14:textId="77777777">
        <w:tblPrEx>
          <w:tblCellMar>
            <w:top w:w="0" w:type="dxa"/>
            <w:bottom w:w="0" w:type="dxa"/>
          </w:tblCellMar>
        </w:tblPrEx>
        <w:tc>
          <w:tcPr>
            <w:tcW w:w="1260" w:type="dxa"/>
            <w:tcBorders>
              <w:top w:val="single" w:sz="6" w:space="0" w:color="auto"/>
            </w:tcBorders>
          </w:tcPr>
          <w:p w14:paraId="4ACE223E" w14:textId="77777777" w:rsidR="004E3A07" w:rsidRDefault="004E3A07">
            <w:pPr>
              <w:pStyle w:val="covertext"/>
            </w:pPr>
            <w:r>
              <w:t>Purpose</w:t>
            </w:r>
          </w:p>
        </w:tc>
        <w:tc>
          <w:tcPr>
            <w:tcW w:w="8190" w:type="dxa"/>
            <w:gridSpan w:val="2"/>
            <w:tcBorders>
              <w:top w:val="single" w:sz="6" w:space="0" w:color="auto"/>
            </w:tcBorders>
          </w:tcPr>
          <w:p w14:paraId="61046F9A" w14:textId="53E65B88" w:rsidR="004E3A07" w:rsidRDefault="004E3A07" w:rsidP="003E6D6D">
            <w:pPr>
              <w:pStyle w:val="covertext"/>
            </w:pPr>
            <w:r>
              <w:t>[</w:t>
            </w:r>
            <w:r w:rsidR="003E6D6D">
              <w:t>This document has been approved by the IEEE 802.15 for release to IETF</w:t>
            </w:r>
            <w:r>
              <w:t>.]</w:t>
            </w:r>
          </w:p>
        </w:tc>
      </w:tr>
      <w:tr w:rsidR="004E3A07" w14:paraId="34CD2DF5" w14:textId="77777777">
        <w:tblPrEx>
          <w:tblCellMar>
            <w:top w:w="0" w:type="dxa"/>
            <w:bottom w:w="0" w:type="dxa"/>
          </w:tblCellMar>
        </w:tblPrEx>
        <w:tc>
          <w:tcPr>
            <w:tcW w:w="1260" w:type="dxa"/>
            <w:tcBorders>
              <w:top w:val="single" w:sz="6" w:space="0" w:color="auto"/>
              <w:bottom w:val="single" w:sz="6" w:space="0" w:color="auto"/>
            </w:tcBorders>
          </w:tcPr>
          <w:p w14:paraId="1191BCA6"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1EFEECBF"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06A83212" w14:textId="77777777">
        <w:tblPrEx>
          <w:tblCellMar>
            <w:top w:w="0" w:type="dxa"/>
            <w:bottom w:w="0" w:type="dxa"/>
          </w:tblCellMar>
        </w:tblPrEx>
        <w:tc>
          <w:tcPr>
            <w:tcW w:w="1260" w:type="dxa"/>
            <w:tcBorders>
              <w:top w:val="single" w:sz="6" w:space="0" w:color="auto"/>
              <w:bottom w:val="single" w:sz="6" w:space="0" w:color="auto"/>
            </w:tcBorders>
          </w:tcPr>
          <w:p w14:paraId="3E68F04A"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5AD70A04" w14:textId="77777777" w:rsidR="004E3A07" w:rsidRDefault="004E3A07">
            <w:pPr>
              <w:pStyle w:val="covertext"/>
            </w:pPr>
            <w:r>
              <w:t>The contributor acknowledges and accepts that this contribution becomes the property of IEEE and may be made publicly available by P802.15.</w:t>
            </w:r>
          </w:p>
        </w:tc>
      </w:tr>
    </w:tbl>
    <w:p w14:paraId="1AA08151" w14:textId="77777777" w:rsidR="0009756D" w:rsidRPr="00F438FA" w:rsidRDefault="004E3A07">
      <w:pPr>
        <w:widowControl w:val="0"/>
        <w:spacing w:before="120"/>
        <w:rPr>
          <w:b/>
          <w:sz w:val="32"/>
          <w:szCs w:val="32"/>
        </w:rPr>
      </w:pPr>
      <w:r>
        <w:rPr>
          <w:b/>
          <w:sz w:val="28"/>
        </w:rPr>
        <w:br w:type="page"/>
      </w:r>
      <w:r w:rsidR="0009756D" w:rsidRPr="00F438FA">
        <w:rPr>
          <w:b/>
          <w:sz w:val="32"/>
          <w:szCs w:val="32"/>
        </w:rPr>
        <w:lastRenderedPageBreak/>
        <w:t>Introduction</w:t>
      </w:r>
    </w:p>
    <w:p w14:paraId="294DF054" w14:textId="2BBC0F5B" w:rsidR="00CD257F" w:rsidRDefault="0009756D">
      <w:pPr>
        <w:widowControl w:val="0"/>
        <w:spacing w:before="120"/>
        <w:rPr>
          <w:sz w:val="28"/>
        </w:rPr>
      </w:pPr>
      <w:r w:rsidRPr="0009756D">
        <w:rPr>
          <w:sz w:val="28"/>
        </w:rPr>
        <w:t xml:space="preserve">This document </w:t>
      </w:r>
      <w:r>
        <w:rPr>
          <w:sz w:val="28"/>
        </w:rPr>
        <w:t xml:space="preserve">is in response to </w:t>
      </w:r>
      <w:r w:rsidR="004A79FF">
        <w:rPr>
          <w:sz w:val="28"/>
        </w:rPr>
        <w:t>requests from IETF 6tisch for an assignment of an IEEE 802.15.4 Payload IE ID and guidance on sub-typing the ID to prevent the need for additional requests in the future.</w:t>
      </w:r>
    </w:p>
    <w:p w14:paraId="37088E51" w14:textId="21F2E19E" w:rsidR="000A5AFD" w:rsidRDefault="000A5AFD">
      <w:pPr>
        <w:widowControl w:val="0"/>
        <w:spacing w:before="120"/>
        <w:rPr>
          <w:sz w:val="28"/>
        </w:rPr>
      </w:pPr>
      <w:r>
        <w:rPr>
          <w:sz w:val="28"/>
        </w:rPr>
        <w:t>This document consists of three sections:</w:t>
      </w:r>
    </w:p>
    <w:p w14:paraId="1902C55F" w14:textId="77777777" w:rsidR="000A5AFD" w:rsidRPr="000A5AFD" w:rsidRDefault="000A5AFD" w:rsidP="000A5AFD">
      <w:pPr>
        <w:pStyle w:val="Heading1"/>
        <w:spacing w:before="120" w:after="0"/>
        <w:rPr>
          <w:rFonts w:ascii="Times New Roman" w:hAnsi="Times New Roman"/>
          <w:b w:val="0"/>
          <w:szCs w:val="28"/>
          <w:u w:val="none"/>
        </w:rPr>
      </w:pPr>
      <w:r w:rsidRPr="000A5AFD">
        <w:rPr>
          <w:rFonts w:ascii="Times New Roman" w:hAnsi="Times New Roman"/>
          <w:b w:val="0"/>
          <w:u w:val="none"/>
        </w:rPr>
        <w:t>Procedure for requesting IDs from 802.15 ANA</w:t>
      </w:r>
      <w:r w:rsidRPr="000A5AFD">
        <w:rPr>
          <w:rFonts w:ascii="Times New Roman" w:hAnsi="Times New Roman"/>
          <w:b w:val="0"/>
          <w:szCs w:val="28"/>
          <w:u w:val="none"/>
        </w:rPr>
        <w:t xml:space="preserve"> </w:t>
      </w:r>
    </w:p>
    <w:p w14:paraId="7003D36B" w14:textId="77777777" w:rsidR="000A5AFD" w:rsidRPr="000A5AFD" w:rsidRDefault="000A5AFD" w:rsidP="000A5AFD">
      <w:pPr>
        <w:pStyle w:val="Heading1"/>
        <w:spacing w:before="120" w:after="0"/>
        <w:rPr>
          <w:rFonts w:ascii="Times New Roman" w:hAnsi="Times New Roman"/>
          <w:b w:val="0"/>
          <w:u w:val="none"/>
        </w:rPr>
      </w:pPr>
      <w:r w:rsidRPr="000A5AFD">
        <w:rPr>
          <w:rFonts w:ascii="Times New Roman" w:hAnsi="Times New Roman"/>
          <w:b w:val="0"/>
          <w:u w:val="none"/>
        </w:rPr>
        <w:t>IEEE 802.15.4-2015 rules on the use of IEs</w:t>
      </w:r>
    </w:p>
    <w:p w14:paraId="3AE7F737" w14:textId="22197907" w:rsidR="000A5AFD" w:rsidRPr="000A5AFD" w:rsidRDefault="000A5AFD" w:rsidP="000A5AFD">
      <w:pPr>
        <w:pStyle w:val="Heading1"/>
        <w:spacing w:before="120" w:after="0"/>
        <w:rPr>
          <w:rFonts w:ascii="Times New Roman" w:hAnsi="Times New Roman"/>
          <w:b w:val="0"/>
          <w:u w:val="none"/>
        </w:rPr>
      </w:pPr>
      <w:r w:rsidRPr="000A5AFD">
        <w:rPr>
          <w:rFonts w:ascii="Times New Roman" w:hAnsi="Times New Roman"/>
          <w:b w:val="0"/>
          <w:u w:val="none"/>
        </w:rPr>
        <w:t>Recommended practice of formatting Payload IE sub-types</w:t>
      </w:r>
    </w:p>
    <w:p w14:paraId="4C57BE45" w14:textId="1A5A9E10" w:rsidR="0009756D" w:rsidRPr="0009756D" w:rsidRDefault="0009756D">
      <w:pPr>
        <w:widowControl w:val="0"/>
        <w:spacing w:before="120"/>
        <w:rPr>
          <w:b/>
          <w:sz w:val="28"/>
        </w:rPr>
      </w:pPr>
      <w:r w:rsidRPr="0009756D">
        <w:rPr>
          <w:b/>
          <w:sz w:val="28"/>
          <w:szCs w:val="28"/>
        </w:rPr>
        <w:pict w14:anchorId="500FC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7.85pt;height:1.5pt" o:hrpct="0" o:hralign="center" o:hr="t">
            <v:imagedata r:id="rId8" o:title="Default Line"/>
          </v:shape>
        </w:pict>
      </w:r>
    </w:p>
    <w:p w14:paraId="7D957E41" w14:textId="1A8DC8A9" w:rsidR="004E3A07" w:rsidRPr="00F438FA" w:rsidRDefault="003862B7">
      <w:pPr>
        <w:widowControl w:val="0"/>
        <w:spacing w:before="120"/>
        <w:rPr>
          <w:b/>
          <w:sz w:val="32"/>
          <w:szCs w:val="32"/>
        </w:rPr>
      </w:pPr>
      <w:r w:rsidRPr="00F438FA">
        <w:rPr>
          <w:b/>
          <w:sz w:val="32"/>
          <w:szCs w:val="32"/>
        </w:rPr>
        <w:t>Procedure for requesting IDs from 802.15 ANA:</w:t>
      </w:r>
    </w:p>
    <w:p w14:paraId="21BEC582" w14:textId="77777777" w:rsidR="00CD257F" w:rsidRDefault="00CD257F">
      <w:pPr>
        <w:widowControl w:val="0"/>
        <w:spacing w:before="120"/>
        <w:rPr>
          <w:b/>
          <w:sz w:val="28"/>
        </w:rPr>
      </w:pPr>
    </w:p>
    <w:p w14:paraId="110DE9BA" w14:textId="39342782" w:rsidR="00CD257F" w:rsidRPr="00CD257F" w:rsidRDefault="00BA5E4D" w:rsidP="006B4BB9">
      <w:pPr>
        <w:widowControl w:val="0"/>
        <w:autoSpaceDE w:val="0"/>
        <w:autoSpaceDN w:val="0"/>
        <w:adjustRightInd w:val="0"/>
        <w:spacing w:before="120"/>
        <w:rPr>
          <w:color w:val="auto"/>
          <w:sz w:val="28"/>
          <w:szCs w:val="28"/>
          <w:u w:color="420178"/>
        </w:rPr>
      </w:pPr>
      <w:r>
        <w:rPr>
          <w:color w:val="auto"/>
          <w:sz w:val="28"/>
          <w:szCs w:val="28"/>
        </w:rPr>
        <w:t xml:space="preserve">As stated in </w:t>
      </w:r>
      <w:r>
        <w:rPr>
          <w:rFonts w:ascii="Helvetica" w:hAnsi="Helvetica" w:cs="Helvetica"/>
          <w:color w:val="auto"/>
          <w:sz w:val="28"/>
          <w:szCs w:val="28"/>
        </w:rPr>
        <w:t> </w:t>
      </w:r>
      <w:hyperlink r:id="rId9" w:history="1">
        <w:r>
          <w:rPr>
            <w:rFonts w:ascii="Helvetica" w:hAnsi="Helvetica" w:cs="Helvetica"/>
            <w:color w:val="386EFF"/>
            <w:sz w:val="28"/>
            <w:szCs w:val="28"/>
            <w:u w:val="single" w:color="386EFF"/>
          </w:rPr>
          <w:t>https://tools.ietf.org/html/draft-wang-6tisch-6top-sublayer-03</w:t>
        </w:r>
      </w:hyperlink>
      <w:r>
        <w:rPr>
          <w:color w:val="auto"/>
          <w:sz w:val="28"/>
          <w:szCs w:val="28"/>
        </w:rPr>
        <w:t>, “</w:t>
      </w:r>
      <w:r w:rsidR="00CD257F" w:rsidRPr="00CD257F">
        <w:rPr>
          <w:color w:val="auto"/>
          <w:sz w:val="28"/>
          <w:szCs w:val="28"/>
        </w:rPr>
        <w:t>If the specification described in this document is supported by the</w:t>
      </w:r>
      <w:r w:rsidR="00CD257F">
        <w:rPr>
          <w:color w:val="auto"/>
          <w:sz w:val="28"/>
          <w:szCs w:val="28"/>
        </w:rPr>
        <w:t xml:space="preserve"> </w:t>
      </w:r>
      <w:r w:rsidR="00CD257F" w:rsidRPr="00CD257F">
        <w:rPr>
          <w:color w:val="auto"/>
          <w:sz w:val="28"/>
          <w:szCs w:val="28"/>
        </w:rPr>
        <w:t>6TiSCH WG, the authors of this document ask the 6TiSCH WG chairs to</w:t>
      </w:r>
      <w:r w:rsidR="00CD257F">
        <w:rPr>
          <w:color w:val="auto"/>
          <w:sz w:val="28"/>
          <w:szCs w:val="28"/>
        </w:rPr>
        <w:t xml:space="preserve"> </w:t>
      </w:r>
      <w:r w:rsidR="00CD257F" w:rsidRPr="00CD257F">
        <w:rPr>
          <w:color w:val="auto"/>
          <w:sz w:val="28"/>
          <w:szCs w:val="28"/>
        </w:rPr>
        <w:t xml:space="preserve">liaise with the IEEE to request a Payload Information Element Group ID to be assigned to the IETF (Group ID IANA_6TOP_IE_GROUP_ID described in </w:t>
      </w:r>
      <w:r w:rsidR="00CD257F" w:rsidRPr="00CD257F">
        <w:rPr>
          <w:color w:val="auto"/>
          <w:sz w:val="28"/>
          <w:szCs w:val="28"/>
          <w:u w:color="420178"/>
        </w:rPr>
        <w:t xml:space="preserve">the </w:t>
      </w:r>
      <w:r w:rsidR="006B4BB9">
        <w:rPr>
          <w:color w:val="auto"/>
          <w:sz w:val="28"/>
          <w:szCs w:val="28"/>
          <w:u w:color="420178"/>
        </w:rPr>
        <w:t>[following paragraph].</w:t>
      </w:r>
    </w:p>
    <w:p w14:paraId="5DCC307A" w14:textId="7EE6F791" w:rsidR="00CD257F" w:rsidRPr="00CD257F" w:rsidRDefault="00CD257F" w:rsidP="006B4BB9">
      <w:pPr>
        <w:widowControl w:val="0"/>
        <w:autoSpaceDE w:val="0"/>
        <w:autoSpaceDN w:val="0"/>
        <w:adjustRightInd w:val="0"/>
        <w:spacing w:before="120"/>
        <w:rPr>
          <w:color w:val="auto"/>
          <w:sz w:val="28"/>
          <w:szCs w:val="28"/>
          <w:u w:color="420178"/>
        </w:rPr>
      </w:pPr>
      <w:r w:rsidRPr="00CD257F">
        <w:rPr>
          <w:color w:val="auto"/>
          <w:sz w:val="28"/>
          <w:szCs w:val="28"/>
        </w:rPr>
        <w:t xml:space="preserve">This </w:t>
      </w:r>
      <w:r w:rsidR="006B4BB9">
        <w:rPr>
          <w:color w:val="auto"/>
          <w:sz w:val="28"/>
          <w:szCs w:val="28"/>
        </w:rPr>
        <w:t>[paragraph]</w:t>
      </w:r>
      <w:r w:rsidRPr="00CD257F">
        <w:rPr>
          <w:color w:val="auto"/>
          <w:sz w:val="28"/>
          <w:szCs w:val="28"/>
        </w:rPr>
        <w:t xml:space="preserve"> contains a proposal for the specification of an IETF IE.</w:t>
      </w:r>
      <w:r w:rsidRPr="00CD257F">
        <w:rPr>
          <w:color w:val="auto"/>
          <w:sz w:val="28"/>
          <w:szCs w:val="28"/>
          <w:u w:color="420178"/>
        </w:rPr>
        <w:t xml:space="preserve">  </w:t>
      </w:r>
      <w:r w:rsidRPr="00CD257F">
        <w:rPr>
          <w:color w:val="auto"/>
          <w:sz w:val="28"/>
          <w:szCs w:val="28"/>
        </w:rPr>
        <w:t>If this proposal is supported by the 6TiSCH WG, the authors of this</w:t>
      </w:r>
      <w:r w:rsidRPr="00CD257F">
        <w:rPr>
          <w:color w:val="auto"/>
          <w:sz w:val="28"/>
          <w:szCs w:val="28"/>
          <w:u w:color="420178"/>
        </w:rPr>
        <w:t xml:space="preserve"> </w:t>
      </w:r>
      <w:r w:rsidRPr="00CD257F">
        <w:rPr>
          <w:color w:val="auto"/>
          <w:sz w:val="28"/>
          <w:szCs w:val="28"/>
        </w:rPr>
        <w:t>draft recommend</w:t>
      </w:r>
      <w:r>
        <w:rPr>
          <w:color w:val="auto"/>
          <w:sz w:val="28"/>
          <w:szCs w:val="28"/>
        </w:rPr>
        <w:t xml:space="preserve"> for </w:t>
      </w:r>
      <w:r w:rsidRPr="00CD257F">
        <w:rPr>
          <w:color w:val="auto"/>
          <w:sz w:val="28"/>
          <w:szCs w:val="28"/>
        </w:rPr>
        <w:t>the specification of the IETF IE to be its own</w:t>
      </w:r>
      <w:r>
        <w:rPr>
          <w:color w:val="auto"/>
          <w:sz w:val="28"/>
          <w:szCs w:val="28"/>
          <w:u w:color="420178"/>
        </w:rPr>
        <w:t xml:space="preserve"> </w:t>
      </w:r>
      <w:r w:rsidRPr="00CD257F">
        <w:rPr>
          <w:color w:val="auto"/>
          <w:sz w:val="28"/>
          <w:szCs w:val="28"/>
        </w:rPr>
        <w:t>draft, possibly developed in the 6TiSCH WG.  The reason for having it</w:t>
      </w:r>
      <w:r>
        <w:rPr>
          <w:color w:val="auto"/>
          <w:sz w:val="28"/>
          <w:szCs w:val="28"/>
          <w:u w:color="420178"/>
        </w:rPr>
        <w:t xml:space="preserve"> </w:t>
      </w:r>
      <w:r w:rsidRPr="00CD257F">
        <w:rPr>
          <w:color w:val="auto"/>
          <w:sz w:val="28"/>
          <w:szCs w:val="28"/>
        </w:rPr>
        <w:t>a separated document is that the scope of the IETF IE is wider that</w:t>
      </w:r>
      <w:r>
        <w:rPr>
          <w:color w:val="auto"/>
          <w:sz w:val="28"/>
          <w:szCs w:val="28"/>
          <w:u w:color="420178"/>
        </w:rPr>
        <w:t xml:space="preserve"> </w:t>
      </w:r>
      <w:r w:rsidRPr="00CD257F">
        <w:rPr>
          <w:color w:val="auto"/>
          <w:sz w:val="28"/>
          <w:szCs w:val="28"/>
        </w:rPr>
        <w:t>the 6P protocol defined in this document.</w:t>
      </w:r>
      <w:r>
        <w:rPr>
          <w:color w:val="auto"/>
          <w:sz w:val="28"/>
          <w:szCs w:val="28"/>
          <w:u w:color="420178"/>
        </w:rPr>
        <w:t xml:space="preserve"> </w:t>
      </w:r>
      <w:r w:rsidRPr="00CD257F">
        <w:rPr>
          <w:color w:val="auto"/>
          <w:sz w:val="28"/>
          <w:szCs w:val="28"/>
        </w:rPr>
        <w:t>The IETF IE is a IEEE802.15.4 Payload Information Element with the</w:t>
      </w:r>
      <w:r>
        <w:rPr>
          <w:color w:val="auto"/>
          <w:sz w:val="28"/>
          <w:szCs w:val="28"/>
          <w:u w:color="420178"/>
        </w:rPr>
        <w:t xml:space="preserve"> </w:t>
      </w:r>
      <w:r w:rsidRPr="00CD257F">
        <w:rPr>
          <w:color w:val="auto"/>
          <w:sz w:val="28"/>
          <w:szCs w:val="28"/>
        </w:rPr>
        <w:t>Group ID set to IANA_6TOP_IE_GROUP_ID.  The value of</w:t>
      </w:r>
      <w:r>
        <w:rPr>
          <w:color w:val="auto"/>
          <w:sz w:val="28"/>
          <w:szCs w:val="28"/>
          <w:u w:color="420178"/>
        </w:rPr>
        <w:t xml:space="preserve"> </w:t>
      </w:r>
      <w:r w:rsidRPr="00CD257F">
        <w:rPr>
          <w:color w:val="auto"/>
          <w:sz w:val="28"/>
          <w:szCs w:val="28"/>
        </w:rPr>
        <w:t>IANA_6TOP_IE_GROUP_ID is defined by the IEEE, communicated to the</w:t>
      </w:r>
      <w:r>
        <w:rPr>
          <w:color w:val="auto"/>
          <w:sz w:val="28"/>
          <w:szCs w:val="28"/>
          <w:u w:color="420178"/>
        </w:rPr>
        <w:t xml:space="preserve"> </w:t>
      </w:r>
      <w:r w:rsidRPr="00CD257F">
        <w:rPr>
          <w:color w:val="auto"/>
          <w:sz w:val="28"/>
          <w:szCs w:val="28"/>
        </w:rPr>
        <w:t>IETF, and noted by IANA.  The format of the IETF IE is exactly the</w:t>
      </w:r>
      <w:r>
        <w:rPr>
          <w:color w:val="auto"/>
          <w:sz w:val="28"/>
          <w:szCs w:val="28"/>
          <w:u w:color="420178"/>
        </w:rPr>
        <w:t xml:space="preserve"> </w:t>
      </w:r>
      <w:r w:rsidRPr="00CD257F">
        <w:rPr>
          <w:color w:val="auto"/>
          <w:sz w:val="28"/>
          <w:szCs w:val="28"/>
        </w:rPr>
        <w:t>same as the format of an MLME Information Element, as specified in [</w:t>
      </w:r>
      <w:r w:rsidRPr="00CD257F">
        <w:rPr>
          <w:color w:val="0000E9"/>
          <w:sz w:val="28"/>
          <w:szCs w:val="28"/>
          <w:u w:val="single" w:color="0000E9"/>
        </w:rPr>
        <w:t>IEEE802154e</w:t>
      </w:r>
      <w:r w:rsidRPr="00CD257F">
        <w:rPr>
          <w:color w:val="auto"/>
          <w:sz w:val="28"/>
          <w:szCs w:val="28"/>
          <w:u w:color="0000E9"/>
        </w:rPr>
        <w:t>], Section 5.2.4.5.  The difference is that the space of</w:t>
      </w:r>
      <w:r>
        <w:rPr>
          <w:color w:val="auto"/>
          <w:sz w:val="28"/>
          <w:szCs w:val="28"/>
          <w:u w:color="420178"/>
        </w:rPr>
        <w:t xml:space="preserve"> </w:t>
      </w:r>
      <w:r w:rsidRPr="00CD257F">
        <w:rPr>
          <w:color w:val="auto"/>
          <w:sz w:val="28"/>
          <w:szCs w:val="28"/>
          <w:u w:color="0000E9"/>
        </w:rPr>
        <w:t>Sub-IDs is managed by the IETF/IANA.</w:t>
      </w:r>
      <w:r w:rsidR="00BA5E4D">
        <w:rPr>
          <w:color w:val="auto"/>
          <w:sz w:val="28"/>
          <w:szCs w:val="28"/>
          <w:u w:color="0000E9"/>
        </w:rPr>
        <w:t>”</w:t>
      </w:r>
    </w:p>
    <w:p w14:paraId="2EABD4C2" w14:textId="77777777" w:rsidR="00CD257F" w:rsidRDefault="00CD257F">
      <w:pPr>
        <w:widowControl w:val="0"/>
        <w:spacing w:before="120"/>
        <w:rPr>
          <w:b/>
          <w:sz w:val="28"/>
        </w:rPr>
      </w:pPr>
    </w:p>
    <w:p w14:paraId="368EE627" w14:textId="77777777" w:rsidR="00F438FA" w:rsidRDefault="00F438FA">
      <w:pPr>
        <w:rPr>
          <w:rFonts w:ascii="Arial" w:hAnsi="Arial"/>
          <w:b/>
          <w:sz w:val="32"/>
          <w:szCs w:val="32"/>
        </w:rPr>
      </w:pPr>
      <w:bookmarkStart w:id="0" w:name="_Toc371863544"/>
      <w:r>
        <w:rPr>
          <w:sz w:val="32"/>
          <w:szCs w:val="32"/>
        </w:rPr>
        <w:br w:type="page"/>
      </w:r>
    </w:p>
    <w:p w14:paraId="6B1979C6" w14:textId="0FD341C5" w:rsidR="003862B7" w:rsidRPr="003237F3" w:rsidRDefault="003862B7" w:rsidP="003862B7">
      <w:pPr>
        <w:pStyle w:val="Heading2"/>
        <w:rPr>
          <w:sz w:val="32"/>
          <w:szCs w:val="32"/>
        </w:rPr>
      </w:pPr>
      <w:r w:rsidRPr="003237F3">
        <w:rPr>
          <w:sz w:val="32"/>
          <w:szCs w:val="32"/>
        </w:rPr>
        <w:t>ANA Request Procedure for other standards development organizations (SDOs)</w:t>
      </w:r>
      <w:bookmarkEnd w:id="0"/>
    </w:p>
    <w:p w14:paraId="4B618C00" w14:textId="77777777" w:rsidR="003862B7" w:rsidRPr="003862B7" w:rsidRDefault="003862B7" w:rsidP="003862B7">
      <w:pPr>
        <w:rPr>
          <w:sz w:val="28"/>
          <w:szCs w:val="28"/>
        </w:rPr>
      </w:pPr>
      <w:r w:rsidRPr="003862B7">
        <w:rPr>
          <w:sz w:val="28"/>
          <w:szCs w:val="28"/>
        </w:rPr>
        <w:t>A limited number of numbers may be assigned to allow SDOs to extend the use of IEEE 802.15.  Currently, this is only allowed for IEEE Std. 802.15.4, but it may be applied to other IEEE 802.15 standards in the future at the discretion of the WG Chair.</w:t>
      </w:r>
    </w:p>
    <w:p w14:paraId="7844CB91" w14:textId="77777777" w:rsidR="003862B7" w:rsidRPr="003862B7" w:rsidRDefault="003862B7" w:rsidP="003862B7">
      <w:pPr>
        <w:rPr>
          <w:sz w:val="28"/>
          <w:szCs w:val="28"/>
        </w:rPr>
      </w:pPr>
      <w:r w:rsidRPr="003862B7">
        <w:rPr>
          <w:sz w:val="28"/>
          <w:szCs w:val="28"/>
        </w:rPr>
        <w:t>Only the following categories of IDs may be assigned for IEEE Std. 802.15.4:</w:t>
      </w:r>
    </w:p>
    <w:p w14:paraId="02426547" w14:textId="77777777" w:rsidR="003862B7" w:rsidRDefault="003862B7" w:rsidP="003862B7">
      <w:pPr>
        <w:pStyle w:val="ListParagraph"/>
        <w:numPr>
          <w:ilvl w:val="0"/>
          <w:numId w:val="3"/>
        </w:numPr>
      </w:pPr>
      <w:r>
        <w:t>Frame Extension ID</w:t>
      </w:r>
    </w:p>
    <w:p w14:paraId="483401F9" w14:textId="77777777" w:rsidR="003862B7" w:rsidRDefault="003862B7" w:rsidP="003862B7">
      <w:pPr>
        <w:pStyle w:val="ListParagraph"/>
        <w:numPr>
          <w:ilvl w:val="0"/>
          <w:numId w:val="3"/>
        </w:numPr>
      </w:pPr>
      <w:r>
        <w:t>Header Information Element (IE) Element ID</w:t>
      </w:r>
    </w:p>
    <w:p w14:paraId="0E3C9B9B" w14:textId="77777777" w:rsidR="003862B7" w:rsidRDefault="003862B7" w:rsidP="003862B7">
      <w:pPr>
        <w:pStyle w:val="ListParagraph"/>
        <w:numPr>
          <w:ilvl w:val="0"/>
          <w:numId w:val="3"/>
        </w:numPr>
      </w:pPr>
      <w:r>
        <w:t xml:space="preserve">Payload IE Group ID </w:t>
      </w:r>
    </w:p>
    <w:p w14:paraId="462A543D" w14:textId="77777777" w:rsidR="003862B7" w:rsidRPr="003862B7" w:rsidRDefault="003862B7" w:rsidP="003862B7">
      <w:pPr>
        <w:rPr>
          <w:sz w:val="28"/>
          <w:szCs w:val="28"/>
        </w:rPr>
      </w:pPr>
      <w:r w:rsidRPr="003862B7">
        <w:rPr>
          <w:sz w:val="28"/>
          <w:szCs w:val="28"/>
        </w:rPr>
        <w:t>Only one number shall be assigned to an SDO from an ID category.  The SDO is responsible to create a method for sub-typing that would prevent the need for an additional ID.</w:t>
      </w:r>
    </w:p>
    <w:p w14:paraId="60EE7436" w14:textId="77777777" w:rsidR="003862B7" w:rsidRPr="003862B7" w:rsidRDefault="003862B7" w:rsidP="003862B7">
      <w:pPr>
        <w:rPr>
          <w:sz w:val="28"/>
          <w:szCs w:val="28"/>
        </w:rPr>
      </w:pPr>
      <w:r w:rsidRPr="003862B7">
        <w:rPr>
          <w:sz w:val="28"/>
          <w:szCs w:val="28"/>
        </w:rPr>
        <w:t>To request an ID, the SDO shall send an official request to the IEEE 802.15 WG Chair that includes, at a minimum, the following information:</w:t>
      </w:r>
    </w:p>
    <w:p w14:paraId="36ED2378" w14:textId="77777777" w:rsidR="003862B7" w:rsidRDefault="003862B7" w:rsidP="003862B7">
      <w:pPr>
        <w:pStyle w:val="ListParagraph"/>
        <w:numPr>
          <w:ilvl w:val="0"/>
          <w:numId w:val="4"/>
        </w:numPr>
      </w:pPr>
      <w:r>
        <w:t>The name of the SDO and its accreditation</w:t>
      </w:r>
    </w:p>
    <w:p w14:paraId="427682FE" w14:textId="77777777" w:rsidR="003862B7" w:rsidRDefault="003862B7" w:rsidP="003862B7">
      <w:pPr>
        <w:pStyle w:val="ListParagraph"/>
        <w:numPr>
          <w:ilvl w:val="0"/>
          <w:numId w:val="4"/>
        </w:numPr>
      </w:pPr>
      <w:r>
        <w:t>The reason for the request</w:t>
      </w:r>
    </w:p>
    <w:p w14:paraId="578C204A" w14:textId="77777777" w:rsidR="003862B7" w:rsidRDefault="003862B7" w:rsidP="003862B7">
      <w:pPr>
        <w:pStyle w:val="ListParagraph"/>
        <w:numPr>
          <w:ilvl w:val="0"/>
          <w:numId w:val="4"/>
        </w:numPr>
      </w:pPr>
      <w:r>
        <w:t>The ID categories that are requested</w:t>
      </w:r>
    </w:p>
    <w:p w14:paraId="35BFA4CE" w14:textId="77777777" w:rsidR="003862B7" w:rsidRDefault="003862B7" w:rsidP="003862B7">
      <w:pPr>
        <w:pStyle w:val="ListParagraph"/>
        <w:numPr>
          <w:ilvl w:val="0"/>
          <w:numId w:val="4"/>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14223839" w14:textId="77777777" w:rsidR="003862B7" w:rsidRDefault="003862B7" w:rsidP="003862B7">
      <w:pPr>
        <w:pStyle w:val="ListParagraph"/>
        <w:numPr>
          <w:ilvl w:val="0"/>
          <w:numId w:val="4"/>
        </w:numPr>
      </w:pPr>
      <w:r>
        <w:t>A statement that the SDO understands that only one ID number will be issued to the SDO in an ID category and that the SDO is responsible to create a method for sub-typing the ID to prevent the need for additional requests in the future.</w:t>
      </w:r>
    </w:p>
    <w:p w14:paraId="7FD39DD2" w14:textId="77777777" w:rsidR="003862B7" w:rsidRPr="003862B7" w:rsidRDefault="003862B7" w:rsidP="003862B7">
      <w:pPr>
        <w:rPr>
          <w:sz w:val="28"/>
          <w:szCs w:val="28"/>
        </w:rPr>
      </w:pPr>
      <w:r w:rsidRPr="003862B7">
        <w:rPr>
          <w:sz w:val="28"/>
          <w:szCs w:val="28"/>
        </w:rP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745A8D8D" w14:textId="77777777" w:rsidR="003862B7" w:rsidRPr="003862B7" w:rsidRDefault="003862B7" w:rsidP="003862B7">
      <w:pPr>
        <w:rPr>
          <w:sz w:val="28"/>
          <w:szCs w:val="28"/>
        </w:rPr>
      </w:pPr>
      <w:r w:rsidRPr="003862B7">
        <w:rPr>
          <w:sz w:val="28"/>
          <w:szCs w:val="28"/>
        </w:rPr>
        <w:t>The committee shall refuse the request if:</w:t>
      </w:r>
    </w:p>
    <w:p w14:paraId="50F55BA0" w14:textId="77777777" w:rsidR="003862B7" w:rsidRDefault="003862B7" w:rsidP="003862B7">
      <w:pPr>
        <w:pStyle w:val="ListParagraph"/>
        <w:numPr>
          <w:ilvl w:val="0"/>
          <w:numId w:val="5"/>
        </w:numPr>
      </w:pPr>
      <w:r>
        <w:t>The SDO is not an accredited SDO</w:t>
      </w:r>
    </w:p>
    <w:p w14:paraId="6FC8D746" w14:textId="77777777" w:rsidR="003862B7" w:rsidRDefault="003862B7" w:rsidP="003862B7">
      <w:pPr>
        <w:pStyle w:val="ListParagraph"/>
        <w:numPr>
          <w:ilvl w:val="0"/>
          <w:numId w:val="5"/>
        </w:numPr>
      </w:pPr>
      <w:r>
        <w:t>The SDO has already been assigned a number in a requested ID category.</w:t>
      </w:r>
    </w:p>
    <w:p w14:paraId="06F78395" w14:textId="77777777" w:rsidR="003862B7" w:rsidRDefault="003862B7" w:rsidP="003862B7">
      <w:pPr>
        <w:pStyle w:val="ListParagraph"/>
        <w:numPr>
          <w:ilvl w:val="0"/>
          <w:numId w:val="5"/>
        </w:numPr>
      </w:pPr>
      <w:r>
        <w:lastRenderedPageBreak/>
        <w:t>The SDO has not adequately described a subtyping method to prevent the need for the SDO request a further ID in the future.</w:t>
      </w:r>
    </w:p>
    <w:p w14:paraId="607F9503" w14:textId="77777777" w:rsidR="003862B7" w:rsidRDefault="003862B7" w:rsidP="003862B7">
      <w:pPr>
        <w:pStyle w:val="ListParagraph"/>
        <w:numPr>
          <w:ilvl w:val="0"/>
          <w:numId w:val="5"/>
        </w:numPr>
      </w:pPr>
      <w:r>
        <w:t>There is a technical reason why a number cannot be allocated.</w:t>
      </w:r>
    </w:p>
    <w:p w14:paraId="19848289" w14:textId="77777777" w:rsidR="003862B7" w:rsidRDefault="003862B7" w:rsidP="00BF6348">
      <w:pPr>
        <w:widowControl w:val="0"/>
        <w:spacing w:before="120"/>
        <w:rPr>
          <w:sz w:val="28"/>
          <w:szCs w:val="28"/>
        </w:rPr>
      </w:pPr>
      <w:r w:rsidRPr="003862B7">
        <w:rPr>
          <w:sz w:val="28"/>
          <w:szCs w:val="28"/>
        </w:rPr>
        <w:t>If the committee approves the request, the WG ANA lead will assign a number for the requested ID categories and update the ANA database document.  The assignment of the number should also be submitted for inclusion in the next revision of the standard</w:t>
      </w:r>
      <w:r>
        <w:rPr>
          <w:sz w:val="28"/>
          <w:szCs w:val="28"/>
        </w:rPr>
        <w:t>.</w:t>
      </w:r>
    </w:p>
    <w:p w14:paraId="0B909192" w14:textId="77777777" w:rsidR="003237F3" w:rsidRDefault="003237F3" w:rsidP="003862B7">
      <w:pPr>
        <w:widowControl w:val="0"/>
        <w:spacing w:before="120"/>
        <w:rPr>
          <w:sz w:val="28"/>
          <w:szCs w:val="28"/>
        </w:rPr>
        <w:sectPr w:rsidR="003237F3" w:rsidSect="0088719B">
          <w:headerReference w:type="default" r:id="rId10"/>
          <w:footerReference w:type="default" r:id="rId11"/>
          <w:headerReference w:type="first" r:id="rId12"/>
          <w:footerReference w:type="first" r:id="rId13"/>
          <w:footnotePr>
            <w:pos w:val="beneathText"/>
          </w:footnotePr>
          <w:pgSz w:w="12240" w:h="15840"/>
          <w:pgMar w:top="1800" w:right="1440" w:bottom="1800" w:left="1440" w:header="1170" w:footer="859" w:gutter="0"/>
          <w:cols w:space="0"/>
        </w:sectPr>
      </w:pPr>
    </w:p>
    <w:p w14:paraId="442D52AC" w14:textId="77777777" w:rsidR="003862B7" w:rsidRDefault="003237F3" w:rsidP="00BF6348">
      <w:pPr>
        <w:widowControl w:val="0"/>
        <w:rPr>
          <w:sz w:val="28"/>
          <w:szCs w:val="28"/>
        </w:rPr>
      </w:pPr>
      <w:r>
        <w:rPr>
          <w:sz w:val="28"/>
          <w:szCs w:val="28"/>
        </w:rPr>
        <w:pict w14:anchorId="3F138251">
          <v:shape id="_x0000_i1029" type="#_x0000_t75" style="width:467.85pt;height:1.5pt" o:hrpct="0" o:hralign="center" o:hr="t">
            <v:imagedata r:id="rId14" o:title="Default Line"/>
          </v:shape>
        </w:pict>
      </w:r>
    </w:p>
    <w:p w14:paraId="4DDAA8B7" w14:textId="24205D9C" w:rsidR="0091353E" w:rsidRDefault="004A79FF" w:rsidP="00BF6348">
      <w:pPr>
        <w:widowControl w:val="0"/>
        <w:spacing w:before="120" w:after="120"/>
        <w:rPr>
          <w:b/>
          <w:sz w:val="32"/>
          <w:szCs w:val="32"/>
        </w:rPr>
      </w:pPr>
      <w:r>
        <w:rPr>
          <w:b/>
          <w:sz w:val="32"/>
          <w:szCs w:val="32"/>
        </w:rPr>
        <w:t xml:space="preserve">IEEE 802.15.4-2015 </w:t>
      </w:r>
      <w:r w:rsidR="0091353E">
        <w:rPr>
          <w:b/>
          <w:sz w:val="32"/>
          <w:szCs w:val="32"/>
        </w:rPr>
        <w:t>standard on</w:t>
      </w:r>
      <w:r w:rsidR="000A5AFD">
        <w:rPr>
          <w:b/>
          <w:sz w:val="32"/>
          <w:szCs w:val="32"/>
        </w:rPr>
        <w:t xml:space="preserve"> the use of IEs</w:t>
      </w:r>
    </w:p>
    <w:p w14:paraId="61342A7A" w14:textId="77777777" w:rsidR="00B40296" w:rsidRDefault="009F7D0C" w:rsidP="009F7D0C">
      <w:pPr>
        <w:widowControl w:val="0"/>
        <w:autoSpaceDE w:val="0"/>
        <w:autoSpaceDN w:val="0"/>
        <w:adjustRightInd w:val="0"/>
        <w:spacing w:after="240" w:line="300" w:lineRule="atLeast"/>
        <w:rPr>
          <w:color w:val="525252"/>
          <w:sz w:val="28"/>
          <w:szCs w:val="28"/>
        </w:rPr>
      </w:pPr>
      <w:r w:rsidRPr="009F7D0C">
        <w:rPr>
          <w:b/>
          <w:bCs/>
          <w:color w:val="auto"/>
          <w:sz w:val="28"/>
          <w:szCs w:val="28"/>
        </w:rPr>
        <w:t>7.4.3 Payload IEs</w:t>
      </w:r>
      <w:r w:rsidRPr="009F7D0C">
        <w:rPr>
          <w:color w:val="525252"/>
          <w:sz w:val="28"/>
          <w:szCs w:val="28"/>
        </w:rPr>
        <w:t xml:space="preserve"> </w:t>
      </w:r>
    </w:p>
    <w:p w14:paraId="294E619D" w14:textId="77777777" w:rsidR="009F7D0C" w:rsidRPr="009F7D0C" w:rsidRDefault="009F7D0C" w:rsidP="009F7D0C">
      <w:pPr>
        <w:widowControl w:val="0"/>
        <w:autoSpaceDE w:val="0"/>
        <w:autoSpaceDN w:val="0"/>
        <w:adjustRightInd w:val="0"/>
        <w:spacing w:after="240" w:line="300" w:lineRule="atLeast"/>
        <w:rPr>
          <w:color w:val="auto"/>
          <w:sz w:val="28"/>
          <w:szCs w:val="28"/>
        </w:rPr>
      </w:pPr>
      <w:r w:rsidRPr="009F7D0C">
        <w:rPr>
          <w:color w:val="auto"/>
          <w:sz w:val="28"/>
          <w:szCs w:val="28"/>
        </w:rPr>
        <w:t>The general format of the Payload IE is shown in Figure 7-</w:t>
      </w:r>
      <w:r w:rsidR="009B7B69">
        <w:rPr>
          <w:color w:val="auto"/>
          <w:sz w:val="28"/>
          <w:szCs w:val="28"/>
        </w:rPr>
        <w:t>46</w:t>
      </w:r>
      <w:r w:rsidRPr="009F7D0C">
        <w:rPr>
          <w:color w:val="auto"/>
          <w:sz w:val="28"/>
          <w:szCs w:val="28"/>
        </w:rPr>
        <w:t xml:space="preserve">. </w:t>
      </w:r>
    </w:p>
    <w:tbl>
      <w:tblPr>
        <w:tblStyle w:val="TableGrid"/>
        <w:tblW w:w="0" w:type="auto"/>
        <w:tblInd w:w="108" w:type="dxa"/>
        <w:tblLook w:val="04A0" w:firstRow="1" w:lastRow="0" w:firstColumn="1" w:lastColumn="0" w:noHBand="0" w:noVBand="1"/>
      </w:tblPr>
      <w:tblGrid>
        <w:gridCol w:w="2286"/>
        <w:gridCol w:w="2394"/>
        <w:gridCol w:w="2394"/>
        <w:gridCol w:w="2106"/>
      </w:tblGrid>
      <w:tr w:rsidR="009F7D0C" w:rsidRPr="009F7D0C" w14:paraId="0BC5E839" w14:textId="77777777" w:rsidTr="009F7D0C">
        <w:tc>
          <w:tcPr>
            <w:tcW w:w="2286" w:type="dxa"/>
          </w:tcPr>
          <w:p w14:paraId="3F038EF7"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2394" w:type="dxa"/>
          </w:tcPr>
          <w:p w14:paraId="069065C9"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2394" w:type="dxa"/>
          </w:tcPr>
          <w:p w14:paraId="6C9D9181"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2106" w:type="dxa"/>
          </w:tcPr>
          <w:p w14:paraId="73E3F89F" w14:textId="77777777" w:rsidR="009F7D0C" w:rsidRPr="009F7D0C" w:rsidRDefault="009F7D0C" w:rsidP="009F7D0C">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0-2047</w:t>
            </w:r>
          </w:p>
        </w:tc>
      </w:tr>
      <w:tr w:rsidR="009F7D0C" w:rsidRPr="009F7D0C" w14:paraId="186A92B9" w14:textId="77777777" w:rsidTr="009F7D0C">
        <w:tc>
          <w:tcPr>
            <w:tcW w:w="2286" w:type="dxa"/>
          </w:tcPr>
          <w:p w14:paraId="426A7AF2" w14:textId="77777777" w:rsidR="009F7D0C" w:rsidRPr="009F7D0C" w:rsidRDefault="009F7D0C" w:rsidP="009F7D0C">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Length</w:t>
            </w:r>
          </w:p>
        </w:tc>
        <w:tc>
          <w:tcPr>
            <w:tcW w:w="2394" w:type="dxa"/>
          </w:tcPr>
          <w:p w14:paraId="09FB5E26" w14:textId="77777777" w:rsidR="009F7D0C" w:rsidRPr="009F7D0C" w:rsidRDefault="009F7D0C" w:rsidP="009F7D0C">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2394" w:type="dxa"/>
          </w:tcPr>
          <w:p w14:paraId="0B578F2E" w14:textId="77777777" w:rsidR="009F7D0C" w:rsidRPr="009F7D0C" w:rsidRDefault="009F7D0C" w:rsidP="009F7D0C">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c>
          <w:tcPr>
            <w:tcW w:w="2106" w:type="dxa"/>
          </w:tcPr>
          <w:p w14:paraId="391C941B" w14:textId="77777777" w:rsidR="009F7D0C" w:rsidRPr="009F7D0C" w:rsidRDefault="009F7D0C" w:rsidP="009F7D0C">
            <w:pPr>
              <w:widowControl w:val="0"/>
              <w:autoSpaceDE w:val="0"/>
              <w:autoSpaceDN w:val="0"/>
              <w:adjustRightInd w:val="0"/>
              <w:spacing w:after="240" w:line="300" w:lineRule="atLeast"/>
              <w:rPr>
                <w:b/>
                <w:bCs/>
                <w:color w:val="auto"/>
                <w:sz w:val="28"/>
                <w:szCs w:val="28"/>
              </w:rPr>
            </w:pPr>
            <w:r w:rsidRPr="009F7D0C">
              <w:rPr>
                <w:rFonts w:ascii="Cambria" w:eastAsia="MS Mincho" w:hAnsi="Cambria"/>
                <w:color w:val="auto"/>
                <w:sz w:val="24"/>
                <w:szCs w:val="24"/>
                <w:lang w:eastAsia="ja-JP"/>
              </w:rPr>
              <w:t>Content</w:t>
            </w:r>
          </w:p>
        </w:tc>
      </w:tr>
    </w:tbl>
    <w:p w14:paraId="4B8B7E8D" w14:textId="77777777" w:rsidR="009F7D0C" w:rsidRPr="009F7D0C" w:rsidRDefault="009F7D0C" w:rsidP="009F7D0C">
      <w:pPr>
        <w:widowControl w:val="0"/>
        <w:autoSpaceDE w:val="0"/>
        <w:autoSpaceDN w:val="0"/>
        <w:adjustRightInd w:val="0"/>
        <w:spacing w:after="240" w:line="300" w:lineRule="atLeast"/>
        <w:rPr>
          <w:color w:val="auto"/>
          <w:sz w:val="28"/>
          <w:szCs w:val="28"/>
        </w:rPr>
      </w:pPr>
      <w:r w:rsidRPr="009F7D0C">
        <w:rPr>
          <w:b/>
          <w:bCs/>
          <w:color w:val="auto"/>
          <w:sz w:val="28"/>
          <w:szCs w:val="28"/>
        </w:rPr>
        <w:t>Figure 7-</w:t>
      </w:r>
      <w:r w:rsidR="009B7B69">
        <w:rPr>
          <w:b/>
          <w:bCs/>
          <w:color w:val="auto"/>
          <w:sz w:val="28"/>
          <w:szCs w:val="28"/>
        </w:rPr>
        <w:t>46</w:t>
      </w:r>
      <w:r w:rsidRPr="009F7D0C">
        <w:rPr>
          <w:b/>
          <w:bCs/>
          <w:color w:val="auto"/>
          <w:sz w:val="28"/>
          <w:szCs w:val="28"/>
        </w:rPr>
        <w:t xml:space="preserve">—Format of Payload IEs </w:t>
      </w:r>
    </w:p>
    <w:p w14:paraId="4182BBAB" w14:textId="77777777" w:rsidR="009F7D0C" w:rsidRDefault="009F7D0C" w:rsidP="009F7D0C">
      <w:pPr>
        <w:widowControl w:val="0"/>
        <w:autoSpaceDE w:val="0"/>
        <w:autoSpaceDN w:val="0"/>
        <w:adjustRightInd w:val="0"/>
        <w:spacing w:after="240" w:line="200" w:lineRule="atLeast"/>
        <w:rPr>
          <w:color w:val="auto"/>
          <w:sz w:val="28"/>
          <w:szCs w:val="28"/>
        </w:rPr>
      </w:pPr>
      <w:r w:rsidRPr="009F7D0C">
        <w:rPr>
          <w:color w:val="auto"/>
          <w:sz w:val="28"/>
          <w:szCs w:val="28"/>
        </w:rPr>
        <w:t xml:space="preserve">The Length field specifies the number of octets in the Content field. </w:t>
      </w:r>
    </w:p>
    <w:p w14:paraId="4F665DCC" w14:textId="77777777" w:rsidR="009F7D0C" w:rsidRPr="009F7D0C" w:rsidRDefault="009F7D0C" w:rsidP="009F7D0C">
      <w:pPr>
        <w:widowControl w:val="0"/>
        <w:autoSpaceDE w:val="0"/>
        <w:autoSpaceDN w:val="0"/>
        <w:adjustRightInd w:val="0"/>
        <w:spacing w:after="240" w:line="200" w:lineRule="atLeast"/>
        <w:rPr>
          <w:color w:val="auto"/>
          <w:sz w:val="28"/>
          <w:szCs w:val="28"/>
        </w:rPr>
      </w:pPr>
      <w:r w:rsidRPr="009F7D0C">
        <w:rPr>
          <w:color w:val="auto"/>
          <w:sz w:val="28"/>
          <w:szCs w:val="28"/>
        </w:rPr>
        <w:t>The Group ID values are defined in Table 7-1</w:t>
      </w:r>
      <w:r w:rsidR="009B7B69">
        <w:rPr>
          <w:color w:val="auto"/>
          <w:sz w:val="28"/>
          <w:szCs w:val="28"/>
        </w:rPr>
        <w:t>5</w:t>
      </w:r>
      <w:r w:rsidRPr="009F7D0C">
        <w:rPr>
          <w:color w:val="auto"/>
          <w:sz w:val="28"/>
          <w:szCs w:val="28"/>
        </w:rPr>
        <w:t xml:space="preserve"> for each of the Payload IEs. In the table, an X in the columns for frame indicates that the IE may be used in that frame. If there is not an X in the column, then the IE shall not be used in that frame. In the table, UL refers to the layers above the MAC. </w:t>
      </w:r>
    </w:p>
    <w:p w14:paraId="25292A4F" w14:textId="77777777" w:rsidR="009F7D0C" w:rsidRDefault="00B40296" w:rsidP="00B40296">
      <w:pPr>
        <w:widowControl w:val="0"/>
        <w:autoSpaceDE w:val="0"/>
        <w:autoSpaceDN w:val="0"/>
        <w:adjustRightInd w:val="0"/>
        <w:spacing w:after="240" w:line="300" w:lineRule="atLeast"/>
        <w:jc w:val="center"/>
        <w:rPr>
          <w:rFonts w:ascii="Times" w:hAnsi="Times" w:cs="Times"/>
          <w:color w:val="auto"/>
          <w:sz w:val="24"/>
          <w:szCs w:val="24"/>
        </w:rPr>
      </w:pPr>
      <w:r>
        <w:rPr>
          <w:rFonts w:ascii="Arial" w:hAnsi="Arial" w:cs="Arial"/>
          <w:b/>
          <w:bCs/>
          <w:color w:val="auto"/>
          <w:sz w:val="26"/>
          <w:szCs w:val="26"/>
        </w:rPr>
        <w:br w:type="page"/>
      </w:r>
      <w:r w:rsidR="009F7D0C">
        <w:rPr>
          <w:rFonts w:ascii="Arial" w:hAnsi="Arial" w:cs="Arial"/>
          <w:b/>
          <w:bCs/>
          <w:color w:val="auto"/>
          <w:sz w:val="26"/>
          <w:szCs w:val="26"/>
        </w:rPr>
        <w:t>Table 7-1</w:t>
      </w:r>
      <w:r w:rsidR="009B7B69">
        <w:rPr>
          <w:rFonts w:ascii="Arial" w:hAnsi="Arial" w:cs="Arial"/>
          <w:b/>
          <w:bCs/>
          <w:color w:val="auto"/>
          <w:sz w:val="26"/>
          <w:szCs w:val="26"/>
        </w:rPr>
        <w:t>5</w:t>
      </w:r>
      <w:r w:rsidR="009F7D0C">
        <w:rPr>
          <w:rFonts w:ascii="Arial" w:hAnsi="Arial" w:cs="Arial"/>
          <w:b/>
          <w:bCs/>
          <w:color w:val="auto"/>
          <w:sz w:val="26"/>
          <w:szCs w:val="26"/>
        </w:rPr>
        <w:t>—Payload IE Group ID</w:t>
      </w:r>
    </w:p>
    <w:tbl>
      <w:tblPr>
        <w:tblW w:w="10188" w:type="dxa"/>
        <w:tblBorders>
          <w:top w:val="nil"/>
          <w:left w:val="nil"/>
          <w:right w:val="nil"/>
        </w:tblBorders>
        <w:tblLayout w:type="fixed"/>
        <w:tblLook w:val="0000" w:firstRow="0" w:lastRow="0" w:firstColumn="0" w:lastColumn="0" w:noHBand="0" w:noVBand="0"/>
      </w:tblPr>
      <w:tblGrid>
        <w:gridCol w:w="1098"/>
        <w:gridCol w:w="2970"/>
        <w:gridCol w:w="540"/>
        <w:gridCol w:w="450"/>
        <w:gridCol w:w="540"/>
        <w:gridCol w:w="450"/>
        <w:gridCol w:w="540"/>
        <w:gridCol w:w="1080"/>
        <w:gridCol w:w="900"/>
        <w:gridCol w:w="810"/>
        <w:gridCol w:w="810"/>
      </w:tblGrid>
      <w:tr w:rsidR="00BF6348" w14:paraId="2C487845" w14:textId="77777777" w:rsidTr="00BF6348">
        <w:tblPrEx>
          <w:tblCellMar>
            <w:top w:w="0" w:type="dxa"/>
            <w:bottom w:w="0" w:type="dxa"/>
          </w:tblCellMar>
        </w:tblPrEx>
        <w:trPr>
          <w:cantSplit/>
          <w:trHeight w:val="2128"/>
        </w:trPr>
        <w:tc>
          <w:tcPr>
            <w:tcW w:w="1098"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3748F250" w14:textId="77777777" w:rsidR="009F7D0C" w:rsidRDefault="009F7D0C">
            <w:pPr>
              <w:widowControl w:val="0"/>
              <w:autoSpaceDE w:val="0"/>
              <w:autoSpaceDN w:val="0"/>
              <w:adjustRightInd w:val="0"/>
              <w:spacing w:after="240" w:line="280" w:lineRule="atLeast"/>
              <w:rPr>
                <w:rFonts w:ascii="Times" w:hAnsi="Times" w:cs="Times"/>
                <w:color w:val="auto"/>
                <w:sz w:val="24"/>
                <w:szCs w:val="24"/>
              </w:rPr>
            </w:pPr>
            <w:r>
              <w:rPr>
                <w:rFonts w:ascii="Times" w:hAnsi="Times" w:cs="Times"/>
                <w:b/>
                <w:bCs/>
                <w:color w:val="auto"/>
                <w:sz w:val="24"/>
                <w:szCs w:val="24"/>
              </w:rPr>
              <w:t xml:space="preserve">Group ID value </w:t>
            </w:r>
          </w:p>
        </w:tc>
        <w:tc>
          <w:tcPr>
            <w:tcW w:w="297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484CA32" w14:textId="77777777" w:rsidR="009F7D0C" w:rsidRDefault="009F7D0C">
            <w:pPr>
              <w:widowControl w:val="0"/>
              <w:autoSpaceDE w:val="0"/>
              <w:autoSpaceDN w:val="0"/>
              <w:adjustRightInd w:val="0"/>
              <w:spacing w:after="240" w:line="280" w:lineRule="atLeast"/>
              <w:rPr>
                <w:rFonts w:ascii="Times" w:hAnsi="Times" w:cs="Times"/>
                <w:color w:val="auto"/>
                <w:sz w:val="24"/>
                <w:szCs w:val="24"/>
              </w:rPr>
            </w:pPr>
            <w:r>
              <w:rPr>
                <w:rFonts w:ascii="Times" w:hAnsi="Times" w:cs="Times"/>
                <w:b/>
                <w:bCs/>
                <w:color w:val="auto"/>
                <w:sz w:val="24"/>
                <w:szCs w:val="24"/>
              </w:rPr>
              <w:t xml:space="preserve">Name </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754D9F8D" w14:textId="77777777" w:rsidR="009F7D0C" w:rsidRPr="00B40296" w:rsidRDefault="009F7D0C" w:rsidP="009F7D0C">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Enhanced Beacon</w:t>
            </w:r>
          </w:p>
        </w:tc>
        <w:tc>
          <w:tcPr>
            <w:tcW w:w="45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3DEED7B0" w14:textId="77777777" w:rsidR="009F7D0C" w:rsidRPr="00B40296" w:rsidRDefault="009F7D0C" w:rsidP="009F7D0C">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Enhanced ACK</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0ED55155"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Data</w:t>
            </w:r>
          </w:p>
        </w:tc>
        <w:tc>
          <w:tcPr>
            <w:tcW w:w="45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289DEDEA"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Multipurpose</w:t>
            </w:r>
          </w:p>
        </w:tc>
        <w:tc>
          <w:tcPr>
            <w:tcW w:w="5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4DBD0126"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MAC Command</w:t>
            </w:r>
          </w:p>
        </w:tc>
        <w:tc>
          <w:tcPr>
            <w:tcW w:w="108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66E1F228"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Format Subclause</w:t>
            </w:r>
          </w:p>
        </w:tc>
        <w:tc>
          <w:tcPr>
            <w:tcW w:w="90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0513E331"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Use Description</w:t>
            </w:r>
          </w:p>
        </w:tc>
        <w:tc>
          <w:tcPr>
            <w:tcW w:w="81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textDirection w:val="btLr"/>
            <w:vAlign w:val="center"/>
          </w:tcPr>
          <w:p w14:paraId="66FF8F89"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Used by</w:t>
            </w:r>
          </w:p>
        </w:tc>
        <w:tc>
          <w:tcPr>
            <w:tcW w:w="81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textDirection w:val="btLr"/>
            <w:vAlign w:val="center"/>
          </w:tcPr>
          <w:p w14:paraId="75327892" w14:textId="77777777" w:rsidR="009F7D0C" w:rsidRPr="00B40296" w:rsidRDefault="00B40296" w:rsidP="00B40296">
            <w:pPr>
              <w:widowControl w:val="0"/>
              <w:autoSpaceDE w:val="0"/>
              <w:autoSpaceDN w:val="0"/>
              <w:adjustRightInd w:val="0"/>
              <w:spacing w:line="280" w:lineRule="atLeast"/>
              <w:ind w:left="113" w:right="113"/>
              <w:rPr>
                <w:rFonts w:ascii="Times" w:hAnsi="Times" w:cs="Times"/>
                <w:b/>
                <w:color w:val="auto"/>
                <w:sz w:val="24"/>
                <w:szCs w:val="24"/>
              </w:rPr>
            </w:pPr>
            <w:r w:rsidRPr="00B40296">
              <w:rPr>
                <w:rFonts w:ascii="Times" w:hAnsi="Times" w:cs="Times"/>
                <w:b/>
                <w:color w:val="auto"/>
                <w:sz w:val="24"/>
                <w:szCs w:val="24"/>
              </w:rPr>
              <w:t>Created by</w:t>
            </w:r>
          </w:p>
        </w:tc>
      </w:tr>
      <w:tr w:rsidR="00BF6348" w14:paraId="555BA957" w14:textId="77777777" w:rsidTr="00BF6348">
        <w:tblPrEx>
          <w:tblBorders>
            <w:top w:val="none" w:sz="0" w:space="0" w:color="auto"/>
          </w:tblBorders>
          <w:tblCellMar>
            <w:top w:w="0" w:type="dxa"/>
            <w:bottom w:w="0" w:type="dxa"/>
          </w:tblCellMar>
        </w:tblPrEx>
        <w:tc>
          <w:tcPr>
            <w:tcW w:w="1098" w:type="dxa"/>
            <w:tcBorders>
              <w:top w:val="single" w:sz="13"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733AB306"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0x0 </w:t>
            </w:r>
          </w:p>
        </w:tc>
        <w:tc>
          <w:tcPr>
            <w:tcW w:w="297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F2E3B8"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Encapsulated Service Data Unit (ESDU) IE </w:t>
            </w: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A16CB1B"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77AACAA" w14:textId="77777777" w:rsidR="009F7D0C" w:rsidRDefault="009F7D0C" w:rsidP="003330B8">
            <w:pPr>
              <w:widowControl w:val="0"/>
              <w:autoSpaceDE w:val="0"/>
              <w:autoSpaceDN w:val="0"/>
              <w:adjustRightInd w:val="0"/>
              <w:spacing w:line="280" w:lineRule="atLeast"/>
              <w:jc w:val="center"/>
              <w:rPr>
                <w:rFonts w:ascii="Times" w:hAnsi="Times" w:cs="Times"/>
                <w:color w:val="auto"/>
                <w:sz w:val="24"/>
                <w:szCs w:val="24"/>
              </w:rPr>
            </w:pP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83ED82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DF6A38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EBA88A"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AD88B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7.4.3.1</w:t>
            </w:r>
          </w:p>
        </w:tc>
        <w:tc>
          <w:tcPr>
            <w:tcW w:w="90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C6241A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7.4.3.1</w:t>
            </w:r>
          </w:p>
        </w:tc>
        <w:tc>
          <w:tcPr>
            <w:tcW w:w="810" w:type="dxa"/>
            <w:tcBorders>
              <w:top w:val="single" w:sz="13"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7E4CF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c>
          <w:tcPr>
            <w:tcW w:w="810" w:type="dxa"/>
            <w:tcBorders>
              <w:top w:val="single" w:sz="13"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85C3B4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r>
      <w:tr w:rsidR="00BF6348" w14:paraId="46417FAF"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387C4A52"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0x1 </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33BEBDB"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MLME IE </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CD3EFA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99D8AE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BE65A11"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F1A2714"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59E92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951800A"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7.4.3.2</w:t>
            </w:r>
          </w:p>
        </w:tc>
        <w:tc>
          <w:tcPr>
            <w:tcW w:w="90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6A9CC6F"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7.4.3.2</w:t>
            </w:r>
          </w:p>
        </w:tc>
        <w:tc>
          <w:tcPr>
            <w:tcW w:w="81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149F2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c>
          <w:tcPr>
            <w:tcW w:w="81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5129A8E7"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r>
      <w:tr w:rsidR="00BF6348" w14:paraId="3019E4FD"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59CC2747"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0x2 </w:t>
            </w:r>
          </w:p>
        </w:tc>
        <w:tc>
          <w:tcPr>
            <w:tcW w:w="297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80BAC4F"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Vendor Specific Nested IE </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2DDFA30"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8D3D2B6"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4770B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BB6209"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ACD96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11CE7A3"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7.4.4.30</w:t>
            </w:r>
          </w:p>
        </w:tc>
        <w:tc>
          <w:tcPr>
            <w:tcW w:w="90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EF1A14"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w:t>
            </w:r>
          </w:p>
        </w:tc>
        <w:tc>
          <w:tcPr>
            <w:tcW w:w="810"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C83E25"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c>
          <w:tcPr>
            <w:tcW w:w="81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C04D2DB"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UL</w:t>
            </w:r>
          </w:p>
        </w:tc>
      </w:tr>
      <w:tr w:rsidR="004174F5" w14:paraId="1B6F32E8"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6C72980C" w14:textId="77777777" w:rsidR="004174F5" w:rsidRDefault="004174F5" w:rsidP="003330B8">
            <w:pPr>
              <w:widowControl w:val="0"/>
              <w:autoSpaceDE w:val="0"/>
              <w:autoSpaceDN w:val="0"/>
              <w:adjustRightInd w:val="0"/>
              <w:spacing w:line="300" w:lineRule="atLeast"/>
              <w:rPr>
                <w:color w:val="auto"/>
                <w:sz w:val="24"/>
                <w:szCs w:val="24"/>
              </w:rPr>
            </w:pPr>
            <w:r>
              <w:rPr>
                <w:color w:val="auto"/>
                <w:sz w:val="24"/>
                <w:szCs w:val="24"/>
              </w:rPr>
              <w:t>0x3</w:t>
            </w:r>
          </w:p>
        </w:tc>
        <w:tc>
          <w:tcPr>
            <w:tcW w:w="297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033FF1E9"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sz w:val="24"/>
                <w:szCs w:val="24"/>
              </w:rPr>
              <w:t>Multiplexed (MP) IE</w:t>
            </w:r>
          </w:p>
        </w:tc>
        <w:tc>
          <w:tcPr>
            <w:tcW w:w="6120" w:type="dxa"/>
            <w:gridSpan w:val="9"/>
            <w:tcBorders>
              <w:top w:val="single" w:sz="2" w:space="0" w:color="auto"/>
              <w:left w:val="single" w:sz="2" w:space="0" w:color="auto"/>
              <w:bottom w:val="single" w:sz="2" w:space="0" w:color="auto"/>
              <w:right w:val="single" w:sz="13" w:space="0" w:color="auto"/>
            </w:tcBorders>
            <w:vAlign w:val="center"/>
          </w:tcPr>
          <w:p w14:paraId="47301A56" w14:textId="77777777" w:rsidR="004174F5" w:rsidRDefault="004174F5" w:rsidP="003330B8">
            <w:pPr>
              <w:widowControl w:val="0"/>
              <w:autoSpaceDE w:val="0"/>
              <w:autoSpaceDN w:val="0"/>
              <w:adjustRightInd w:val="0"/>
              <w:spacing w:line="300" w:lineRule="atLeast"/>
              <w:rPr>
                <w:color w:val="auto"/>
                <w:sz w:val="24"/>
                <w:szCs w:val="24"/>
              </w:rPr>
            </w:pPr>
            <w:r>
              <w:rPr>
                <w:color w:val="auto"/>
                <w:sz w:val="24"/>
                <w:szCs w:val="24"/>
              </w:rPr>
              <w:t>As per IEEE 802.15.9</w:t>
            </w:r>
          </w:p>
        </w:tc>
      </w:tr>
      <w:tr w:rsidR="004174F5" w14:paraId="6DBA480F"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1400BAB6"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color w:val="auto"/>
                <w:sz w:val="24"/>
                <w:szCs w:val="24"/>
              </w:rPr>
              <w:t>0x4</w:t>
            </w:r>
          </w:p>
        </w:tc>
        <w:tc>
          <w:tcPr>
            <w:tcW w:w="2970" w:type="dxa"/>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7B079614"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sz w:val="24"/>
                <w:szCs w:val="24"/>
              </w:rPr>
              <w:t>Omnibus Payload Group IE</w:t>
            </w:r>
          </w:p>
        </w:tc>
        <w:tc>
          <w:tcPr>
            <w:tcW w:w="6120" w:type="dxa"/>
            <w:gridSpan w:val="9"/>
            <w:tcBorders>
              <w:top w:val="single" w:sz="2" w:space="0" w:color="auto"/>
              <w:left w:val="single" w:sz="2" w:space="0" w:color="auto"/>
              <w:bottom w:val="single" w:sz="2" w:space="0" w:color="auto"/>
              <w:right w:val="single" w:sz="13" w:space="0" w:color="auto"/>
            </w:tcBorders>
            <w:vAlign w:val="center"/>
          </w:tcPr>
          <w:p w14:paraId="6D1585C8" w14:textId="77777777" w:rsidR="004174F5" w:rsidRPr="004174F5" w:rsidRDefault="004174F5" w:rsidP="003330B8">
            <w:pPr>
              <w:widowControl w:val="0"/>
              <w:autoSpaceDE w:val="0"/>
              <w:autoSpaceDN w:val="0"/>
              <w:adjustRightInd w:val="0"/>
              <w:spacing w:line="300" w:lineRule="atLeast"/>
              <w:rPr>
                <w:color w:val="auto"/>
                <w:sz w:val="24"/>
                <w:szCs w:val="24"/>
              </w:rPr>
            </w:pPr>
            <w:r w:rsidRPr="004174F5">
              <w:rPr>
                <w:color w:val="auto"/>
                <w:sz w:val="24"/>
                <w:szCs w:val="24"/>
              </w:rPr>
              <w:t>Assigned to WiSUN</w:t>
            </w:r>
          </w:p>
        </w:tc>
      </w:tr>
      <w:tr w:rsidR="009F7D0C" w14:paraId="53FA51CB" w14:textId="77777777" w:rsidTr="00BF6348">
        <w:tblPrEx>
          <w:tblBorders>
            <w:top w:val="none" w:sz="0" w:space="0" w:color="auto"/>
          </w:tblBorders>
          <w:tblCellMar>
            <w:top w:w="0" w:type="dxa"/>
            <w:bottom w:w="0" w:type="dxa"/>
          </w:tblCellMar>
        </w:tblPrEx>
        <w:tc>
          <w:tcPr>
            <w:tcW w:w="1098"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1E6B51C6" w14:textId="77777777" w:rsidR="009F7D0C" w:rsidRDefault="004174F5"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0x5</w:t>
            </w:r>
            <w:r w:rsidR="009F7D0C">
              <w:rPr>
                <w:color w:val="auto"/>
                <w:sz w:val="24"/>
                <w:szCs w:val="24"/>
              </w:rPr>
              <w:t xml:space="preserve">–0xe </w:t>
            </w:r>
          </w:p>
        </w:tc>
        <w:tc>
          <w:tcPr>
            <w:tcW w:w="9090" w:type="dxa"/>
            <w:gridSpan w:val="10"/>
            <w:tcBorders>
              <w:top w:val="single" w:sz="2" w:space="0" w:color="auto"/>
              <w:left w:val="single" w:sz="2" w:space="0" w:color="auto"/>
              <w:bottom w:val="single" w:sz="2" w:space="0" w:color="auto"/>
              <w:right w:val="single" w:sz="13" w:space="0" w:color="auto"/>
            </w:tcBorders>
            <w:tcMar>
              <w:top w:w="20" w:type="nil"/>
              <w:left w:w="20" w:type="nil"/>
              <w:bottom w:w="20" w:type="nil"/>
              <w:right w:w="20" w:type="nil"/>
            </w:tcMar>
            <w:vAlign w:val="center"/>
          </w:tcPr>
          <w:p w14:paraId="162CE92E" w14:textId="77777777" w:rsidR="009F7D0C" w:rsidRDefault="00691D75"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IEEE 802.15 ANA assigned</w:t>
            </w:r>
            <w:r w:rsidR="009F7D0C">
              <w:rPr>
                <w:color w:val="auto"/>
                <w:sz w:val="24"/>
                <w:szCs w:val="24"/>
              </w:rPr>
              <w:t xml:space="preserve"> </w:t>
            </w:r>
          </w:p>
        </w:tc>
      </w:tr>
      <w:tr w:rsidR="00BF6348" w14:paraId="3A420BC2" w14:textId="77777777" w:rsidTr="00BF6348">
        <w:tblPrEx>
          <w:tblCellMar>
            <w:top w:w="0" w:type="dxa"/>
            <w:bottom w:w="0" w:type="dxa"/>
          </w:tblCellMar>
        </w:tblPrEx>
        <w:tc>
          <w:tcPr>
            <w:tcW w:w="1098" w:type="dxa"/>
            <w:tcBorders>
              <w:top w:val="single" w:sz="2"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4520A88B"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0xf </w:t>
            </w:r>
          </w:p>
        </w:tc>
        <w:tc>
          <w:tcPr>
            <w:tcW w:w="297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10EEC77F" w14:textId="77777777" w:rsidR="009F7D0C" w:rsidRDefault="009F7D0C" w:rsidP="003330B8">
            <w:pPr>
              <w:widowControl w:val="0"/>
              <w:autoSpaceDE w:val="0"/>
              <w:autoSpaceDN w:val="0"/>
              <w:adjustRightInd w:val="0"/>
              <w:spacing w:line="300" w:lineRule="atLeast"/>
              <w:rPr>
                <w:rFonts w:ascii="Times" w:hAnsi="Times" w:cs="Times"/>
                <w:color w:val="auto"/>
                <w:sz w:val="24"/>
                <w:szCs w:val="24"/>
              </w:rPr>
            </w:pPr>
            <w:r>
              <w:rPr>
                <w:color w:val="auto"/>
                <w:sz w:val="24"/>
                <w:szCs w:val="24"/>
              </w:rPr>
              <w:t xml:space="preserve">Payload Termination IE </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368154D"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3B05ED5C"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D6FB9B6"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45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2346C68"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54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602FC43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X</w:t>
            </w:r>
          </w:p>
        </w:tc>
        <w:tc>
          <w:tcPr>
            <w:tcW w:w="108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3869A17"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7.4.3.3</w:t>
            </w:r>
          </w:p>
        </w:tc>
        <w:tc>
          <w:tcPr>
            <w:tcW w:w="90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DD23BB8"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7.4.1</w:t>
            </w:r>
          </w:p>
        </w:tc>
        <w:tc>
          <w:tcPr>
            <w:tcW w:w="810" w:type="dxa"/>
            <w:tcBorders>
              <w:top w:val="single" w:sz="2"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549FA1C"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c>
          <w:tcPr>
            <w:tcW w:w="810" w:type="dxa"/>
            <w:tcBorders>
              <w:top w:val="single" w:sz="2"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020CA5D2" w14:textId="77777777" w:rsidR="009F7D0C" w:rsidRDefault="009F7D0C" w:rsidP="003330B8">
            <w:pPr>
              <w:widowControl w:val="0"/>
              <w:autoSpaceDE w:val="0"/>
              <w:autoSpaceDN w:val="0"/>
              <w:adjustRightInd w:val="0"/>
              <w:spacing w:line="300" w:lineRule="atLeast"/>
              <w:jc w:val="center"/>
              <w:rPr>
                <w:rFonts w:ascii="Times" w:hAnsi="Times" w:cs="Times"/>
                <w:color w:val="auto"/>
                <w:sz w:val="24"/>
                <w:szCs w:val="24"/>
              </w:rPr>
            </w:pPr>
            <w:r>
              <w:rPr>
                <w:color w:val="auto"/>
                <w:sz w:val="24"/>
                <w:szCs w:val="24"/>
              </w:rPr>
              <w:t>MAC</w:t>
            </w:r>
          </w:p>
        </w:tc>
      </w:tr>
    </w:tbl>
    <w:p w14:paraId="12C9DA3D" w14:textId="77777777" w:rsidR="005825BC" w:rsidRDefault="005825BC" w:rsidP="005825BC">
      <w:pPr>
        <w:widowControl w:val="0"/>
        <w:autoSpaceDE w:val="0"/>
        <w:autoSpaceDN w:val="0"/>
        <w:adjustRightInd w:val="0"/>
        <w:spacing w:after="240" w:line="300" w:lineRule="atLeast"/>
        <w:rPr>
          <w:rFonts w:ascii="Arial" w:hAnsi="Arial" w:cs="Arial"/>
          <w:b/>
          <w:bCs/>
          <w:color w:val="auto"/>
          <w:sz w:val="26"/>
          <w:szCs w:val="26"/>
        </w:rPr>
      </w:pPr>
    </w:p>
    <w:p w14:paraId="64C60896" w14:textId="77777777" w:rsidR="005825BC" w:rsidRPr="005825BC" w:rsidRDefault="005825BC" w:rsidP="005825BC">
      <w:pPr>
        <w:widowControl w:val="0"/>
        <w:autoSpaceDE w:val="0"/>
        <w:autoSpaceDN w:val="0"/>
        <w:adjustRightInd w:val="0"/>
        <w:spacing w:after="240" w:line="300" w:lineRule="atLeast"/>
        <w:rPr>
          <w:color w:val="525252"/>
          <w:sz w:val="28"/>
          <w:szCs w:val="28"/>
        </w:rPr>
      </w:pPr>
      <w:r w:rsidRPr="005825BC">
        <w:rPr>
          <w:b/>
          <w:bCs/>
          <w:color w:val="auto"/>
          <w:sz w:val="28"/>
          <w:szCs w:val="28"/>
        </w:rPr>
        <w:t>7.4.3.3 Payload Termination IE </w:t>
      </w:r>
    </w:p>
    <w:p w14:paraId="1C4445B3" w14:textId="77777777" w:rsidR="005825BC" w:rsidRPr="005825BC" w:rsidRDefault="005825BC" w:rsidP="005825BC">
      <w:pPr>
        <w:widowControl w:val="0"/>
        <w:autoSpaceDE w:val="0"/>
        <w:autoSpaceDN w:val="0"/>
        <w:adjustRightInd w:val="0"/>
        <w:spacing w:after="240" w:line="300" w:lineRule="atLeast"/>
        <w:rPr>
          <w:color w:val="auto"/>
          <w:sz w:val="28"/>
          <w:szCs w:val="28"/>
        </w:rPr>
      </w:pPr>
      <w:r w:rsidRPr="005825BC">
        <w:rPr>
          <w:color w:val="auto"/>
          <w:sz w:val="28"/>
          <w:szCs w:val="28"/>
        </w:rPr>
        <w:t>The Payload Termination IE shall have a zero length Content field. </w:t>
      </w:r>
    </w:p>
    <w:p w14:paraId="0C197241" w14:textId="6AFE77E1" w:rsidR="00ED7796" w:rsidRDefault="00ED7796" w:rsidP="003862B7">
      <w:pPr>
        <w:widowControl w:val="0"/>
        <w:spacing w:before="120"/>
        <w:rPr>
          <w:b/>
          <w:sz w:val="28"/>
          <w:szCs w:val="28"/>
        </w:rPr>
      </w:pPr>
      <w:r>
        <w:rPr>
          <w:sz w:val="28"/>
          <w:szCs w:val="28"/>
        </w:rPr>
        <w:pict w14:anchorId="4D2DA422">
          <v:shape id="_x0000_i1030" type="#_x0000_t75" style="width:467.85pt;height:1.5pt" o:hrpct="0" o:hralign="center" o:hr="t">
            <v:imagedata r:id="rId15" o:title="Default Line"/>
          </v:shape>
        </w:pict>
      </w:r>
    </w:p>
    <w:p w14:paraId="0232AA64" w14:textId="725B6D07" w:rsidR="009F7D0C" w:rsidRDefault="00F30BC4" w:rsidP="003862B7">
      <w:pPr>
        <w:widowControl w:val="0"/>
        <w:spacing w:before="120"/>
        <w:rPr>
          <w:b/>
          <w:sz w:val="28"/>
          <w:szCs w:val="28"/>
        </w:rPr>
      </w:pPr>
      <w:r w:rsidRPr="00F30BC4">
        <w:rPr>
          <w:b/>
          <w:sz w:val="28"/>
          <w:szCs w:val="28"/>
        </w:rPr>
        <w:t>Recommended practice of formatting Payload IE sub-</w:t>
      </w:r>
      <w:r w:rsidR="000A5AFD">
        <w:rPr>
          <w:b/>
          <w:sz w:val="28"/>
          <w:szCs w:val="28"/>
        </w:rPr>
        <w:t>types</w:t>
      </w:r>
    </w:p>
    <w:p w14:paraId="6CBF60F1" w14:textId="06036CF7" w:rsidR="00F30BC4" w:rsidRDefault="009D2746" w:rsidP="003862B7">
      <w:pPr>
        <w:widowControl w:val="0"/>
        <w:spacing w:before="120"/>
        <w:rPr>
          <w:sz w:val="28"/>
          <w:szCs w:val="28"/>
        </w:rPr>
      </w:pPr>
      <w:r>
        <w:rPr>
          <w:sz w:val="28"/>
          <w:szCs w:val="28"/>
        </w:rPr>
        <w:t>In a</w:t>
      </w:r>
      <w:r w:rsidRPr="009D2746">
        <w:rPr>
          <w:sz w:val="28"/>
          <w:szCs w:val="28"/>
        </w:rPr>
        <w:t xml:space="preserve"> </w:t>
      </w:r>
      <w:r w:rsidR="00970A04">
        <w:rPr>
          <w:sz w:val="28"/>
          <w:szCs w:val="28"/>
        </w:rPr>
        <w:t xml:space="preserve">response to a </w:t>
      </w:r>
      <w:r w:rsidRPr="009D2746">
        <w:rPr>
          <w:sz w:val="28"/>
          <w:szCs w:val="28"/>
        </w:rPr>
        <w:t>23 Oct 2015 email from Thomas Watteyn</w:t>
      </w:r>
      <w:r>
        <w:rPr>
          <w:sz w:val="28"/>
          <w:szCs w:val="28"/>
        </w:rPr>
        <w:t>e (co-chair of IETF 6tisch)</w:t>
      </w:r>
      <w:r w:rsidR="00970A04">
        <w:rPr>
          <w:sz w:val="28"/>
          <w:szCs w:val="28"/>
        </w:rPr>
        <w:t xml:space="preserve"> requesting a recommendation from IEEE 802.15 interest group 6T </w:t>
      </w:r>
      <w:r w:rsidR="00970A04">
        <w:rPr>
          <w:color w:val="auto"/>
          <w:sz w:val="28"/>
          <w:szCs w:val="28"/>
        </w:rPr>
        <w:t>for</w:t>
      </w:r>
      <w:r w:rsidR="00970A04" w:rsidRPr="00970A04">
        <w:rPr>
          <w:color w:val="auto"/>
          <w:sz w:val="28"/>
          <w:szCs w:val="28"/>
        </w:rPr>
        <w:t xml:space="preserve"> a mechanism to manage that IE space</w:t>
      </w:r>
      <w:r w:rsidR="004A79FF">
        <w:rPr>
          <w:color w:val="auto"/>
          <w:sz w:val="28"/>
          <w:szCs w:val="28"/>
        </w:rPr>
        <w:t xml:space="preserve"> via sub-types</w:t>
      </w:r>
      <w:r w:rsidR="00970A04">
        <w:rPr>
          <w:color w:val="auto"/>
          <w:sz w:val="28"/>
          <w:szCs w:val="28"/>
        </w:rPr>
        <w:t xml:space="preserve">, the </w:t>
      </w:r>
      <w:r w:rsidR="00970A04">
        <w:rPr>
          <w:sz w:val="28"/>
          <w:szCs w:val="28"/>
        </w:rPr>
        <w:t xml:space="preserve">IEEE 802.15 interest group 6T has </w:t>
      </w:r>
      <w:r w:rsidR="00CC14B1">
        <w:rPr>
          <w:sz w:val="28"/>
          <w:szCs w:val="28"/>
        </w:rPr>
        <w:t xml:space="preserve">arrived at a </w:t>
      </w:r>
      <w:r w:rsidR="00970A04">
        <w:rPr>
          <w:sz w:val="28"/>
          <w:szCs w:val="28"/>
        </w:rPr>
        <w:t>consensus on the following mechanism.</w:t>
      </w:r>
    </w:p>
    <w:p w14:paraId="04F6FA9D" w14:textId="77777777" w:rsidR="009655EA" w:rsidRDefault="00970A04" w:rsidP="00CC14B1">
      <w:pPr>
        <w:widowControl w:val="0"/>
        <w:spacing w:before="120"/>
        <w:rPr>
          <w:sz w:val="28"/>
          <w:szCs w:val="28"/>
        </w:rPr>
      </w:pPr>
      <w:r>
        <w:rPr>
          <w:sz w:val="28"/>
          <w:szCs w:val="28"/>
        </w:rPr>
        <w:t>As per IEEE 802.15.4, a Payload IE has a format as shown in Figure 7</w:t>
      </w:r>
      <w:r w:rsidR="009B7B69">
        <w:rPr>
          <w:sz w:val="28"/>
          <w:szCs w:val="28"/>
        </w:rPr>
        <w:t xml:space="preserve">-46.  </w:t>
      </w:r>
    </w:p>
    <w:p w14:paraId="11F90339" w14:textId="77777777" w:rsidR="009655EA" w:rsidRDefault="009B7B69" w:rsidP="00CC14B1">
      <w:pPr>
        <w:widowControl w:val="0"/>
        <w:spacing w:before="120"/>
        <w:rPr>
          <w:sz w:val="28"/>
          <w:szCs w:val="28"/>
        </w:rPr>
      </w:pPr>
      <w:r>
        <w:rPr>
          <w:sz w:val="28"/>
          <w:szCs w:val="28"/>
        </w:rPr>
        <w:t xml:space="preserve">The length field is an 11-bit value </w:t>
      </w:r>
      <w:r w:rsidR="001335D8">
        <w:rPr>
          <w:sz w:val="28"/>
          <w:szCs w:val="28"/>
        </w:rPr>
        <w:t>(</w:t>
      </w:r>
      <w:r>
        <w:rPr>
          <w:sz w:val="28"/>
          <w:szCs w:val="28"/>
        </w:rPr>
        <w:t xml:space="preserve">allowing </w:t>
      </w:r>
      <w:r w:rsidR="001335D8">
        <w:rPr>
          <w:sz w:val="28"/>
          <w:szCs w:val="28"/>
        </w:rPr>
        <w:t xml:space="preserve">a length of </w:t>
      </w:r>
      <w:r>
        <w:rPr>
          <w:sz w:val="28"/>
          <w:szCs w:val="28"/>
        </w:rPr>
        <w:t>up to</w:t>
      </w:r>
      <w:r w:rsidR="001335D8">
        <w:rPr>
          <w:sz w:val="28"/>
          <w:szCs w:val="28"/>
        </w:rPr>
        <w:t xml:space="preserve"> 2047 octets).  </w:t>
      </w:r>
    </w:p>
    <w:p w14:paraId="18FD5F4D" w14:textId="77777777" w:rsidR="00C602ED" w:rsidRDefault="001335D8" w:rsidP="00CC14B1">
      <w:pPr>
        <w:widowControl w:val="0"/>
        <w:spacing w:before="120"/>
        <w:rPr>
          <w:sz w:val="28"/>
          <w:szCs w:val="28"/>
        </w:rPr>
      </w:pPr>
      <w:r>
        <w:rPr>
          <w:sz w:val="28"/>
          <w:szCs w:val="28"/>
        </w:rPr>
        <w:t xml:space="preserve">The </w:t>
      </w:r>
      <w:r w:rsidR="00970A04">
        <w:rPr>
          <w:sz w:val="28"/>
          <w:szCs w:val="28"/>
        </w:rPr>
        <w:t xml:space="preserve">Payload IE Group ID </w:t>
      </w:r>
      <w:r>
        <w:rPr>
          <w:sz w:val="28"/>
          <w:szCs w:val="28"/>
        </w:rPr>
        <w:t xml:space="preserve">(an </w:t>
      </w:r>
      <w:r w:rsidR="00970A04">
        <w:rPr>
          <w:sz w:val="28"/>
          <w:szCs w:val="28"/>
        </w:rPr>
        <w:t>assignment from IEEE 802.15 ANA</w:t>
      </w:r>
      <w:r>
        <w:rPr>
          <w:sz w:val="28"/>
          <w:szCs w:val="28"/>
        </w:rPr>
        <w:t>)</w:t>
      </w:r>
      <w:r w:rsidR="00970A04">
        <w:rPr>
          <w:sz w:val="28"/>
          <w:szCs w:val="28"/>
        </w:rPr>
        <w:t xml:space="preserve"> </w:t>
      </w:r>
      <w:r>
        <w:rPr>
          <w:sz w:val="28"/>
          <w:szCs w:val="28"/>
        </w:rPr>
        <w:t>is</w:t>
      </w:r>
      <w:r w:rsidR="00970A04">
        <w:rPr>
          <w:sz w:val="28"/>
          <w:szCs w:val="28"/>
        </w:rPr>
        <w:t xml:space="preserve"> a 4-bit value.</w:t>
      </w:r>
    </w:p>
    <w:p w14:paraId="4B3DCC49" w14:textId="77777777" w:rsidR="00C602ED" w:rsidRDefault="001335D8" w:rsidP="003862B7">
      <w:pPr>
        <w:widowControl w:val="0"/>
        <w:spacing w:before="120"/>
        <w:rPr>
          <w:sz w:val="28"/>
          <w:szCs w:val="28"/>
        </w:rPr>
      </w:pPr>
      <w:r>
        <w:rPr>
          <w:sz w:val="28"/>
          <w:szCs w:val="28"/>
        </w:rPr>
        <w:t xml:space="preserve">The type field shall be set to 0b1.  </w:t>
      </w:r>
    </w:p>
    <w:p w14:paraId="3BB79ED7" w14:textId="49075733" w:rsidR="00D57D36" w:rsidRDefault="00F9024E" w:rsidP="003862B7">
      <w:pPr>
        <w:widowControl w:val="0"/>
        <w:spacing w:before="120"/>
        <w:rPr>
          <w:sz w:val="28"/>
          <w:szCs w:val="28"/>
        </w:rPr>
      </w:pPr>
      <w:r>
        <w:rPr>
          <w:sz w:val="28"/>
          <w:szCs w:val="28"/>
        </w:rPr>
        <w:t xml:space="preserve">The current 802.15.4-2015 standard allows multiple nested IEs within the Payload IE.  However this method </w:t>
      </w:r>
      <w:r w:rsidR="00D57D36">
        <w:rPr>
          <w:sz w:val="28"/>
          <w:szCs w:val="28"/>
        </w:rPr>
        <w:t xml:space="preserve">either </w:t>
      </w:r>
      <w:r>
        <w:rPr>
          <w:sz w:val="28"/>
          <w:szCs w:val="28"/>
        </w:rPr>
        <w:t xml:space="preserve">limits the number of sub-types that can be allocated </w:t>
      </w:r>
      <w:r w:rsidR="00D57D36">
        <w:rPr>
          <w:sz w:val="28"/>
          <w:szCs w:val="28"/>
        </w:rPr>
        <w:t>or their length due to the 2-octet overhead.</w:t>
      </w:r>
    </w:p>
    <w:p w14:paraId="15154BCB" w14:textId="59246212" w:rsidR="00F9024E" w:rsidRDefault="00D57D36" w:rsidP="003862B7">
      <w:pPr>
        <w:widowControl w:val="0"/>
        <w:spacing w:before="120"/>
        <w:rPr>
          <w:sz w:val="28"/>
          <w:szCs w:val="28"/>
        </w:rPr>
      </w:pPr>
      <w:r>
        <w:rPr>
          <w:sz w:val="28"/>
          <w:szCs w:val="28"/>
        </w:rPr>
        <w:t xml:space="preserve">Accordingly, the 802.15 IG </w:t>
      </w:r>
      <w:r w:rsidR="00F438FA">
        <w:rPr>
          <w:sz w:val="28"/>
          <w:szCs w:val="28"/>
        </w:rPr>
        <w:t xml:space="preserve">6T </w:t>
      </w:r>
      <w:r>
        <w:rPr>
          <w:sz w:val="28"/>
          <w:szCs w:val="28"/>
        </w:rPr>
        <w:t xml:space="preserve">recommends that external SDOs use an alternate scheme that reduces the overhead to 1 octet by limiting only one sub-type </w:t>
      </w:r>
      <w:r w:rsidR="00F438FA">
        <w:rPr>
          <w:sz w:val="28"/>
          <w:szCs w:val="28"/>
        </w:rPr>
        <w:t xml:space="preserve">IE </w:t>
      </w:r>
      <w:r>
        <w:rPr>
          <w:sz w:val="28"/>
          <w:szCs w:val="28"/>
        </w:rPr>
        <w:t xml:space="preserve">to each Payload IE.  This mechanism allows the Payload IE’s length to be used to determine the end of the Payload sub-type IE, allowing the length and type fields </w:t>
      </w:r>
      <w:r w:rsidR="00F438FA">
        <w:rPr>
          <w:sz w:val="28"/>
          <w:szCs w:val="28"/>
        </w:rPr>
        <w:t xml:space="preserve">used in </w:t>
      </w:r>
      <w:r>
        <w:rPr>
          <w:sz w:val="28"/>
          <w:szCs w:val="28"/>
        </w:rPr>
        <w:t>nested IEs to be eliminated.</w:t>
      </w:r>
    </w:p>
    <w:p w14:paraId="64A7E8E4" w14:textId="44C69E95" w:rsidR="001335D8" w:rsidRPr="003330B8" w:rsidRDefault="001335D8" w:rsidP="003330B8">
      <w:pPr>
        <w:widowControl w:val="0"/>
        <w:spacing w:after="240"/>
        <w:rPr>
          <w:sz w:val="28"/>
          <w:szCs w:val="28"/>
        </w:rPr>
      </w:pPr>
      <w:r>
        <w:rPr>
          <w:sz w:val="28"/>
          <w:szCs w:val="28"/>
        </w:rPr>
        <w:t>Th</w:t>
      </w:r>
      <w:r w:rsidR="00D57D36">
        <w:rPr>
          <w:sz w:val="28"/>
          <w:szCs w:val="28"/>
        </w:rPr>
        <w:t>us th</w:t>
      </w:r>
      <w:r>
        <w:rPr>
          <w:sz w:val="28"/>
          <w:szCs w:val="28"/>
        </w:rPr>
        <w:t>e content</w:t>
      </w:r>
      <w:r w:rsidR="00C602ED">
        <w:rPr>
          <w:sz w:val="28"/>
          <w:szCs w:val="28"/>
        </w:rPr>
        <w:t xml:space="preserve"> fiel</w:t>
      </w:r>
      <w:r w:rsidR="00D57D36">
        <w:rPr>
          <w:sz w:val="28"/>
          <w:szCs w:val="28"/>
        </w:rPr>
        <w:t>d of the Payload IE shall consist of only 1 sub-type</w:t>
      </w:r>
      <w:r>
        <w:rPr>
          <w:sz w:val="28"/>
          <w:szCs w:val="28"/>
        </w:rPr>
        <w:t xml:space="preserve"> IE which is formatted as shown in the following </w:t>
      </w:r>
      <w:r w:rsidR="00C602ED">
        <w:rPr>
          <w:sz w:val="28"/>
          <w:szCs w:val="28"/>
        </w:rPr>
        <w:t>Sub-</w:t>
      </w:r>
      <w:proofErr w:type="spellStart"/>
      <w:r w:rsidR="00C602ED">
        <w:rPr>
          <w:sz w:val="28"/>
          <w:szCs w:val="28"/>
        </w:rPr>
        <w:t>I</w:t>
      </w:r>
      <w:r w:rsidR="003330B8">
        <w:rPr>
          <w:sz w:val="28"/>
          <w:szCs w:val="28"/>
        </w:rPr>
        <w:t>type</w:t>
      </w:r>
      <w:proofErr w:type="spellEnd"/>
      <w:r w:rsidR="00C602ED">
        <w:rPr>
          <w:sz w:val="28"/>
          <w:szCs w:val="28"/>
        </w:rPr>
        <w:t xml:space="preserve"> IE Format </w:t>
      </w:r>
      <w:r>
        <w:rPr>
          <w:sz w:val="28"/>
          <w:szCs w:val="28"/>
        </w:rPr>
        <w:t>figure.</w:t>
      </w:r>
    </w:p>
    <w:tbl>
      <w:tblPr>
        <w:tblStyle w:val="TableGrid"/>
        <w:tblW w:w="0" w:type="auto"/>
        <w:tblInd w:w="108" w:type="dxa"/>
        <w:tblLook w:val="04A0" w:firstRow="1" w:lastRow="0" w:firstColumn="1" w:lastColumn="0" w:noHBand="0" w:noVBand="1"/>
      </w:tblPr>
      <w:tblGrid>
        <w:gridCol w:w="1350"/>
        <w:gridCol w:w="4860"/>
      </w:tblGrid>
      <w:tr w:rsidR="00C1134C" w:rsidRPr="009F7D0C" w14:paraId="0F22DEB1" w14:textId="77777777" w:rsidTr="000D3AD2">
        <w:tc>
          <w:tcPr>
            <w:tcW w:w="1350" w:type="dxa"/>
          </w:tcPr>
          <w:p w14:paraId="189E55E3" w14:textId="7B9694C4" w:rsidR="00CB3DFD" w:rsidRPr="009F7D0C" w:rsidRDefault="00C40405" w:rsidP="001335D8">
            <w:pPr>
              <w:rPr>
                <w:rFonts w:ascii="Cambria" w:eastAsia="MS Mincho" w:hAnsi="Cambria"/>
                <w:b/>
                <w:color w:val="auto"/>
                <w:sz w:val="24"/>
                <w:szCs w:val="24"/>
                <w:lang w:eastAsia="ja-JP"/>
              </w:rPr>
            </w:pPr>
            <w:r>
              <w:rPr>
                <w:rFonts w:ascii="Cambria" w:eastAsia="MS Mincho" w:hAnsi="Cambria"/>
                <w:b/>
                <w:color w:val="auto"/>
                <w:sz w:val="24"/>
                <w:szCs w:val="24"/>
                <w:lang w:eastAsia="ja-JP"/>
              </w:rPr>
              <w:t>Octets: 1</w:t>
            </w:r>
          </w:p>
        </w:tc>
        <w:tc>
          <w:tcPr>
            <w:tcW w:w="4860" w:type="dxa"/>
          </w:tcPr>
          <w:p w14:paraId="0D519DE4" w14:textId="01E28D0F" w:rsidR="00CB3DFD" w:rsidRPr="009F7D0C" w:rsidRDefault="00C40405" w:rsidP="00C1134C">
            <w:pPr>
              <w:rPr>
                <w:rFonts w:ascii="Cambria" w:eastAsia="MS Mincho" w:hAnsi="Cambria"/>
                <w:b/>
                <w:color w:val="auto"/>
                <w:sz w:val="24"/>
                <w:szCs w:val="24"/>
                <w:lang w:eastAsia="ja-JP"/>
              </w:rPr>
            </w:pPr>
            <w:r>
              <w:rPr>
                <w:rFonts w:ascii="Cambria" w:eastAsia="MS Mincho" w:hAnsi="Cambria"/>
                <w:b/>
                <w:color w:val="auto"/>
                <w:sz w:val="24"/>
                <w:szCs w:val="24"/>
                <w:lang w:eastAsia="ja-JP"/>
              </w:rPr>
              <w:t>Variable = Content length of Payload IE -1</w:t>
            </w:r>
          </w:p>
        </w:tc>
      </w:tr>
      <w:tr w:rsidR="00C1134C" w:rsidRPr="009F7D0C" w14:paraId="3892A8CE" w14:textId="77777777" w:rsidTr="000D3AD2">
        <w:tc>
          <w:tcPr>
            <w:tcW w:w="1350" w:type="dxa"/>
          </w:tcPr>
          <w:p w14:paraId="47C5DBE1" w14:textId="77777777" w:rsidR="00CB3DFD" w:rsidRPr="009F7D0C" w:rsidRDefault="00CB3DFD"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 xml:space="preserve">Sub-ID </w:t>
            </w:r>
          </w:p>
        </w:tc>
        <w:tc>
          <w:tcPr>
            <w:tcW w:w="4860" w:type="dxa"/>
          </w:tcPr>
          <w:p w14:paraId="0C912DB1" w14:textId="18A647B6" w:rsidR="00CB3DFD" w:rsidRPr="009F7D0C" w:rsidRDefault="00C40405" w:rsidP="000D3AD2">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Content</w:t>
            </w:r>
          </w:p>
        </w:tc>
      </w:tr>
    </w:tbl>
    <w:p w14:paraId="3AC2878D" w14:textId="24F8D5B2" w:rsidR="00F46A4A" w:rsidRPr="00F46A4A" w:rsidRDefault="009655EA" w:rsidP="00F46A4A">
      <w:pPr>
        <w:widowControl w:val="0"/>
        <w:spacing w:after="240"/>
        <w:rPr>
          <w:b/>
          <w:sz w:val="28"/>
          <w:szCs w:val="28"/>
        </w:rPr>
      </w:pPr>
      <w:r w:rsidRPr="00CB3DFD">
        <w:rPr>
          <w:b/>
          <w:sz w:val="28"/>
          <w:szCs w:val="28"/>
        </w:rPr>
        <w:t>Sub-</w:t>
      </w:r>
      <w:r w:rsidR="00356892">
        <w:rPr>
          <w:b/>
          <w:sz w:val="28"/>
          <w:szCs w:val="28"/>
        </w:rPr>
        <w:t>type</w:t>
      </w:r>
      <w:r w:rsidRPr="00CB3DFD">
        <w:rPr>
          <w:b/>
          <w:sz w:val="28"/>
          <w:szCs w:val="28"/>
        </w:rPr>
        <w:t xml:space="preserve"> IE Format</w:t>
      </w:r>
    </w:p>
    <w:tbl>
      <w:tblPr>
        <w:tblStyle w:val="TableGrid"/>
        <w:tblW w:w="6390" w:type="dxa"/>
        <w:tblInd w:w="108" w:type="dxa"/>
        <w:tblLayout w:type="fixed"/>
        <w:tblLook w:val="04A0" w:firstRow="1" w:lastRow="0" w:firstColumn="1" w:lastColumn="0" w:noHBand="0" w:noVBand="1"/>
      </w:tblPr>
      <w:tblGrid>
        <w:gridCol w:w="1800"/>
        <w:gridCol w:w="900"/>
        <w:gridCol w:w="810"/>
        <w:gridCol w:w="990"/>
        <w:gridCol w:w="1890"/>
      </w:tblGrid>
      <w:tr w:rsidR="000D3AD2" w:rsidRPr="009F7D0C" w14:paraId="3C9E26EF" w14:textId="77777777" w:rsidTr="000D3AD2">
        <w:tc>
          <w:tcPr>
            <w:tcW w:w="1800" w:type="dxa"/>
          </w:tcPr>
          <w:p w14:paraId="23710D0B"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900" w:type="dxa"/>
          </w:tcPr>
          <w:p w14:paraId="430E1252"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0DE1BDE4"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990" w:type="dxa"/>
          </w:tcPr>
          <w:p w14:paraId="283E8F19" w14:textId="77777777" w:rsidR="009464A4" w:rsidRPr="009F7D0C" w:rsidRDefault="009464A4" w:rsidP="009464A4">
            <w:pPr>
              <w:rPr>
                <w:rFonts w:ascii="Cambria" w:eastAsia="MS Mincho" w:hAnsi="Cambria"/>
                <w:b/>
                <w:color w:val="auto"/>
                <w:sz w:val="24"/>
                <w:szCs w:val="24"/>
                <w:lang w:eastAsia="ja-JP"/>
              </w:rPr>
            </w:pPr>
            <w:r>
              <w:rPr>
                <w:rFonts w:ascii="Cambria" w:eastAsia="MS Mincho" w:hAnsi="Cambria"/>
                <w:b/>
                <w:color w:val="auto"/>
                <w:sz w:val="24"/>
                <w:szCs w:val="24"/>
                <w:lang w:eastAsia="ja-JP"/>
              </w:rPr>
              <w:t>16-23</w:t>
            </w:r>
          </w:p>
        </w:tc>
        <w:tc>
          <w:tcPr>
            <w:tcW w:w="1890" w:type="dxa"/>
          </w:tcPr>
          <w:p w14:paraId="03047F90" w14:textId="77777777" w:rsidR="009464A4" w:rsidRPr="009F7D0C" w:rsidRDefault="009464A4" w:rsidP="009464A4">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w:t>
            </w:r>
            <w:r>
              <w:rPr>
                <w:rFonts w:ascii="Cambria" w:eastAsia="MS Mincho" w:hAnsi="Cambria"/>
                <w:b/>
                <w:color w:val="auto"/>
                <w:sz w:val="24"/>
                <w:szCs w:val="24"/>
                <w:lang w:eastAsia="ja-JP"/>
              </w:rPr>
              <w:t>6</w:t>
            </w:r>
          </w:p>
        </w:tc>
      </w:tr>
      <w:tr w:rsidR="000D3AD2" w:rsidRPr="009F7D0C" w14:paraId="6AD99DEE" w14:textId="77777777" w:rsidTr="000D3AD2">
        <w:tc>
          <w:tcPr>
            <w:tcW w:w="1800" w:type="dxa"/>
          </w:tcPr>
          <w:p w14:paraId="1A486B1B" w14:textId="77777777" w:rsidR="009464A4" w:rsidRPr="009F7D0C" w:rsidRDefault="009464A4"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 xml:space="preserve">Payload IE Content </w:t>
            </w:r>
            <w:r w:rsidRPr="009F7D0C">
              <w:rPr>
                <w:rFonts w:ascii="Cambria" w:eastAsia="MS Mincho" w:hAnsi="Cambria"/>
                <w:color w:val="auto"/>
                <w:sz w:val="24"/>
                <w:szCs w:val="24"/>
                <w:lang w:eastAsia="ja-JP"/>
              </w:rPr>
              <w:t>Length</w:t>
            </w:r>
          </w:p>
        </w:tc>
        <w:tc>
          <w:tcPr>
            <w:tcW w:w="900" w:type="dxa"/>
          </w:tcPr>
          <w:p w14:paraId="67419AD6" w14:textId="77777777" w:rsidR="009464A4" w:rsidRPr="009F7D0C" w:rsidRDefault="009464A4" w:rsidP="000D3AD2">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5ADDEE24" w14:textId="77777777" w:rsidR="009464A4" w:rsidRPr="009F7D0C" w:rsidRDefault="009464A4" w:rsidP="000D3AD2">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c>
          <w:tcPr>
            <w:tcW w:w="990" w:type="dxa"/>
          </w:tcPr>
          <w:p w14:paraId="0F05B239" w14:textId="77777777" w:rsidR="009464A4" w:rsidRPr="009F7D0C" w:rsidRDefault="009464A4"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 xml:space="preserve">Sub-type ID </w:t>
            </w:r>
          </w:p>
        </w:tc>
        <w:tc>
          <w:tcPr>
            <w:tcW w:w="1890" w:type="dxa"/>
          </w:tcPr>
          <w:p w14:paraId="6892F1B2" w14:textId="77777777" w:rsidR="009464A4" w:rsidRPr="009F7D0C" w:rsidRDefault="009464A4" w:rsidP="000D3AD2">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Pr="009F7D0C">
              <w:rPr>
                <w:rFonts w:ascii="Cambria" w:eastAsia="MS Mincho" w:hAnsi="Cambria"/>
                <w:color w:val="auto"/>
                <w:sz w:val="24"/>
                <w:szCs w:val="24"/>
                <w:lang w:eastAsia="ja-JP"/>
              </w:rPr>
              <w:t>Content</w:t>
            </w:r>
          </w:p>
        </w:tc>
      </w:tr>
      <w:tr w:rsidR="009464A4" w:rsidRPr="009F7D0C" w14:paraId="1409DC33" w14:textId="77777777" w:rsidTr="000D3AD2">
        <w:tc>
          <w:tcPr>
            <w:tcW w:w="3510" w:type="dxa"/>
            <w:gridSpan w:val="3"/>
          </w:tcPr>
          <w:p w14:paraId="398C9DA3" w14:textId="77777777" w:rsidR="009464A4" w:rsidRPr="009F7D0C" w:rsidRDefault="009464A4" w:rsidP="000D3AD2">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2880" w:type="dxa"/>
            <w:gridSpan w:val="2"/>
          </w:tcPr>
          <w:p w14:paraId="62883886" w14:textId="77777777" w:rsidR="009464A4" w:rsidRDefault="009464A4" w:rsidP="000D3AD2">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r>
    </w:tbl>
    <w:p w14:paraId="718A7C0E" w14:textId="792AC808" w:rsidR="00356892" w:rsidRPr="00F46A4A" w:rsidRDefault="009464A4" w:rsidP="00F46A4A">
      <w:pPr>
        <w:widowControl w:val="0"/>
        <w:spacing w:after="240"/>
        <w:rPr>
          <w:b/>
          <w:sz w:val="28"/>
          <w:szCs w:val="28"/>
        </w:rPr>
      </w:pPr>
      <w:r w:rsidRPr="00D14563">
        <w:rPr>
          <w:b/>
          <w:sz w:val="28"/>
          <w:szCs w:val="28"/>
        </w:rPr>
        <w:t>Example of single payload IE</w:t>
      </w:r>
      <w:r>
        <w:rPr>
          <w:b/>
          <w:sz w:val="28"/>
          <w:szCs w:val="28"/>
        </w:rPr>
        <w:t xml:space="preserve"> part of MAC payload without frame payload</w:t>
      </w:r>
    </w:p>
    <w:tbl>
      <w:tblPr>
        <w:tblStyle w:val="TableGrid"/>
        <w:tblW w:w="8910" w:type="dxa"/>
        <w:tblInd w:w="108" w:type="dxa"/>
        <w:tblLayout w:type="fixed"/>
        <w:tblLook w:val="04A0" w:firstRow="1" w:lastRow="0" w:firstColumn="1" w:lastColumn="0" w:noHBand="0" w:noVBand="1"/>
      </w:tblPr>
      <w:tblGrid>
        <w:gridCol w:w="1800"/>
        <w:gridCol w:w="900"/>
        <w:gridCol w:w="810"/>
        <w:gridCol w:w="990"/>
        <w:gridCol w:w="1350"/>
        <w:gridCol w:w="1170"/>
        <w:gridCol w:w="1080"/>
        <w:gridCol w:w="810"/>
      </w:tblGrid>
      <w:tr w:rsidR="000D3AD2" w:rsidRPr="009F7D0C" w14:paraId="6C3EE6E1" w14:textId="77777777" w:rsidTr="000D3AD2">
        <w:tc>
          <w:tcPr>
            <w:tcW w:w="1800" w:type="dxa"/>
          </w:tcPr>
          <w:p w14:paraId="0B5EAD2E"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900" w:type="dxa"/>
          </w:tcPr>
          <w:p w14:paraId="4A266A85"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3ED1471F"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c>
          <w:tcPr>
            <w:tcW w:w="990" w:type="dxa"/>
          </w:tcPr>
          <w:p w14:paraId="7DA2477A" w14:textId="77777777" w:rsidR="00D14563" w:rsidRPr="009F7D0C" w:rsidRDefault="00D14563" w:rsidP="00CB3DFD">
            <w:pPr>
              <w:rPr>
                <w:rFonts w:ascii="Cambria" w:eastAsia="MS Mincho" w:hAnsi="Cambria"/>
                <w:b/>
                <w:color w:val="auto"/>
                <w:sz w:val="24"/>
                <w:szCs w:val="24"/>
                <w:lang w:eastAsia="ja-JP"/>
              </w:rPr>
            </w:pPr>
            <w:r>
              <w:rPr>
                <w:rFonts w:ascii="Cambria" w:eastAsia="MS Mincho" w:hAnsi="Cambria"/>
                <w:b/>
                <w:color w:val="auto"/>
                <w:sz w:val="24"/>
                <w:szCs w:val="24"/>
                <w:lang w:eastAsia="ja-JP"/>
              </w:rPr>
              <w:t>16-23</w:t>
            </w:r>
          </w:p>
        </w:tc>
        <w:tc>
          <w:tcPr>
            <w:tcW w:w="1350" w:type="dxa"/>
          </w:tcPr>
          <w:p w14:paraId="559CFDA4" w14:textId="77777777"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Octets: 0-204</w:t>
            </w:r>
            <w:r>
              <w:rPr>
                <w:rFonts w:ascii="Cambria" w:eastAsia="MS Mincho" w:hAnsi="Cambria"/>
                <w:b/>
                <w:color w:val="auto"/>
                <w:sz w:val="24"/>
                <w:szCs w:val="24"/>
                <w:lang w:eastAsia="ja-JP"/>
              </w:rPr>
              <w:t>6</w:t>
            </w:r>
          </w:p>
        </w:tc>
        <w:tc>
          <w:tcPr>
            <w:tcW w:w="1170" w:type="dxa"/>
          </w:tcPr>
          <w:p w14:paraId="5293E8E9" w14:textId="415091A1"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Bits: 0-10</w:t>
            </w:r>
          </w:p>
        </w:tc>
        <w:tc>
          <w:tcPr>
            <w:tcW w:w="1080" w:type="dxa"/>
          </w:tcPr>
          <w:p w14:paraId="773B8C3B" w14:textId="4AEFAC33"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11-14</w:t>
            </w:r>
          </w:p>
        </w:tc>
        <w:tc>
          <w:tcPr>
            <w:tcW w:w="810" w:type="dxa"/>
          </w:tcPr>
          <w:p w14:paraId="02BB7332" w14:textId="67ADF63E" w:rsidR="00D14563" w:rsidRPr="009F7D0C" w:rsidRDefault="00D14563" w:rsidP="00CB3DFD">
            <w:pPr>
              <w:rPr>
                <w:rFonts w:ascii="Cambria" w:eastAsia="MS Mincho" w:hAnsi="Cambria"/>
                <w:b/>
                <w:color w:val="auto"/>
                <w:sz w:val="24"/>
                <w:szCs w:val="24"/>
                <w:lang w:eastAsia="ja-JP"/>
              </w:rPr>
            </w:pPr>
            <w:r w:rsidRPr="009F7D0C">
              <w:rPr>
                <w:rFonts w:ascii="Cambria" w:eastAsia="MS Mincho" w:hAnsi="Cambria"/>
                <w:b/>
                <w:color w:val="auto"/>
                <w:sz w:val="24"/>
                <w:szCs w:val="24"/>
                <w:lang w:eastAsia="ja-JP"/>
              </w:rPr>
              <w:t>15</w:t>
            </w:r>
          </w:p>
        </w:tc>
      </w:tr>
      <w:tr w:rsidR="000D3AD2" w:rsidRPr="009F7D0C" w14:paraId="1B8CF4C5" w14:textId="77777777" w:rsidTr="000D3AD2">
        <w:tc>
          <w:tcPr>
            <w:tcW w:w="1800" w:type="dxa"/>
          </w:tcPr>
          <w:p w14:paraId="442C3BE7" w14:textId="391F8151" w:rsidR="00D14563" w:rsidRPr="009F7D0C" w:rsidRDefault="009464A4" w:rsidP="00F46A4A">
            <w:pPr>
              <w:rPr>
                <w:rFonts w:ascii="Cambria" w:eastAsia="MS Mincho" w:hAnsi="Cambria"/>
                <w:color w:val="auto"/>
                <w:sz w:val="24"/>
                <w:szCs w:val="24"/>
                <w:lang w:eastAsia="ja-JP"/>
              </w:rPr>
            </w:pPr>
            <w:r>
              <w:rPr>
                <w:rFonts w:ascii="Cambria" w:eastAsia="MS Mincho" w:hAnsi="Cambria"/>
                <w:color w:val="auto"/>
                <w:sz w:val="24"/>
                <w:szCs w:val="24"/>
                <w:lang w:eastAsia="ja-JP"/>
              </w:rPr>
              <w:t xml:space="preserve">Payload IE Content </w:t>
            </w:r>
            <w:r w:rsidR="00D14563" w:rsidRPr="009F7D0C">
              <w:rPr>
                <w:rFonts w:ascii="Cambria" w:eastAsia="MS Mincho" w:hAnsi="Cambria"/>
                <w:color w:val="auto"/>
                <w:sz w:val="24"/>
                <w:szCs w:val="24"/>
                <w:lang w:eastAsia="ja-JP"/>
              </w:rPr>
              <w:t>Length</w:t>
            </w:r>
          </w:p>
        </w:tc>
        <w:tc>
          <w:tcPr>
            <w:tcW w:w="900" w:type="dxa"/>
          </w:tcPr>
          <w:p w14:paraId="7002E88D" w14:textId="77777777" w:rsidR="00D14563" w:rsidRPr="009F7D0C" w:rsidRDefault="00D14563" w:rsidP="00F46A4A">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3AA06F0C" w14:textId="77777777" w:rsidR="00D14563" w:rsidRPr="009F7D0C" w:rsidRDefault="00D14563" w:rsidP="00F46A4A">
            <w:pPr>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c>
          <w:tcPr>
            <w:tcW w:w="990" w:type="dxa"/>
          </w:tcPr>
          <w:p w14:paraId="37D0E2B9" w14:textId="363B3F38" w:rsidR="00D14563" w:rsidRPr="009F7D0C" w:rsidRDefault="00C40405" w:rsidP="00F46A4A">
            <w:pPr>
              <w:rPr>
                <w:rFonts w:ascii="Cambria" w:eastAsia="MS Mincho" w:hAnsi="Cambria"/>
                <w:color w:val="auto"/>
                <w:sz w:val="24"/>
                <w:szCs w:val="24"/>
                <w:lang w:eastAsia="ja-JP"/>
              </w:rPr>
            </w:pPr>
            <w:r>
              <w:rPr>
                <w:rFonts w:ascii="Cambria" w:eastAsia="MS Mincho" w:hAnsi="Cambria"/>
                <w:color w:val="auto"/>
                <w:sz w:val="24"/>
                <w:szCs w:val="24"/>
                <w:lang w:eastAsia="ja-JP"/>
              </w:rPr>
              <w:t>Sub-type ID</w:t>
            </w:r>
            <w:r w:rsidR="00D14563">
              <w:rPr>
                <w:rFonts w:ascii="Cambria" w:eastAsia="MS Mincho" w:hAnsi="Cambria"/>
                <w:color w:val="auto"/>
                <w:sz w:val="24"/>
                <w:szCs w:val="24"/>
                <w:lang w:eastAsia="ja-JP"/>
              </w:rPr>
              <w:t xml:space="preserve"> </w:t>
            </w:r>
          </w:p>
        </w:tc>
        <w:tc>
          <w:tcPr>
            <w:tcW w:w="1350" w:type="dxa"/>
          </w:tcPr>
          <w:p w14:paraId="639691FF" w14:textId="28C510EC" w:rsidR="00D14563" w:rsidRPr="009F7D0C" w:rsidRDefault="00C40405" w:rsidP="00F46A4A">
            <w:pPr>
              <w:widowControl w:val="0"/>
              <w:autoSpaceDE w:val="0"/>
              <w:autoSpaceDN w:val="0"/>
              <w:adjustRightInd w:val="0"/>
              <w:spacing w:line="300" w:lineRule="atLeast"/>
              <w:rPr>
                <w:b/>
                <w:bCs/>
                <w:color w:val="auto"/>
                <w:sz w:val="28"/>
                <w:szCs w:val="28"/>
              </w:rPr>
            </w:pPr>
            <w:r>
              <w:rPr>
                <w:rFonts w:ascii="Cambria" w:eastAsia="MS Mincho" w:hAnsi="Cambria"/>
                <w:color w:val="auto"/>
                <w:sz w:val="24"/>
                <w:szCs w:val="24"/>
                <w:lang w:eastAsia="ja-JP"/>
              </w:rPr>
              <w:t xml:space="preserve">Sub-type </w:t>
            </w:r>
            <w:r w:rsidR="00D14563" w:rsidRPr="009F7D0C">
              <w:rPr>
                <w:rFonts w:ascii="Cambria" w:eastAsia="MS Mincho" w:hAnsi="Cambria"/>
                <w:color w:val="auto"/>
                <w:sz w:val="24"/>
                <w:szCs w:val="24"/>
                <w:lang w:eastAsia="ja-JP"/>
              </w:rPr>
              <w:t>Content</w:t>
            </w:r>
          </w:p>
        </w:tc>
        <w:tc>
          <w:tcPr>
            <w:tcW w:w="1170" w:type="dxa"/>
          </w:tcPr>
          <w:p w14:paraId="368439FB" w14:textId="095A5B51" w:rsidR="00D14563"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Length</w:t>
            </w:r>
            <w:r>
              <w:rPr>
                <w:rFonts w:ascii="Cambria" w:eastAsia="MS Mincho" w:hAnsi="Cambria"/>
                <w:color w:val="auto"/>
                <w:sz w:val="24"/>
                <w:szCs w:val="24"/>
                <w:lang w:eastAsia="ja-JP"/>
              </w:rPr>
              <w:t xml:space="preserve"> </w:t>
            </w:r>
            <w:r w:rsidR="0009756D">
              <w:rPr>
                <w:rFonts w:ascii="Cambria" w:eastAsia="MS Mincho" w:hAnsi="Cambria"/>
                <w:color w:val="auto"/>
                <w:sz w:val="24"/>
                <w:szCs w:val="24"/>
                <w:lang w:eastAsia="ja-JP"/>
              </w:rPr>
              <w:br/>
            </w:r>
            <w:r>
              <w:rPr>
                <w:rFonts w:ascii="Cambria" w:eastAsia="MS Mincho" w:hAnsi="Cambria"/>
                <w:color w:val="auto"/>
                <w:sz w:val="24"/>
                <w:szCs w:val="24"/>
                <w:lang w:eastAsia="ja-JP"/>
              </w:rPr>
              <w:t>= 0</w:t>
            </w:r>
          </w:p>
        </w:tc>
        <w:tc>
          <w:tcPr>
            <w:tcW w:w="1080" w:type="dxa"/>
          </w:tcPr>
          <w:p w14:paraId="37B98A5C" w14:textId="2046C6B2" w:rsidR="00D14563"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Group ID</w:t>
            </w:r>
          </w:p>
        </w:tc>
        <w:tc>
          <w:tcPr>
            <w:tcW w:w="810" w:type="dxa"/>
          </w:tcPr>
          <w:p w14:paraId="226BC5B8" w14:textId="56415448" w:rsidR="00D14563" w:rsidRPr="009F7D0C"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sidRPr="009F7D0C">
              <w:rPr>
                <w:rFonts w:ascii="Cambria" w:eastAsia="MS Mincho" w:hAnsi="Cambria"/>
                <w:color w:val="auto"/>
                <w:sz w:val="24"/>
                <w:szCs w:val="24"/>
                <w:lang w:eastAsia="ja-JP"/>
              </w:rPr>
              <w:t>Type = 1</w:t>
            </w:r>
          </w:p>
        </w:tc>
      </w:tr>
      <w:tr w:rsidR="00D14563" w:rsidRPr="009F7D0C" w14:paraId="6BA6E67D" w14:textId="77777777" w:rsidTr="000D3AD2">
        <w:tc>
          <w:tcPr>
            <w:tcW w:w="3510" w:type="dxa"/>
            <w:gridSpan w:val="3"/>
          </w:tcPr>
          <w:p w14:paraId="56467A9C" w14:textId="767BCC66" w:rsidR="00D14563" w:rsidRPr="009F7D0C" w:rsidRDefault="00D14563" w:rsidP="00F46A4A">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2340" w:type="dxa"/>
            <w:gridSpan w:val="2"/>
          </w:tcPr>
          <w:p w14:paraId="271603AE" w14:textId="10D0C14E" w:rsidR="00D14563" w:rsidRDefault="00C40405" w:rsidP="00F46A4A">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3060" w:type="dxa"/>
            <w:gridSpan w:val="3"/>
          </w:tcPr>
          <w:p w14:paraId="1297FBE3" w14:textId="63FDBE71" w:rsidR="00D14563" w:rsidRDefault="00D14563" w:rsidP="00F46A4A">
            <w:pPr>
              <w:widowControl w:val="0"/>
              <w:autoSpaceDE w:val="0"/>
              <w:autoSpaceDN w:val="0"/>
              <w:adjustRightInd w:val="0"/>
              <w:spacing w:line="300" w:lineRule="atLeast"/>
              <w:rPr>
                <w:rFonts w:ascii="Cambria" w:eastAsia="MS Mincho" w:hAnsi="Cambria"/>
                <w:color w:val="auto"/>
                <w:sz w:val="24"/>
                <w:szCs w:val="24"/>
                <w:lang w:eastAsia="ja-JP"/>
              </w:rPr>
            </w:pPr>
            <w:r>
              <w:rPr>
                <w:rFonts w:ascii="Cambria" w:eastAsia="MS Mincho" w:hAnsi="Cambria"/>
                <w:color w:val="auto"/>
                <w:sz w:val="24"/>
                <w:szCs w:val="24"/>
                <w:lang w:eastAsia="ja-JP"/>
              </w:rPr>
              <w:t>Payload Termination IE</w:t>
            </w:r>
          </w:p>
        </w:tc>
      </w:tr>
    </w:tbl>
    <w:p w14:paraId="233F6516" w14:textId="22CFDBE7" w:rsidR="00356892" w:rsidRPr="00F46A4A" w:rsidRDefault="009655EA" w:rsidP="00F46A4A">
      <w:pPr>
        <w:widowControl w:val="0"/>
        <w:spacing w:after="240"/>
        <w:rPr>
          <w:b/>
          <w:sz w:val="28"/>
          <w:szCs w:val="28"/>
        </w:rPr>
      </w:pPr>
      <w:r w:rsidRPr="00D14563">
        <w:rPr>
          <w:b/>
          <w:sz w:val="28"/>
          <w:szCs w:val="28"/>
        </w:rPr>
        <w:t>Example of single payload IE</w:t>
      </w:r>
      <w:r w:rsidR="009464A4">
        <w:rPr>
          <w:b/>
          <w:sz w:val="28"/>
          <w:szCs w:val="28"/>
        </w:rPr>
        <w:t xml:space="preserve"> part of MAC payload followed by frame payload</w:t>
      </w:r>
    </w:p>
    <w:p w14:paraId="649E2D5E" w14:textId="5B2532DF" w:rsidR="00356892" w:rsidRDefault="00356892" w:rsidP="00356892">
      <w:pPr>
        <w:widowControl w:val="0"/>
        <w:spacing w:before="120" w:after="120"/>
        <w:rPr>
          <w:sz w:val="28"/>
          <w:szCs w:val="28"/>
        </w:rPr>
      </w:pPr>
      <w:r>
        <w:rPr>
          <w:sz w:val="28"/>
          <w:szCs w:val="28"/>
        </w:rPr>
        <w:t>Multiple Payload IEs can be concatenated in a frame as shown in the following figure:</w:t>
      </w:r>
    </w:p>
    <w:tbl>
      <w:tblPr>
        <w:tblStyle w:val="TableGrid"/>
        <w:tblW w:w="8235" w:type="dxa"/>
        <w:tblInd w:w="108" w:type="dxa"/>
        <w:tblLayout w:type="fixed"/>
        <w:tblLook w:val="04A0" w:firstRow="1" w:lastRow="0" w:firstColumn="1" w:lastColumn="0" w:noHBand="0" w:noVBand="1"/>
      </w:tblPr>
      <w:tblGrid>
        <w:gridCol w:w="1306"/>
        <w:gridCol w:w="1394"/>
        <w:gridCol w:w="1170"/>
        <w:gridCol w:w="1350"/>
        <w:gridCol w:w="360"/>
        <w:gridCol w:w="2655"/>
      </w:tblGrid>
      <w:tr w:rsidR="00470B12" w:rsidRPr="009F7D0C" w14:paraId="26B8C15E" w14:textId="77777777" w:rsidTr="00F46A4A">
        <w:tc>
          <w:tcPr>
            <w:tcW w:w="1306" w:type="dxa"/>
          </w:tcPr>
          <w:p w14:paraId="4E0AFCE9" w14:textId="77777777" w:rsidR="009655EA" w:rsidRPr="009F7D0C" w:rsidRDefault="009655EA"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1394" w:type="dxa"/>
          </w:tcPr>
          <w:p w14:paraId="16955176" w14:textId="0BD06297" w:rsidR="009655EA" w:rsidRPr="009F7D0C" w:rsidRDefault="00470B12"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1170" w:type="dxa"/>
          </w:tcPr>
          <w:p w14:paraId="7962D509" w14:textId="77777777" w:rsidR="009655EA" w:rsidRPr="009F7D0C" w:rsidRDefault="009655EA"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w:t>
            </w:r>
          </w:p>
        </w:tc>
        <w:tc>
          <w:tcPr>
            <w:tcW w:w="1350" w:type="dxa"/>
          </w:tcPr>
          <w:p w14:paraId="5F93AACF" w14:textId="736F1843" w:rsidR="009655EA" w:rsidRPr="009F7D0C" w:rsidRDefault="00470B12"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IE Content</w:t>
            </w:r>
          </w:p>
        </w:tc>
        <w:tc>
          <w:tcPr>
            <w:tcW w:w="360" w:type="dxa"/>
          </w:tcPr>
          <w:p w14:paraId="3F0CC0CF" w14:textId="77777777" w:rsidR="009655EA" w:rsidRDefault="009655EA"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w:t>
            </w:r>
          </w:p>
        </w:tc>
        <w:tc>
          <w:tcPr>
            <w:tcW w:w="2655" w:type="dxa"/>
          </w:tcPr>
          <w:p w14:paraId="674D9778" w14:textId="77777777" w:rsidR="009655EA" w:rsidRPr="009F7D0C" w:rsidRDefault="009655EA" w:rsidP="009655EA">
            <w:pPr>
              <w:rPr>
                <w:rFonts w:ascii="Cambria" w:eastAsia="MS Mincho" w:hAnsi="Cambria"/>
                <w:color w:val="auto"/>
                <w:sz w:val="24"/>
                <w:szCs w:val="24"/>
                <w:lang w:eastAsia="ja-JP"/>
              </w:rPr>
            </w:pPr>
            <w:r>
              <w:rPr>
                <w:rFonts w:ascii="Cambria" w:eastAsia="MS Mincho" w:hAnsi="Cambria"/>
                <w:color w:val="auto"/>
                <w:sz w:val="24"/>
                <w:szCs w:val="24"/>
                <w:lang w:eastAsia="ja-JP"/>
              </w:rPr>
              <w:t>Payload Termination IE</w:t>
            </w:r>
          </w:p>
        </w:tc>
      </w:tr>
    </w:tbl>
    <w:p w14:paraId="18DF06C5" w14:textId="01790424" w:rsidR="009655EA" w:rsidRDefault="009655EA" w:rsidP="003330B8">
      <w:pPr>
        <w:widowControl w:val="0"/>
        <w:spacing w:after="240"/>
        <w:rPr>
          <w:b/>
          <w:sz w:val="28"/>
          <w:szCs w:val="28"/>
        </w:rPr>
      </w:pPr>
      <w:r w:rsidRPr="0009756D">
        <w:rPr>
          <w:b/>
          <w:sz w:val="28"/>
          <w:szCs w:val="28"/>
        </w:rPr>
        <w:t>Example</w:t>
      </w:r>
      <w:r w:rsidR="0009756D">
        <w:rPr>
          <w:b/>
          <w:sz w:val="28"/>
          <w:szCs w:val="28"/>
        </w:rPr>
        <w:t xml:space="preserve"> overview</w:t>
      </w:r>
      <w:r w:rsidRPr="0009756D">
        <w:rPr>
          <w:b/>
          <w:sz w:val="28"/>
          <w:szCs w:val="28"/>
        </w:rPr>
        <w:t xml:space="preserve"> of multiple concatenated payload IEs</w:t>
      </w:r>
    </w:p>
    <w:p w14:paraId="5AA66A64" w14:textId="4BE317E7" w:rsidR="003C1BCB" w:rsidRPr="0009756D" w:rsidRDefault="00BA5E4D" w:rsidP="003862B7">
      <w:pPr>
        <w:widowControl w:val="0"/>
        <w:spacing w:before="120"/>
        <w:rPr>
          <w:b/>
          <w:sz w:val="28"/>
          <w:szCs w:val="28"/>
        </w:rPr>
      </w:pPr>
      <w:r>
        <w:rPr>
          <w:color w:val="auto"/>
          <w:sz w:val="28"/>
          <w:szCs w:val="28"/>
        </w:rPr>
        <w:t>Finally, the IEEE 802.15 6T believes that the name</w:t>
      </w:r>
      <w:r w:rsidR="00F53878">
        <w:rPr>
          <w:color w:val="auto"/>
          <w:sz w:val="28"/>
          <w:szCs w:val="28"/>
        </w:rPr>
        <w:t xml:space="preserve"> “</w:t>
      </w:r>
      <w:r w:rsidRPr="00CD257F">
        <w:rPr>
          <w:color w:val="auto"/>
          <w:sz w:val="28"/>
          <w:szCs w:val="28"/>
        </w:rPr>
        <w:t>The IETF IE is a IEEE802.15.4 IANA_6TOP_IE_GROUP_ID</w:t>
      </w:r>
      <w:r w:rsidR="00F53878">
        <w:rPr>
          <w:color w:val="auto"/>
          <w:sz w:val="28"/>
          <w:szCs w:val="28"/>
        </w:rPr>
        <w:t>” is inappropriate since  Payload Group IE will be assigned to IETF</w:t>
      </w:r>
      <w:r w:rsidRPr="00CD257F">
        <w:rPr>
          <w:color w:val="auto"/>
          <w:sz w:val="28"/>
          <w:szCs w:val="28"/>
        </w:rPr>
        <w:t>.</w:t>
      </w:r>
      <w:r w:rsidR="00F53878">
        <w:rPr>
          <w:color w:val="auto"/>
          <w:sz w:val="28"/>
          <w:szCs w:val="28"/>
        </w:rPr>
        <w:t xml:space="preserve">  The naming should be sufficiently general to allow other work groups use this IE</w:t>
      </w:r>
      <w:r w:rsidRPr="00CD257F">
        <w:rPr>
          <w:color w:val="auto"/>
          <w:sz w:val="28"/>
          <w:szCs w:val="28"/>
        </w:rPr>
        <w:t xml:space="preserve"> </w:t>
      </w:r>
      <w:bookmarkStart w:id="1" w:name="_GoBack"/>
      <w:bookmarkEnd w:id="1"/>
    </w:p>
    <w:sectPr w:rsidR="003C1BCB" w:rsidRPr="0009756D" w:rsidSect="0088719B">
      <w:footnotePr>
        <w:pos w:val="beneathText"/>
      </w:footnotePr>
      <w:type w:val="continuous"/>
      <w:pgSz w:w="12240" w:h="15840"/>
      <w:pgMar w:top="1530" w:right="1440" w:bottom="1260" w:left="1440" w:header="1170" w:footer="859"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F9022" w14:textId="77777777" w:rsidR="00BA5E4D" w:rsidRDefault="00BA5E4D">
      <w:r>
        <w:separator/>
      </w:r>
    </w:p>
  </w:endnote>
  <w:endnote w:type="continuationSeparator" w:id="0">
    <w:p w14:paraId="061DE652" w14:textId="77777777" w:rsidR="00BA5E4D" w:rsidRDefault="00BA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E786D" w14:textId="77777777" w:rsidR="00BA5E4D" w:rsidRDefault="00BA5E4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&lt;company&gt;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2C38" w14:textId="77777777" w:rsidR="00BA5E4D" w:rsidRDefault="00BA5E4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3397" w14:textId="77777777" w:rsidR="00BA5E4D" w:rsidRDefault="00BA5E4D">
      <w:r>
        <w:separator/>
      </w:r>
    </w:p>
  </w:footnote>
  <w:footnote w:type="continuationSeparator" w:id="0">
    <w:p w14:paraId="5CA1E09F" w14:textId="77777777" w:rsidR="00BA5E4D" w:rsidRDefault="00BA5E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5EA19" w14:textId="77777777" w:rsidR="00BA5E4D" w:rsidRDefault="00BA5E4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&lt;15-15-0939-00&gt;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DE1D" w14:textId="77777777" w:rsidR="00BA5E4D" w:rsidRDefault="00BA5E4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0319"/>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FA3658"/>
    <w:multiLevelType w:val="multilevel"/>
    <w:tmpl w:val="4888EEEC"/>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pStyle w:val="Heading2"/>
      <w:lvlText w:val="13.%2"/>
      <w:lvlJc w:val="left"/>
      <w:pPr>
        <w:tabs>
          <w:tab w:val="num" w:pos="576"/>
        </w:tabs>
        <w:ind w:left="576" w:hanging="576"/>
      </w:pPr>
      <w:rPr>
        <w:rFonts w:hint="default"/>
        <w:sz w:val="32"/>
        <w:szCs w:val="32"/>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B7"/>
    <w:rsid w:val="0009756D"/>
    <w:rsid w:val="000A5AFD"/>
    <w:rsid w:val="000D3AD2"/>
    <w:rsid w:val="001335D8"/>
    <w:rsid w:val="003237F3"/>
    <w:rsid w:val="003330B8"/>
    <w:rsid w:val="00356892"/>
    <w:rsid w:val="003862B7"/>
    <w:rsid w:val="003C1BCB"/>
    <w:rsid w:val="003E6D6D"/>
    <w:rsid w:val="004174F5"/>
    <w:rsid w:val="00467C10"/>
    <w:rsid w:val="00470B12"/>
    <w:rsid w:val="004A79FF"/>
    <w:rsid w:val="004E3A07"/>
    <w:rsid w:val="005825BC"/>
    <w:rsid w:val="005C51C7"/>
    <w:rsid w:val="00691D75"/>
    <w:rsid w:val="006B4BB9"/>
    <w:rsid w:val="0088719B"/>
    <w:rsid w:val="008D7D67"/>
    <w:rsid w:val="00903EA3"/>
    <w:rsid w:val="0091353E"/>
    <w:rsid w:val="009464A4"/>
    <w:rsid w:val="009655EA"/>
    <w:rsid w:val="00970A04"/>
    <w:rsid w:val="009B7B69"/>
    <w:rsid w:val="009D2746"/>
    <w:rsid w:val="009E0DE4"/>
    <w:rsid w:val="009F7D0C"/>
    <w:rsid w:val="00A43C65"/>
    <w:rsid w:val="00A546C3"/>
    <w:rsid w:val="00B40296"/>
    <w:rsid w:val="00B5560F"/>
    <w:rsid w:val="00BA5E4D"/>
    <w:rsid w:val="00BF6348"/>
    <w:rsid w:val="00C1134C"/>
    <w:rsid w:val="00C40405"/>
    <w:rsid w:val="00C602ED"/>
    <w:rsid w:val="00CB3DFD"/>
    <w:rsid w:val="00CC14B1"/>
    <w:rsid w:val="00CD257F"/>
    <w:rsid w:val="00D14563"/>
    <w:rsid w:val="00D23A5E"/>
    <w:rsid w:val="00D57D36"/>
    <w:rsid w:val="00ED7796"/>
    <w:rsid w:val="00EE2080"/>
    <w:rsid w:val="00F30BC4"/>
    <w:rsid w:val="00F438FA"/>
    <w:rsid w:val="00F46A4A"/>
    <w:rsid w:val="00F53878"/>
    <w:rsid w:val="00F9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380C4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numPr>
        <w:numId w:val="2"/>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3862B7"/>
    <w:pPr>
      <w:keepNext/>
      <w:numPr>
        <w:ilvl w:val="1"/>
        <w:numId w:val="2"/>
      </w:numPr>
      <w:spacing w:before="240" w:after="60"/>
      <w:outlineLvl w:val="1"/>
    </w:pPr>
    <w:rPr>
      <w:rFonts w:ascii="Arial" w:hAnsi="Arial"/>
      <w:b/>
      <w:sz w:val="28"/>
    </w:rPr>
  </w:style>
  <w:style w:type="paragraph" w:styleId="Heading3">
    <w:name w:val="heading 3"/>
    <w:basedOn w:val="Normal"/>
    <w:next w:val="Normal"/>
    <w:qFormat/>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2"/>
      </w:numPr>
      <w:outlineLvl w:val="3"/>
    </w:pPr>
    <w:rPr>
      <w:rFonts w:ascii="Times" w:hAnsi="Times"/>
      <w:u w:val="single"/>
    </w:rPr>
  </w:style>
  <w:style w:type="paragraph" w:styleId="Heading5">
    <w:name w:val="heading 5"/>
    <w:basedOn w:val="Normal"/>
    <w:next w:val="Normal"/>
    <w:qFormat/>
    <w:pPr>
      <w:numPr>
        <w:ilvl w:val="4"/>
        <w:numId w:val="2"/>
      </w:numPr>
      <w:spacing w:before="240" w:after="60"/>
      <w:outlineLvl w:val="4"/>
    </w:pPr>
    <w:rPr>
      <w:sz w:val="22"/>
      <w:u w:val="single"/>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customStyle="1" w:styleId="Heading2Char">
    <w:name w:val="Heading 2 Char"/>
    <w:link w:val="Heading2"/>
    <w:rsid w:val="003862B7"/>
    <w:rPr>
      <w:rFonts w:ascii="Arial" w:hAnsi="Arial"/>
      <w:b/>
      <w:color w:val="000000"/>
      <w:sz w:val="28"/>
    </w:rPr>
  </w:style>
  <w:style w:type="table" w:styleId="TableGrid">
    <w:name w:val="Table Grid"/>
    <w:basedOn w:val="TableNormal"/>
    <w:uiPriority w:val="59"/>
    <w:rsid w:val="00A43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numPr>
        <w:numId w:val="2"/>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3862B7"/>
    <w:pPr>
      <w:keepNext/>
      <w:numPr>
        <w:ilvl w:val="1"/>
        <w:numId w:val="2"/>
      </w:numPr>
      <w:spacing w:before="240" w:after="60"/>
      <w:outlineLvl w:val="1"/>
    </w:pPr>
    <w:rPr>
      <w:rFonts w:ascii="Arial" w:hAnsi="Arial"/>
      <w:b/>
      <w:sz w:val="28"/>
    </w:rPr>
  </w:style>
  <w:style w:type="paragraph" w:styleId="Heading3">
    <w:name w:val="heading 3"/>
    <w:basedOn w:val="Normal"/>
    <w:next w:val="Normal"/>
    <w:qFormat/>
    <w:pPr>
      <w:keepNext/>
      <w:numPr>
        <w:ilvl w:val="2"/>
        <w:numId w:val="2"/>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2"/>
      </w:numPr>
      <w:outlineLvl w:val="3"/>
    </w:pPr>
    <w:rPr>
      <w:rFonts w:ascii="Times" w:hAnsi="Times"/>
      <w:u w:val="single"/>
    </w:rPr>
  </w:style>
  <w:style w:type="paragraph" w:styleId="Heading5">
    <w:name w:val="heading 5"/>
    <w:basedOn w:val="Normal"/>
    <w:next w:val="Normal"/>
    <w:qFormat/>
    <w:pPr>
      <w:numPr>
        <w:ilvl w:val="4"/>
        <w:numId w:val="2"/>
      </w:numPr>
      <w:spacing w:before="240" w:after="60"/>
      <w:outlineLvl w:val="4"/>
    </w:pPr>
    <w:rPr>
      <w:sz w:val="22"/>
      <w:u w:val="single"/>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customStyle="1" w:styleId="Heading2Char">
    <w:name w:val="Heading 2 Char"/>
    <w:link w:val="Heading2"/>
    <w:rsid w:val="003862B7"/>
    <w:rPr>
      <w:rFonts w:ascii="Arial" w:hAnsi="Arial"/>
      <w:b/>
      <w:color w:val="000000"/>
      <w:sz w:val="28"/>
    </w:rPr>
  </w:style>
  <w:style w:type="table" w:styleId="TableGrid">
    <w:name w:val="Table Grid"/>
    <w:basedOn w:val="TableNormal"/>
    <w:uiPriority w:val="59"/>
    <w:rsid w:val="00A43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2.gif"/><Relationship Id="rId15" Type="http://schemas.openxmlformats.org/officeDocument/2006/relationships/image" Target="media/image3.gi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s://tools.ietf.org/html/draft-wang-6tisch-6top-sublayer-03#appendix-A"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344</TotalTime>
  <Pages>6</Pages>
  <Words>1564</Words>
  <Characters>7352</Characters>
  <Application>Microsoft Macintosh Word</Application>
  <DocSecurity>0</DocSecurity>
  <Lines>294</Lines>
  <Paragraphs>228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&lt;IETF 6tisch IE Information&gt;</vt:lpstr>
      <vt:lpstr>Procedure for requesting IDs from 802.15 ANA </vt:lpstr>
      <vt:lpstr>IEEE 802.15.4-2015 rules on the use of IEs</vt:lpstr>
      <vt:lpstr>Recommended practice of formatting Payload IE sub-types</vt:lpstr>
      <vt:lpstr>    ANA Request Procedure for other standards development organizations (SDOs)</vt:lpstr>
    </vt:vector>
  </TitlesOfParts>
  <Manager/>
  <Company>&lt;Kinney Consulting&gt;</Company>
  <LinksUpToDate>false</LinksUpToDate>
  <CharactersWithSpaces>8688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&lt;IETF 6tisch IE Information&gt;</dc:title>
  <dc:subject/>
  <dc:creator>Pat Kinney</dc:creator>
  <cp:keywords/>
  <dc:description>&lt;street address&gt;_x000d_
TELEPHONE: &lt;phone#&gt;_x000d_
FAX: &lt;fax#&gt;_x000d_
EMAIL: &lt;email&gt;</dc:description>
  <cp:lastModifiedBy>Pat Kinney</cp:lastModifiedBy>
  <cp:revision>12</cp:revision>
  <cp:lastPrinted>1601-01-01T00:00:00Z</cp:lastPrinted>
  <dcterms:created xsi:type="dcterms:W3CDTF">2015-11-12T16:02:00Z</dcterms:created>
  <dcterms:modified xsi:type="dcterms:W3CDTF">2015-11-13T05:54:00Z</dcterms:modified>
  <cp:category>&lt;15-15-0939-00&gt;</cp:category>
</cp:coreProperties>
</file>