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 xml:space="preserve">s a </w:t>
            </w:r>
            <w:proofErr w:type="spellStart"/>
            <w:r w:rsidR="005D678E">
              <w:rPr>
                <w:rFonts w:hint="eastAsia"/>
              </w:rPr>
              <w:t>drfat</w:t>
            </w:r>
            <w:proofErr w:type="spellEnd"/>
            <w:r w:rsidR="005D678E">
              <w:rPr>
                <w:rFonts w:hint="eastAsia"/>
              </w:rPr>
              <w:t xml:space="preserve"> liaison</w:t>
            </w:r>
            <w:r>
              <w:rPr>
                <w:rFonts w:hint="eastAsia"/>
              </w:rPr>
              <w:t xml:space="preserve"> </w:t>
            </w:r>
            <w:r w:rsidR="005D678E">
              <w:rPr>
                <w:rFonts w:hint="eastAsia"/>
              </w:rPr>
              <w:t>statement to ITU-R WP1A</w:t>
            </w:r>
            <w:r w:rsidRPr="005C1952">
              <w:t>.</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rPr>
              <w:drawing>
                <wp:inline distT="0" distB="0" distL="0" distR="0" wp14:anchorId="70EDB292" wp14:editId="69E88E5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proofErr w:type="spellStart"/>
      <w:r w:rsidR="008B64F8">
        <w:rPr>
          <w:rFonts w:hint="eastAsia"/>
          <w:lang w:bidi="he-IL"/>
        </w:rPr>
        <w:t>follwoing</w:t>
      </w:r>
      <w:proofErr w:type="spellEnd"/>
      <w:r w:rsidR="008B64F8">
        <w:rPr>
          <w:rFonts w:hint="eastAsia"/>
          <w:lang w:bidi="he-IL"/>
        </w:rPr>
        <w:t xml:space="preserve"> </w:t>
      </w:r>
      <w:r>
        <w:rPr>
          <w:rFonts w:hint="eastAsia"/>
          <w:lang w:bidi="he-IL"/>
        </w:rPr>
        <w:t xml:space="preserve">input contributions </w:t>
      </w:r>
      <w:r w:rsidR="008B64F8">
        <w:rPr>
          <w:rFonts w:hint="eastAsia"/>
          <w:lang w:bidi="he-IL"/>
        </w:rPr>
        <w:t>related to the sharing issues for information only.</w:t>
      </w:r>
    </w:p>
    <w:p w:rsidR="008B64F8" w:rsidRDefault="008B64F8" w:rsidP="008B64F8">
      <w:r w:rsidRPr="008B64F8">
        <w:t>Doc</w:t>
      </w:r>
      <w:r>
        <w:rPr>
          <w:rFonts w:hint="eastAsia"/>
        </w:rPr>
        <w:t>.:</w:t>
      </w:r>
      <w:r w:rsidRPr="008B64F8">
        <w:t xml:space="preserve"> IEEE 802.15-15-10-0829-00-0</w:t>
      </w:r>
      <w:proofErr w:type="gramStart"/>
      <w:r w:rsidRPr="008B64F8">
        <w:t>thz</w:t>
      </w:r>
      <w:proofErr w:type="gramEnd"/>
    </w:p>
    <w:p w:rsidR="008B64F8" w:rsidRDefault="008B64F8" w:rsidP="008B64F8">
      <w:r>
        <w:rPr>
          <w:rFonts w:hint="eastAsia"/>
        </w:rPr>
        <w:t>D</w:t>
      </w:r>
      <w:r w:rsidRPr="008B64F8">
        <w:t>oc.: IEEE 802.15-15-12-0101-00-0</w:t>
      </w:r>
      <w:proofErr w:type="gramStart"/>
      <w:r w:rsidRPr="008B64F8">
        <w:t>thz</w:t>
      </w:r>
      <w:proofErr w:type="gramEnd"/>
    </w:p>
    <w:p w:rsidR="003562F1" w:rsidRDefault="008B64F8" w:rsidP="003562F1">
      <w:pPr>
        <w:spacing w:after="120"/>
        <w:rPr>
          <w:rFonts w:hint="eastAsia"/>
        </w:rPr>
      </w:pPr>
      <w:r>
        <w:rPr>
          <w:rFonts w:hint="eastAsia"/>
        </w:rPr>
        <w:lastRenderedPageBreak/>
        <w:t>D</w:t>
      </w:r>
      <w:r w:rsidRPr="008B64F8">
        <w:t>oc.: IEEE 802.15-15-12-0324-00-0</w:t>
      </w:r>
      <w:proofErr w:type="gramStart"/>
      <w:r w:rsidRPr="008B64F8">
        <w:t>thz</w:t>
      </w:r>
      <w:proofErr w:type="gramEnd"/>
    </w:p>
    <w:p w:rsidR="00033ACD" w:rsidRDefault="008B64F8" w:rsidP="00033ACD">
      <w:pPr>
        <w:spacing w:after="120"/>
      </w:pPr>
      <w:r>
        <w:rPr>
          <w:rFonts w:hint="eastAsia"/>
        </w:rPr>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585249">
        <w:rPr>
          <w:rFonts w:hint="eastAsia"/>
        </w:rPr>
        <w:t>of 78</w:t>
      </w:r>
      <w:r>
        <w:rPr>
          <w:rFonts w:hint="eastAsia"/>
        </w:rPr>
        <w:t xml:space="preserve"> GHz. </w:t>
      </w:r>
      <w:r w:rsidR="003562F1">
        <w:rPr>
          <w:rFonts w:hint="eastAsia"/>
        </w:rPr>
        <w:t xml:space="preserve">Since </w:t>
      </w:r>
      <w:r w:rsidR="00585249">
        <w:rPr>
          <w:rFonts w:hint="eastAsia"/>
        </w:rPr>
        <w:t xml:space="preserve">IEEE 802 is now drafting Technical Requirement Document (TRD) </w:t>
      </w:r>
      <w:r w:rsidR="002438EC">
        <w:rPr>
          <w:rFonts w:hint="eastAsia"/>
        </w:rPr>
        <w:t xml:space="preserve">to complete the requirements and specifications for </w:t>
      </w:r>
      <w:r w:rsidR="002438EC">
        <w:t>terahertz</w:t>
      </w:r>
      <w:r w:rsidR="003562F1">
        <w:rPr>
          <w:rFonts w:hint="eastAsia"/>
        </w:rPr>
        <w:t xml:space="preserve"> systems, </w:t>
      </w:r>
      <w:r w:rsidR="00585249">
        <w:rPr>
          <w:rFonts w:hint="eastAsia"/>
        </w:rPr>
        <w:t xml:space="preserve">IEEE 802 does not have any technical and </w:t>
      </w:r>
      <w:r w:rsidR="00585249">
        <w:t>operational</w:t>
      </w:r>
      <w:r w:rsidR="00585249">
        <w:rPr>
          <w:rFonts w:hint="eastAsia"/>
        </w:rPr>
        <w:t xml:space="preserve"> </w:t>
      </w:r>
      <w:proofErr w:type="spellStart"/>
      <w:r w:rsidR="00585249">
        <w:rPr>
          <w:rFonts w:hint="eastAsia"/>
        </w:rPr>
        <w:t>chracteritics</w:t>
      </w:r>
      <w:proofErr w:type="spellEnd"/>
      <w:r w:rsidR="00585249">
        <w:rPr>
          <w:rFonts w:hint="eastAsia"/>
        </w:rPr>
        <w:t xml:space="preserve"> </w:t>
      </w:r>
      <w:r w:rsidR="002438EC">
        <w:rPr>
          <w:rFonts w:hint="eastAsia"/>
        </w:rPr>
        <w:t xml:space="preserve">which can be used for sharing studies </w:t>
      </w:r>
      <w:r w:rsidR="003562F1">
        <w:rPr>
          <w:rFonts w:hint="eastAsia"/>
        </w:rPr>
        <w:t xml:space="preserve">at the moment. </w:t>
      </w:r>
    </w:p>
    <w:p w:rsidR="002438EC" w:rsidRPr="002438EC" w:rsidRDefault="002438EC" w:rsidP="002438EC">
      <w:pPr>
        <w:spacing w:after="240"/>
      </w:pPr>
      <w:r>
        <w:rPr>
          <w:rFonts w:hint="eastAsia"/>
        </w:rPr>
        <w:t xml:space="preserve">IEEE 802 also interested in </w:t>
      </w:r>
      <w:r w:rsidR="001F4E8C">
        <w:rPr>
          <w:rFonts w:hint="eastAsia"/>
        </w:rPr>
        <w:t xml:space="preserve">other higher </w:t>
      </w:r>
      <w:r w:rsidR="001F4E8C">
        <w:t>frequency</w:t>
      </w:r>
      <w:r w:rsidR="001F4E8C">
        <w:rPr>
          <w:rFonts w:hint="eastAsia"/>
        </w:rPr>
        <w:t xml:space="preserve"> ranges above 325 GHz for close proximity terahertz applications. If IEEE</w:t>
      </w:r>
      <w:r w:rsidR="003562F1">
        <w:rPr>
          <w:rFonts w:hint="eastAsia"/>
        </w:rPr>
        <w:t xml:space="preserve"> 802 initiates technical studie</w:t>
      </w:r>
      <w:r w:rsidR="001F4E8C">
        <w:rPr>
          <w:rFonts w:hint="eastAsia"/>
        </w:rPr>
        <w:t xml:space="preserve">s </w:t>
      </w:r>
      <w:r w:rsidR="003562F1">
        <w:rPr>
          <w:rFonts w:hint="eastAsia"/>
        </w:rPr>
        <w:t>in these frequency ranges, the</w:t>
      </w:r>
      <w:r w:rsidR="001F4E8C">
        <w:rPr>
          <w:rFonts w:hint="eastAsia"/>
        </w:rPr>
        <w:t xml:space="preserve"> results </w:t>
      </w:r>
      <w:r w:rsidR="003562F1">
        <w:rPr>
          <w:rFonts w:hint="eastAsia"/>
        </w:rPr>
        <w:t xml:space="preserve">above 325 GHz as well as in the frequency range 252-325 GHz </w:t>
      </w:r>
      <w:bookmarkStart w:id="9" w:name="_GoBack"/>
      <w:bookmarkEnd w:id="9"/>
      <w:r w:rsidR="001F4E8C">
        <w:rPr>
          <w:rFonts w:hint="eastAsia"/>
        </w:rPr>
        <w:t>will be informed accordingly.</w:t>
      </w:r>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 xml:space="preserve">Thomas </w:t>
            </w:r>
            <w:proofErr w:type="spellStart"/>
            <w:r w:rsidR="001A1D23" w:rsidRPr="001A1D23">
              <w:t>Kürner</w:t>
            </w:r>
            <w:proofErr w:type="spellEnd"/>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Default="005D678E" w:rsidP="003A698E">
            <w:pPr>
              <w:rPr>
                <w:bCs/>
              </w:rPr>
            </w:pPr>
            <w:r w:rsidRPr="00FC2A30">
              <w:rPr>
                <w:b/>
              </w:rPr>
              <w:t>E-mail:</w:t>
            </w:r>
            <w:r w:rsidR="001A1D23">
              <w:rPr>
                <w:rFonts w:hint="eastAsia"/>
                <w:bCs/>
              </w:rPr>
              <w:t xml:space="preserve"> </w:t>
            </w:r>
            <w:hyperlink r:id="rId10" w:history="1">
              <w:r w:rsidR="00E61F3F" w:rsidRPr="00B62B68">
                <w:rPr>
                  <w:rStyle w:val="ac"/>
                  <w:bCs/>
                </w:rPr>
                <w:t>Kuerner@ifn.ing.tu-bs.de</w:t>
              </w:r>
            </w:hyperlink>
          </w:p>
          <w:p w:rsidR="00E61F3F" w:rsidRPr="00E61F3F" w:rsidRDefault="00E61F3F" w:rsidP="00E61F3F">
            <w:pPr>
              <w:rPr>
                <w:bCs/>
              </w:rPr>
            </w:pPr>
            <w:r>
              <w:rPr>
                <w:bCs/>
              </w:rPr>
              <w:tab/>
            </w:r>
            <w:hyperlink r:id="rId11" w:history="1">
              <w:r w:rsidRPr="00B62B68">
                <w:rPr>
                  <w:rStyle w:val="ac"/>
                  <w:bCs/>
                </w:rPr>
                <w:t>MJLynch@MJLALLC.COM</w:t>
              </w:r>
            </w:hyperlink>
            <w:r>
              <w:rPr>
                <w:rFonts w:hint="eastAsia"/>
                <w:bCs/>
              </w:rPr>
              <w:t xml:space="preserve"> </w:t>
            </w:r>
          </w:p>
        </w:tc>
      </w:tr>
    </w:tbl>
    <w:p w:rsidR="008F051D" w:rsidRPr="001A1D23" w:rsidRDefault="008F051D" w:rsidP="008F051D"/>
    <w:sectPr w:rsidR="008F051D" w:rsidRPr="001A1D23"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A0" w:rsidRDefault="003907A0" w:rsidP="00764CD9">
      <w:r>
        <w:separator/>
      </w:r>
    </w:p>
  </w:endnote>
  <w:endnote w:type="continuationSeparator" w:id="0">
    <w:p w:rsidR="003907A0" w:rsidRDefault="003907A0"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A0" w:rsidRDefault="003907A0" w:rsidP="00764CD9">
      <w:r>
        <w:separator/>
      </w:r>
    </w:p>
  </w:footnote>
  <w:footnote w:type="continuationSeparator" w:id="0">
    <w:p w:rsidR="003907A0" w:rsidRDefault="003907A0"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Lynch@MJLALL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uerner@ifn.ing.tu-bs.d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8E8C1-44F7-491F-B56A-36009C79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650</Words>
  <Characters>3707</Characters>
  <Application>Microsoft Office Word</Application>
  <DocSecurity>0</DocSecurity>
  <Lines>30</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4349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19</cp:revision>
  <cp:lastPrinted>2013-02-07T14:59:00Z</cp:lastPrinted>
  <dcterms:created xsi:type="dcterms:W3CDTF">2014-07-17T00:23:00Z</dcterms:created>
  <dcterms:modified xsi:type="dcterms:W3CDTF">2015-09-14T17:02:00Z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