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EC06BA">
            <w:pPr>
              <w:pStyle w:val="covertext"/>
            </w:pPr>
            <w:r>
              <w:rPr>
                <w:rFonts w:hint="eastAsia"/>
                <w:b/>
                <w:sz w:val="28"/>
                <w:lang w:eastAsia="ja-JP"/>
              </w:rPr>
              <w:t>Proposed c</w:t>
            </w:r>
            <w:r w:rsidR="00A43417">
              <w:rPr>
                <w:rFonts w:hint="eastAsia"/>
                <w:b/>
                <w:sz w:val="28"/>
                <w:lang w:eastAsia="ja-JP"/>
              </w:rPr>
              <w:t xml:space="preserve">omment resolution for </w:t>
            </w:r>
            <w:r w:rsidR="00347DC7">
              <w:rPr>
                <w:rFonts w:hint="eastAsia"/>
                <w:b/>
                <w:sz w:val="28"/>
                <w:lang w:eastAsia="ja-JP"/>
              </w:rPr>
              <w:t>CID 373, 375, 376</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2F1C2F" w:rsidP="00BD2AD1">
            <w:pPr>
              <w:pStyle w:val="covertext"/>
              <w:rPr>
                <w:lang w:eastAsia="ja-JP"/>
              </w:rPr>
            </w:pPr>
            <w:r>
              <w:rPr>
                <w:rFonts w:hint="eastAsia"/>
                <w:lang w:eastAsia="ja-JP"/>
              </w:rPr>
              <w:t>18</w:t>
            </w:r>
            <w:r w:rsidR="00630DD0">
              <w:rPr>
                <w:rFonts w:hint="eastAsia"/>
                <w:lang w:eastAsia="ja-JP"/>
              </w:rPr>
              <w:t xml:space="preserve"> August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347DC7">
              <w:rPr>
                <w:rFonts w:hint="eastAsia"/>
                <w:lang w:eastAsia="ja-JP"/>
              </w:rPr>
              <w:t>CID 373, 375, 376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347DC7">
              <w:rPr>
                <w:rFonts w:hint="eastAsia"/>
                <w:lang w:eastAsia="ja-JP"/>
              </w:rPr>
              <w:t>CID 373, 375, 376</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347DC7">
              <w:rPr>
                <w:rFonts w:hint="eastAsia"/>
                <w:lang w:eastAsia="ja-JP"/>
              </w:rPr>
              <w:t>CID 373, 375, 376</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353204">
      <w:pPr>
        <w:pStyle w:val="ListParagraph"/>
        <w:widowControl w:val="0"/>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 xml:space="preserve">CID </w:t>
      </w:r>
      <w:proofErr w:type="spellStart"/>
      <w:r w:rsidR="00347DC7">
        <w:rPr>
          <w:rFonts w:hint="eastAsia"/>
          <w:b/>
          <w:sz w:val="28"/>
          <w:u w:val="single"/>
          <w:lang w:eastAsia="ja-JP"/>
        </w:rPr>
        <w:t>CID</w:t>
      </w:r>
      <w:proofErr w:type="spellEnd"/>
      <w:r w:rsidR="00347DC7">
        <w:rPr>
          <w:rFonts w:hint="eastAsia"/>
          <w:b/>
          <w:sz w:val="28"/>
          <w:u w:val="single"/>
          <w:lang w:eastAsia="ja-JP"/>
        </w:rPr>
        <w:t xml:space="preserve"> 373, 375, 376</w:t>
      </w:r>
    </w:p>
    <w:tbl>
      <w:tblPr>
        <w:tblStyle w:val="TableGrid8"/>
        <w:tblW w:w="9606" w:type="dxa"/>
        <w:tblLook w:val="04A0" w:firstRow="1" w:lastRow="0" w:firstColumn="1" w:lastColumn="0" w:noHBand="0" w:noVBand="1"/>
      </w:tblPr>
      <w:tblGrid>
        <w:gridCol w:w="773"/>
        <w:gridCol w:w="1432"/>
        <w:gridCol w:w="710"/>
        <w:gridCol w:w="996"/>
        <w:gridCol w:w="731"/>
        <w:gridCol w:w="2590"/>
        <w:gridCol w:w="2374"/>
      </w:tblGrid>
      <w:tr w:rsidR="00347DC7" w:rsidRPr="00347DC7" w:rsidTr="003A178F">
        <w:trPr>
          <w:trHeight w:val="491"/>
        </w:trPr>
        <w:tc>
          <w:tcPr>
            <w:tcW w:w="773" w:type="dxa"/>
          </w:tcPr>
          <w:p w:rsidR="00347DC7" w:rsidRPr="00347DC7" w:rsidRDefault="00347DC7" w:rsidP="00347DC7">
            <w:pPr>
              <w:rPr>
                <w:b/>
              </w:rPr>
            </w:pPr>
            <w:r w:rsidRPr="00347DC7">
              <w:rPr>
                <w:b/>
              </w:rPr>
              <w:t>CID</w:t>
            </w:r>
          </w:p>
        </w:tc>
        <w:tc>
          <w:tcPr>
            <w:tcW w:w="1432" w:type="dxa"/>
          </w:tcPr>
          <w:p w:rsidR="00347DC7" w:rsidRPr="00347DC7" w:rsidRDefault="00347DC7" w:rsidP="00347DC7">
            <w:pPr>
              <w:rPr>
                <w:b/>
              </w:rPr>
            </w:pPr>
            <w:r w:rsidRPr="00347DC7">
              <w:rPr>
                <w:b/>
              </w:rPr>
              <w:t>Name</w:t>
            </w:r>
          </w:p>
        </w:tc>
        <w:tc>
          <w:tcPr>
            <w:tcW w:w="710" w:type="dxa"/>
            <w:noWrap/>
          </w:tcPr>
          <w:p w:rsidR="00347DC7" w:rsidRPr="00347DC7" w:rsidRDefault="00347DC7" w:rsidP="00347DC7">
            <w:pPr>
              <w:rPr>
                <w:b/>
              </w:rPr>
            </w:pPr>
            <w:r w:rsidRPr="00347DC7">
              <w:rPr>
                <w:b/>
              </w:rPr>
              <w:t>Page</w:t>
            </w:r>
          </w:p>
        </w:tc>
        <w:tc>
          <w:tcPr>
            <w:tcW w:w="996" w:type="dxa"/>
            <w:noWrap/>
          </w:tcPr>
          <w:p w:rsidR="00347DC7" w:rsidRPr="00347DC7" w:rsidRDefault="00347DC7" w:rsidP="00347DC7">
            <w:pPr>
              <w:rPr>
                <w:b/>
              </w:rPr>
            </w:pPr>
            <w:r w:rsidRPr="00347DC7">
              <w:rPr>
                <w:b/>
              </w:rPr>
              <w:t>Sub-clause</w:t>
            </w:r>
          </w:p>
        </w:tc>
        <w:tc>
          <w:tcPr>
            <w:tcW w:w="731" w:type="dxa"/>
            <w:noWrap/>
          </w:tcPr>
          <w:p w:rsidR="00347DC7" w:rsidRPr="00347DC7" w:rsidRDefault="00347DC7" w:rsidP="00347DC7">
            <w:pPr>
              <w:rPr>
                <w:b/>
              </w:rPr>
            </w:pPr>
            <w:r w:rsidRPr="00347DC7">
              <w:rPr>
                <w:b/>
              </w:rPr>
              <w:t>Line #</w:t>
            </w:r>
          </w:p>
        </w:tc>
        <w:tc>
          <w:tcPr>
            <w:tcW w:w="2590" w:type="dxa"/>
          </w:tcPr>
          <w:p w:rsidR="00347DC7" w:rsidRPr="00347DC7" w:rsidRDefault="00347DC7" w:rsidP="00347DC7">
            <w:pPr>
              <w:rPr>
                <w:b/>
              </w:rPr>
            </w:pPr>
            <w:r w:rsidRPr="00347DC7">
              <w:rPr>
                <w:b/>
              </w:rPr>
              <w:t>Comment</w:t>
            </w:r>
          </w:p>
        </w:tc>
        <w:tc>
          <w:tcPr>
            <w:tcW w:w="2374" w:type="dxa"/>
          </w:tcPr>
          <w:p w:rsidR="00347DC7" w:rsidRPr="00347DC7" w:rsidRDefault="00347DC7" w:rsidP="00347DC7">
            <w:pPr>
              <w:rPr>
                <w:b/>
              </w:rPr>
            </w:pPr>
            <w:r w:rsidRPr="00347DC7">
              <w:rPr>
                <w:b/>
              </w:rPr>
              <w:t>Proposed Change</w:t>
            </w:r>
          </w:p>
        </w:tc>
      </w:tr>
      <w:tr w:rsidR="00347DC7" w:rsidRPr="00347DC7" w:rsidTr="003A178F">
        <w:trPr>
          <w:trHeight w:val="1785"/>
        </w:trPr>
        <w:tc>
          <w:tcPr>
            <w:tcW w:w="773" w:type="dxa"/>
          </w:tcPr>
          <w:p w:rsidR="00347DC7" w:rsidRPr="00347DC7" w:rsidRDefault="00347DC7" w:rsidP="00347DC7">
            <w:r w:rsidRPr="00347DC7">
              <w:t>373</w:t>
            </w:r>
          </w:p>
        </w:tc>
        <w:tc>
          <w:tcPr>
            <w:tcW w:w="1432" w:type="dxa"/>
          </w:tcPr>
          <w:p w:rsidR="00347DC7" w:rsidRPr="00347DC7" w:rsidRDefault="00347DC7" w:rsidP="00347DC7">
            <w:r w:rsidRPr="00347DC7">
              <w:t>Noriyuki Sato</w:t>
            </w:r>
          </w:p>
        </w:tc>
        <w:tc>
          <w:tcPr>
            <w:tcW w:w="710" w:type="dxa"/>
            <w:noWrap/>
            <w:hideMark/>
          </w:tcPr>
          <w:p w:rsidR="00347DC7" w:rsidRPr="00347DC7" w:rsidRDefault="00347DC7" w:rsidP="00347DC7">
            <w:r w:rsidRPr="00347DC7">
              <w:t>58</w:t>
            </w:r>
          </w:p>
        </w:tc>
        <w:tc>
          <w:tcPr>
            <w:tcW w:w="996" w:type="dxa"/>
            <w:noWrap/>
            <w:hideMark/>
          </w:tcPr>
          <w:p w:rsidR="00347DC7" w:rsidRPr="00347DC7" w:rsidRDefault="00347DC7" w:rsidP="00347DC7">
            <w:r w:rsidRPr="00347DC7">
              <w:t>6.2.2.10</w:t>
            </w:r>
          </w:p>
        </w:tc>
        <w:tc>
          <w:tcPr>
            <w:tcW w:w="731" w:type="dxa"/>
            <w:noWrap/>
            <w:hideMark/>
          </w:tcPr>
          <w:p w:rsidR="00347DC7" w:rsidRPr="00347DC7" w:rsidRDefault="00347DC7" w:rsidP="00347DC7">
            <w:r w:rsidRPr="00347DC7">
              <w:t>32</w:t>
            </w:r>
          </w:p>
        </w:tc>
        <w:tc>
          <w:tcPr>
            <w:tcW w:w="2590" w:type="dxa"/>
            <w:hideMark/>
          </w:tcPr>
          <w:p w:rsidR="00347DC7" w:rsidRPr="00347DC7" w:rsidRDefault="00347DC7" w:rsidP="00347DC7">
            <w:r w:rsidRPr="00347DC7">
              <w:t>Using SINR as LQM is not good idea since PQM is calculated by adding LQMs.</w:t>
            </w:r>
          </w:p>
        </w:tc>
        <w:tc>
          <w:tcPr>
            <w:tcW w:w="2374" w:type="dxa"/>
            <w:hideMark/>
          </w:tcPr>
          <w:p w:rsidR="00347DC7" w:rsidRPr="00347DC7" w:rsidRDefault="00347DC7" w:rsidP="00347DC7">
            <w:r w:rsidRPr="00347DC7">
              <w:t>Consider using dB and make it integer type and some normalize to represent SINR metric.</w:t>
            </w:r>
          </w:p>
        </w:tc>
      </w:tr>
      <w:tr w:rsidR="00347DC7" w:rsidRPr="00347DC7" w:rsidTr="003A178F">
        <w:trPr>
          <w:trHeight w:val="751"/>
        </w:trPr>
        <w:tc>
          <w:tcPr>
            <w:tcW w:w="773" w:type="dxa"/>
          </w:tcPr>
          <w:p w:rsidR="00347DC7" w:rsidRPr="00347DC7" w:rsidRDefault="00347DC7" w:rsidP="00347DC7">
            <w:r w:rsidRPr="00347DC7">
              <w:t>375</w:t>
            </w:r>
          </w:p>
        </w:tc>
        <w:tc>
          <w:tcPr>
            <w:tcW w:w="1432" w:type="dxa"/>
          </w:tcPr>
          <w:p w:rsidR="00347DC7" w:rsidRPr="00347DC7" w:rsidRDefault="00347DC7" w:rsidP="00347DC7">
            <w:r w:rsidRPr="00347DC7">
              <w:t>Billy Verso</w:t>
            </w:r>
          </w:p>
        </w:tc>
        <w:tc>
          <w:tcPr>
            <w:tcW w:w="710" w:type="dxa"/>
            <w:noWrap/>
          </w:tcPr>
          <w:p w:rsidR="00347DC7" w:rsidRPr="00347DC7" w:rsidRDefault="00347DC7" w:rsidP="00347DC7">
            <w:r w:rsidRPr="00347DC7">
              <w:t>58</w:t>
            </w:r>
          </w:p>
        </w:tc>
        <w:tc>
          <w:tcPr>
            <w:tcW w:w="996" w:type="dxa"/>
            <w:noWrap/>
          </w:tcPr>
          <w:p w:rsidR="00347DC7" w:rsidRPr="00347DC7" w:rsidRDefault="00347DC7" w:rsidP="00347DC7">
            <w:r w:rsidRPr="00347DC7">
              <w:t>6.2.2.10</w:t>
            </w:r>
          </w:p>
        </w:tc>
        <w:tc>
          <w:tcPr>
            <w:tcW w:w="731" w:type="dxa"/>
            <w:noWrap/>
          </w:tcPr>
          <w:p w:rsidR="00347DC7" w:rsidRPr="00347DC7" w:rsidRDefault="00347DC7" w:rsidP="00347DC7">
            <w:r w:rsidRPr="00347DC7">
              <w:t>38</w:t>
            </w:r>
          </w:p>
        </w:tc>
        <w:tc>
          <w:tcPr>
            <w:tcW w:w="2590" w:type="dxa"/>
          </w:tcPr>
          <w:p w:rsidR="00347DC7" w:rsidRPr="00347DC7" w:rsidRDefault="00347DC7" w:rsidP="00347DC7">
            <w:r w:rsidRPr="00347DC7">
              <w:t>SINR is not defined anywhere</w:t>
            </w:r>
          </w:p>
        </w:tc>
        <w:tc>
          <w:tcPr>
            <w:tcW w:w="2374" w:type="dxa"/>
          </w:tcPr>
          <w:p w:rsidR="00347DC7" w:rsidRPr="00347DC7" w:rsidRDefault="00347DC7" w:rsidP="00347DC7">
            <w:r w:rsidRPr="00347DC7">
              <w:t>Define SINR, and describe what it is and how it is used.</w:t>
            </w:r>
          </w:p>
        </w:tc>
      </w:tr>
      <w:tr w:rsidR="00347DC7" w:rsidRPr="00347DC7" w:rsidTr="003A178F">
        <w:trPr>
          <w:trHeight w:val="751"/>
        </w:trPr>
        <w:tc>
          <w:tcPr>
            <w:tcW w:w="773" w:type="dxa"/>
          </w:tcPr>
          <w:p w:rsidR="00347DC7" w:rsidRPr="00347DC7" w:rsidRDefault="00347DC7" w:rsidP="00347DC7">
            <w:r w:rsidRPr="00347DC7">
              <w:t>376</w:t>
            </w:r>
          </w:p>
        </w:tc>
        <w:tc>
          <w:tcPr>
            <w:tcW w:w="1432" w:type="dxa"/>
          </w:tcPr>
          <w:p w:rsidR="00347DC7" w:rsidRPr="00347DC7" w:rsidRDefault="00347DC7" w:rsidP="00347DC7">
            <w:r w:rsidRPr="00347DC7">
              <w:t>Kiyoshi Fukui</w:t>
            </w:r>
          </w:p>
        </w:tc>
        <w:tc>
          <w:tcPr>
            <w:tcW w:w="710" w:type="dxa"/>
            <w:noWrap/>
          </w:tcPr>
          <w:p w:rsidR="00347DC7" w:rsidRPr="00347DC7" w:rsidRDefault="00347DC7" w:rsidP="00347DC7">
            <w:r w:rsidRPr="00347DC7">
              <w:t>58</w:t>
            </w:r>
          </w:p>
        </w:tc>
        <w:tc>
          <w:tcPr>
            <w:tcW w:w="996" w:type="dxa"/>
            <w:noWrap/>
          </w:tcPr>
          <w:p w:rsidR="00347DC7" w:rsidRPr="00347DC7" w:rsidRDefault="00347DC7" w:rsidP="00347DC7">
            <w:r w:rsidRPr="00347DC7">
              <w:t>6.2.2.10</w:t>
            </w:r>
          </w:p>
        </w:tc>
        <w:tc>
          <w:tcPr>
            <w:tcW w:w="731" w:type="dxa"/>
            <w:noWrap/>
          </w:tcPr>
          <w:p w:rsidR="00347DC7" w:rsidRPr="00347DC7" w:rsidRDefault="00347DC7" w:rsidP="00347DC7">
            <w:r w:rsidRPr="00347DC7">
              <w:t>38</w:t>
            </w:r>
          </w:p>
        </w:tc>
        <w:tc>
          <w:tcPr>
            <w:tcW w:w="2590" w:type="dxa"/>
          </w:tcPr>
          <w:p w:rsidR="00347DC7" w:rsidRPr="00347DC7" w:rsidRDefault="00347DC7" w:rsidP="00347DC7">
            <w:r w:rsidRPr="00347DC7">
              <w:t xml:space="preserve">Need a definition of </w:t>
            </w:r>
            <w:proofErr w:type="gramStart"/>
            <w:r w:rsidRPr="00347DC7">
              <w:t>an</w:t>
            </w:r>
            <w:proofErr w:type="gramEnd"/>
            <w:r w:rsidRPr="00347DC7">
              <w:t xml:space="preserve"> unit to be represented in. Maybe, dB is appropriate. If </w:t>
            </w:r>
            <w:proofErr w:type="gramStart"/>
            <w:r w:rsidRPr="00347DC7">
              <w:t>an</w:t>
            </w:r>
            <w:proofErr w:type="gramEnd"/>
            <w:r w:rsidRPr="00347DC7">
              <w:t xml:space="preserve"> unit is dB, the type of SINR metric should be Integer.</w:t>
            </w:r>
          </w:p>
        </w:tc>
        <w:tc>
          <w:tcPr>
            <w:tcW w:w="2374" w:type="dxa"/>
          </w:tcPr>
          <w:p w:rsidR="00347DC7" w:rsidRPr="00347DC7" w:rsidRDefault="00347DC7" w:rsidP="00347DC7">
            <w:r w:rsidRPr="00347DC7">
              <w:t>Refine the SINR definition.</w:t>
            </w: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r w:rsidR="003A53C1">
        <w:rPr>
          <w:rFonts w:hint="eastAsia"/>
          <w:b/>
          <w:sz w:val="28"/>
          <w:u w:val="single"/>
          <w:lang w:eastAsia="ja-JP"/>
        </w:rPr>
        <w:t xml:space="preserve"> Revise</w:t>
      </w:r>
    </w:p>
    <w:p w:rsidR="00347DC7" w:rsidRPr="00347DC7" w:rsidRDefault="00347DC7" w:rsidP="00F121FE">
      <w:pPr>
        <w:widowControl w:val="0"/>
        <w:spacing w:before="120" w:after="120" w:line="276" w:lineRule="auto"/>
        <w:rPr>
          <w:lang w:eastAsia="ja-JP"/>
        </w:rPr>
      </w:pPr>
      <w:r>
        <w:rPr>
          <w:rFonts w:hint="eastAsia"/>
          <w:lang w:eastAsia="ja-JP"/>
        </w:rPr>
        <w:t>Remove the SINR as a metric and provide a way to handle signal strength related metric</w:t>
      </w:r>
    </w:p>
    <w:p w:rsidR="009D4A7D" w:rsidRPr="00347DC7" w:rsidRDefault="00347DC7" w:rsidP="00156F45">
      <w:pPr>
        <w:pStyle w:val="ListParagraph"/>
        <w:widowControl w:val="0"/>
        <w:numPr>
          <w:ilvl w:val="0"/>
          <w:numId w:val="9"/>
        </w:numPr>
        <w:spacing w:before="120" w:after="120" w:line="276" w:lineRule="auto"/>
        <w:rPr>
          <w:lang w:eastAsia="ja-JP"/>
        </w:rPr>
      </w:pPr>
      <w:r>
        <w:rPr>
          <w:rFonts w:hint="eastAsia"/>
          <w:b/>
          <w:i/>
          <w:lang w:eastAsia="ja-JP"/>
        </w:rPr>
        <w:t xml:space="preserve">Insert the following new clause </w:t>
      </w:r>
      <w:r w:rsidR="00A40556">
        <w:rPr>
          <w:rFonts w:hint="eastAsia"/>
          <w:b/>
          <w:i/>
          <w:lang w:eastAsia="ja-JP"/>
        </w:rPr>
        <w:t>before</w:t>
      </w:r>
      <w:r>
        <w:rPr>
          <w:rFonts w:hint="eastAsia"/>
          <w:b/>
          <w:i/>
          <w:lang w:eastAsia="ja-JP"/>
        </w:rPr>
        <w:t xml:space="preserve"> 5.2.2.1</w:t>
      </w:r>
    </w:p>
    <w:p w:rsidR="00347DC7" w:rsidRDefault="00347DC7" w:rsidP="00347DC7">
      <w:pPr>
        <w:widowControl w:val="0"/>
        <w:spacing w:before="120" w:after="120" w:line="276" w:lineRule="auto"/>
        <w:rPr>
          <w:lang w:eastAsia="ja-JP"/>
        </w:rPr>
      </w:pPr>
      <w:r>
        <w:rPr>
          <w:rFonts w:hint="eastAsia"/>
          <w:lang w:eastAsia="ja-JP"/>
        </w:rPr>
        <w:t>5.2.2</w:t>
      </w:r>
      <w:proofErr w:type="gramStart"/>
      <w:r>
        <w:rPr>
          <w:rFonts w:hint="eastAsia"/>
          <w:lang w:eastAsia="ja-JP"/>
        </w:rPr>
        <w:t>.x</w:t>
      </w:r>
      <w:proofErr w:type="gramEnd"/>
      <w:r>
        <w:rPr>
          <w:rFonts w:hint="eastAsia"/>
          <w:lang w:eastAsia="ja-JP"/>
        </w:rPr>
        <w:t xml:space="preserve">. </w:t>
      </w:r>
      <w:r w:rsidR="00A40556">
        <w:rPr>
          <w:rFonts w:hint="eastAsia"/>
          <w:lang w:eastAsia="ja-JP"/>
        </w:rPr>
        <w:t xml:space="preserve">Signal quality </w:t>
      </w:r>
      <w:r w:rsidR="0061398F">
        <w:rPr>
          <w:rFonts w:hint="eastAsia"/>
          <w:lang w:eastAsia="ja-JP"/>
        </w:rPr>
        <w:t>scale</w:t>
      </w:r>
      <w:r w:rsidR="00A40556">
        <w:rPr>
          <w:rFonts w:hint="eastAsia"/>
          <w:lang w:eastAsia="ja-JP"/>
        </w:rPr>
        <w:t xml:space="preserve"> (SQ</w:t>
      </w:r>
      <w:r w:rsidR="0061398F">
        <w:rPr>
          <w:rFonts w:hint="eastAsia"/>
          <w:lang w:eastAsia="ja-JP"/>
        </w:rPr>
        <w:t>S</w:t>
      </w:r>
      <w:r w:rsidR="00A40556">
        <w:rPr>
          <w:rFonts w:hint="eastAsia"/>
          <w:lang w:eastAsia="ja-JP"/>
        </w:rPr>
        <w:t>)</w:t>
      </w:r>
    </w:p>
    <w:p w:rsidR="00347DC7" w:rsidRDefault="00A40556" w:rsidP="0061398F">
      <w:pPr>
        <w:widowControl w:val="0"/>
        <w:spacing w:before="120" w:after="120" w:line="276" w:lineRule="auto"/>
        <w:jc w:val="both"/>
        <w:rPr>
          <w:lang w:eastAsia="ja-JP"/>
        </w:rPr>
      </w:pPr>
      <w:r>
        <w:rPr>
          <w:rFonts w:hint="eastAsia"/>
          <w:lang w:eastAsia="ja-JP"/>
        </w:rPr>
        <w:t xml:space="preserve">An implementer may use this metric to represent a signal quality related metric such as the RSSI, SINR, SNR, etc. The values of the selected metric are mapped on a scale ranging between 1 and 10. </w:t>
      </w:r>
      <w:r w:rsidR="0061398F">
        <w:rPr>
          <w:lang w:eastAsia="ja-JP"/>
        </w:rPr>
        <w:t>A</w:t>
      </w:r>
      <w:r w:rsidR="0061398F">
        <w:rPr>
          <w:rFonts w:hint="eastAsia"/>
          <w:lang w:eastAsia="ja-JP"/>
        </w:rPr>
        <w:t xml:space="preserve"> low value on the scale indicates a good signal quality and a high value indicates a poor signal quality. The selection of the signal quality related metric and the mapping between its values and the scale is out of the scope of this document.</w:t>
      </w:r>
    </w:p>
    <w:p w:rsidR="006B0228" w:rsidRDefault="0061398F" w:rsidP="00353204">
      <w:pPr>
        <w:pStyle w:val="ListParagraph"/>
        <w:widowControl w:val="0"/>
        <w:numPr>
          <w:ilvl w:val="0"/>
          <w:numId w:val="9"/>
        </w:numPr>
        <w:spacing w:before="120" w:after="120" w:line="276" w:lineRule="auto"/>
        <w:rPr>
          <w:b/>
          <w:i/>
          <w:lang w:eastAsia="ja-JP"/>
        </w:rPr>
      </w:pPr>
      <w:r>
        <w:rPr>
          <w:rFonts w:hint="eastAsia"/>
          <w:b/>
          <w:i/>
          <w:lang w:eastAsia="ja-JP"/>
        </w:rPr>
        <w:t>Replace the SINR row in Table 11 with:</w:t>
      </w:r>
    </w:p>
    <w:tbl>
      <w:tblPr>
        <w:tblStyle w:val="TableGrid"/>
        <w:tblW w:w="0" w:type="auto"/>
        <w:tblLook w:val="04A0" w:firstRow="1" w:lastRow="0" w:firstColumn="1" w:lastColumn="0" w:noHBand="0" w:noVBand="1"/>
      </w:tblPr>
      <w:tblGrid>
        <w:gridCol w:w="816"/>
        <w:gridCol w:w="816"/>
        <w:gridCol w:w="1403"/>
        <w:gridCol w:w="896"/>
        <w:gridCol w:w="1856"/>
      </w:tblGrid>
      <w:tr w:rsidR="0061398F" w:rsidTr="0061398F">
        <w:tc>
          <w:tcPr>
            <w:tcW w:w="0" w:type="auto"/>
          </w:tcPr>
          <w:p w:rsidR="0061398F" w:rsidRPr="0061398F" w:rsidRDefault="0061398F" w:rsidP="0061398F">
            <w:pPr>
              <w:widowControl w:val="0"/>
              <w:spacing w:before="120" w:after="120" w:line="276" w:lineRule="auto"/>
              <w:rPr>
                <w:b/>
                <w:lang w:eastAsia="ja-JP"/>
              </w:rPr>
            </w:pPr>
            <w:r w:rsidRPr="0061398F">
              <w:rPr>
                <w:rFonts w:hint="eastAsia"/>
                <w:b/>
                <w:lang w:eastAsia="ja-JP"/>
              </w:rPr>
              <w:t>Value</w:t>
            </w:r>
          </w:p>
        </w:tc>
        <w:tc>
          <w:tcPr>
            <w:tcW w:w="0" w:type="auto"/>
          </w:tcPr>
          <w:p w:rsidR="0061398F" w:rsidRPr="0061398F" w:rsidRDefault="0061398F" w:rsidP="0061398F">
            <w:pPr>
              <w:widowControl w:val="0"/>
              <w:spacing w:before="120" w:after="120" w:line="276" w:lineRule="auto"/>
              <w:rPr>
                <w:b/>
                <w:lang w:eastAsia="ja-JP"/>
              </w:rPr>
            </w:pPr>
            <w:r>
              <w:rPr>
                <w:rFonts w:hint="eastAsia"/>
                <w:b/>
                <w:lang w:eastAsia="ja-JP"/>
              </w:rPr>
              <w:t>Name</w:t>
            </w:r>
          </w:p>
        </w:tc>
        <w:tc>
          <w:tcPr>
            <w:tcW w:w="0" w:type="auto"/>
          </w:tcPr>
          <w:p w:rsidR="0061398F" w:rsidRPr="0061398F" w:rsidRDefault="0061398F" w:rsidP="0061398F">
            <w:pPr>
              <w:widowControl w:val="0"/>
              <w:spacing w:before="120" w:after="120" w:line="276" w:lineRule="auto"/>
              <w:rPr>
                <w:b/>
                <w:lang w:eastAsia="ja-JP"/>
              </w:rPr>
            </w:pPr>
            <w:r>
              <w:rPr>
                <w:rFonts w:hint="eastAsia"/>
                <w:b/>
                <w:lang w:eastAsia="ja-JP"/>
              </w:rPr>
              <w:t>Description</w:t>
            </w:r>
          </w:p>
        </w:tc>
        <w:tc>
          <w:tcPr>
            <w:tcW w:w="0" w:type="auto"/>
          </w:tcPr>
          <w:p w:rsidR="0061398F" w:rsidRPr="0061398F" w:rsidRDefault="0061398F" w:rsidP="0061398F">
            <w:pPr>
              <w:widowControl w:val="0"/>
              <w:spacing w:before="120" w:after="120" w:line="276" w:lineRule="auto"/>
              <w:rPr>
                <w:b/>
                <w:lang w:eastAsia="ja-JP"/>
              </w:rPr>
            </w:pPr>
            <w:r>
              <w:rPr>
                <w:rFonts w:hint="eastAsia"/>
                <w:b/>
                <w:lang w:eastAsia="ja-JP"/>
              </w:rPr>
              <w:t>Type</w:t>
            </w:r>
          </w:p>
        </w:tc>
        <w:tc>
          <w:tcPr>
            <w:tcW w:w="0" w:type="auto"/>
          </w:tcPr>
          <w:p w:rsidR="0061398F" w:rsidRPr="0061398F" w:rsidRDefault="0061398F" w:rsidP="0061398F">
            <w:pPr>
              <w:widowControl w:val="0"/>
              <w:spacing w:before="120" w:after="120" w:line="276" w:lineRule="auto"/>
              <w:rPr>
                <w:b/>
                <w:lang w:eastAsia="ja-JP"/>
              </w:rPr>
            </w:pPr>
            <w:r>
              <w:rPr>
                <w:rFonts w:hint="eastAsia"/>
                <w:b/>
                <w:lang w:eastAsia="ja-JP"/>
              </w:rPr>
              <w:t>Length in octets</w:t>
            </w:r>
          </w:p>
        </w:tc>
      </w:tr>
      <w:tr w:rsidR="0061398F" w:rsidTr="0061398F">
        <w:tc>
          <w:tcPr>
            <w:tcW w:w="0" w:type="auto"/>
          </w:tcPr>
          <w:p w:rsidR="0061398F" w:rsidRPr="0061398F" w:rsidRDefault="0061398F" w:rsidP="0061398F">
            <w:pPr>
              <w:widowControl w:val="0"/>
              <w:spacing w:before="120" w:after="120" w:line="276" w:lineRule="auto"/>
              <w:rPr>
                <w:lang w:eastAsia="ja-JP"/>
              </w:rPr>
            </w:pPr>
            <w:r>
              <w:rPr>
                <w:rFonts w:hint="eastAsia"/>
                <w:lang w:eastAsia="ja-JP"/>
              </w:rPr>
              <w:t>1</w:t>
            </w:r>
          </w:p>
        </w:tc>
        <w:tc>
          <w:tcPr>
            <w:tcW w:w="0" w:type="auto"/>
          </w:tcPr>
          <w:p w:rsidR="0061398F" w:rsidRPr="0061398F" w:rsidRDefault="0061398F" w:rsidP="0061398F">
            <w:pPr>
              <w:widowControl w:val="0"/>
              <w:spacing w:before="120" w:after="120" w:line="276" w:lineRule="auto"/>
              <w:rPr>
                <w:lang w:eastAsia="ja-JP"/>
              </w:rPr>
            </w:pPr>
            <w:r>
              <w:rPr>
                <w:rFonts w:hint="eastAsia"/>
                <w:lang w:eastAsia="ja-JP"/>
              </w:rPr>
              <w:t>SQS</w:t>
            </w:r>
          </w:p>
        </w:tc>
        <w:tc>
          <w:tcPr>
            <w:tcW w:w="0" w:type="auto"/>
          </w:tcPr>
          <w:p w:rsidR="0061398F" w:rsidRPr="0061398F" w:rsidRDefault="00AF2C08" w:rsidP="0061398F">
            <w:pPr>
              <w:widowControl w:val="0"/>
              <w:spacing w:before="120" w:after="120" w:line="276" w:lineRule="auto"/>
              <w:rPr>
                <w:lang w:eastAsia="ja-JP"/>
              </w:rPr>
            </w:pPr>
            <w:r>
              <w:rPr>
                <w:rFonts w:hint="eastAsia"/>
                <w:lang w:eastAsia="ja-JP"/>
              </w:rPr>
              <w:t>See 5.2.2.x</w:t>
            </w:r>
          </w:p>
        </w:tc>
        <w:tc>
          <w:tcPr>
            <w:tcW w:w="0" w:type="auto"/>
          </w:tcPr>
          <w:p w:rsidR="0061398F" w:rsidRPr="0061398F" w:rsidRDefault="00AF2C08" w:rsidP="0061398F">
            <w:pPr>
              <w:widowControl w:val="0"/>
              <w:spacing w:before="120" w:after="120" w:line="276" w:lineRule="auto"/>
              <w:rPr>
                <w:lang w:eastAsia="ja-JP"/>
              </w:rPr>
            </w:pPr>
            <w:r>
              <w:rPr>
                <w:rFonts w:hint="eastAsia"/>
                <w:lang w:eastAsia="ja-JP"/>
              </w:rPr>
              <w:t>Integer</w:t>
            </w:r>
          </w:p>
        </w:tc>
        <w:tc>
          <w:tcPr>
            <w:tcW w:w="0" w:type="auto"/>
          </w:tcPr>
          <w:p w:rsidR="0061398F" w:rsidRPr="0061398F" w:rsidRDefault="00AF2C08" w:rsidP="0061398F">
            <w:pPr>
              <w:widowControl w:val="0"/>
              <w:spacing w:before="120" w:after="120" w:line="276" w:lineRule="auto"/>
              <w:rPr>
                <w:lang w:eastAsia="ja-JP"/>
              </w:rPr>
            </w:pPr>
            <w:r>
              <w:rPr>
                <w:rFonts w:hint="eastAsia"/>
                <w:lang w:eastAsia="ja-JP"/>
              </w:rPr>
              <w:t>2</w:t>
            </w:r>
          </w:p>
        </w:tc>
      </w:tr>
    </w:tbl>
    <w:p w:rsidR="00602A40" w:rsidRPr="00FD3F20" w:rsidRDefault="002F1C2F" w:rsidP="002F1C2F">
      <w:pPr>
        <w:pStyle w:val="ListParagraph"/>
        <w:widowControl w:val="0"/>
        <w:numPr>
          <w:ilvl w:val="0"/>
          <w:numId w:val="9"/>
        </w:numPr>
        <w:spacing w:before="120" w:after="120" w:line="276" w:lineRule="auto"/>
        <w:jc w:val="both"/>
        <w:rPr>
          <w:lang w:eastAsia="ja-JP"/>
        </w:rPr>
      </w:pPr>
      <w:r>
        <w:rPr>
          <w:rFonts w:hint="eastAsia"/>
          <w:b/>
          <w:i/>
          <w:lang w:eastAsia="ja-JP"/>
        </w:rPr>
        <w:lastRenderedPageBreak/>
        <w:t>Insert a new acronym for SQS is clause 3.2</w:t>
      </w:r>
      <w:bookmarkStart w:id="0" w:name="_GoBack"/>
      <w:bookmarkEnd w:id="0"/>
    </w:p>
    <w:sectPr w:rsidR="00602A40" w:rsidRPr="00FD3F2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29" w:rsidRDefault="008E7F29">
      <w:r>
        <w:separator/>
      </w:r>
    </w:p>
  </w:endnote>
  <w:endnote w:type="continuationSeparator" w:id="0">
    <w:p w:rsidR="008E7F29" w:rsidRDefault="008E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8E7F29">
      <w:fldChar w:fldCharType="begin"/>
    </w:r>
    <w:r w:rsidR="008E7F29">
      <w:instrText xml:space="preserve"> AUTHOR  \* MERGEFORMAT </w:instrText>
    </w:r>
    <w:r w:rsidR="008E7F29">
      <w:fldChar w:fldCharType="separate"/>
    </w:r>
    <w:r w:rsidR="001F30FE">
      <w:rPr>
        <w:noProof/>
      </w:rPr>
      <w:t>Verotiana</w:t>
    </w:r>
    <w:r w:rsidR="008E7F29">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29" w:rsidRDefault="008E7F29">
      <w:r>
        <w:separator/>
      </w:r>
    </w:p>
  </w:footnote>
  <w:footnote w:type="continuationSeparator" w:id="0">
    <w:p w:rsidR="008E7F29" w:rsidRDefault="008E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F1C2F">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w:t>
    </w:r>
    <w:r w:rsidR="002F1C2F">
      <w:rPr>
        <w:rFonts w:hint="eastAsia"/>
        <w:b/>
        <w:sz w:val="28"/>
        <w:szCs w:val="28"/>
        <w:lang w:eastAsia="ja-JP"/>
      </w:rPr>
      <w:t>29</w:t>
    </w:r>
    <w:r w:rsidR="00211AF4" w:rsidRPr="00211AF4">
      <w:rPr>
        <w:b/>
        <w:sz w:val="28"/>
        <w:szCs w:val="28"/>
        <w:lang w:eastAsia="ja-JP"/>
      </w:rPr>
      <w:t>-0</w:t>
    </w:r>
    <w:r w:rsidR="00BD2AD1">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F04CE"/>
    <w:rsid w:val="001F30FE"/>
    <w:rsid w:val="002024E1"/>
    <w:rsid w:val="00211AF4"/>
    <w:rsid w:val="002A59F2"/>
    <w:rsid w:val="002B34B2"/>
    <w:rsid w:val="002B564A"/>
    <w:rsid w:val="002C0566"/>
    <w:rsid w:val="002C0F10"/>
    <w:rsid w:val="002D0F56"/>
    <w:rsid w:val="002E4D9D"/>
    <w:rsid w:val="002E52CC"/>
    <w:rsid w:val="002F1C2F"/>
    <w:rsid w:val="003224EB"/>
    <w:rsid w:val="003351F9"/>
    <w:rsid w:val="00347DC7"/>
    <w:rsid w:val="00353204"/>
    <w:rsid w:val="003869B8"/>
    <w:rsid w:val="00387E30"/>
    <w:rsid w:val="00391454"/>
    <w:rsid w:val="0039262F"/>
    <w:rsid w:val="003948AC"/>
    <w:rsid w:val="003A2167"/>
    <w:rsid w:val="003A43A8"/>
    <w:rsid w:val="003A53C1"/>
    <w:rsid w:val="003B1E21"/>
    <w:rsid w:val="003B4397"/>
    <w:rsid w:val="003E66E8"/>
    <w:rsid w:val="003F1C53"/>
    <w:rsid w:val="00420166"/>
    <w:rsid w:val="00426282"/>
    <w:rsid w:val="00466D29"/>
    <w:rsid w:val="00492F47"/>
    <w:rsid w:val="004A12B8"/>
    <w:rsid w:val="004B7B43"/>
    <w:rsid w:val="004F08BB"/>
    <w:rsid w:val="004F31E0"/>
    <w:rsid w:val="005002BB"/>
    <w:rsid w:val="00550D1A"/>
    <w:rsid w:val="00593A86"/>
    <w:rsid w:val="005F42D6"/>
    <w:rsid w:val="00602A40"/>
    <w:rsid w:val="0061398F"/>
    <w:rsid w:val="00626D04"/>
    <w:rsid w:val="00630DD0"/>
    <w:rsid w:val="00651260"/>
    <w:rsid w:val="00664800"/>
    <w:rsid w:val="006B0228"/>
    <w:rsid w:val="006C367E"/>
    <w:rsid w:val="006F252F"/>
    <w:rsid w:val="0074031C"/>
    <w:rsid w:val="00742AC8"/>
    <w:rsid w:val="007C54E7"/>
    <w:rsid w:val="007D68B6"/>
    <w:rsid w:val="00833235"/>
    <w:rsid w:val="00840CAC"/>
    <w:rsid w:val="00851914"/>
    <w:rsid w:val="008618D3"/>
    <w:rsid w:val="008854D4"/>
    <w:rsid w:val="0089560E"/>
    <w:rsid w:val="008A2E71"/>
    <w:rsid w:val="008E7F29"/>
    <w:rsid w:val="009056D8"/>
    <w:rsid w:val="00911591"/>
    <w:rsid w:val="00915C3B"/>
    <w:rsid w:val="00921608"/>
    <w:rsid w:val="00936869"/>
    <w:rsid w:val="0094127E"/>
    <w:rsid w:val="00945234"/>
    <w:rsid w:val="009D1288"/>
    <w:rsid w:val="009D4A7D"/>
    <w:rsid w:val="009D5792"/>
    <w:rsid w:val="009E7FB7"/>
    <w:rsid w:val="00A14601"/>
    <w:rsid w:val="00A174EA"/>
    <w:rsid w:val="00A20C27"/>
    <w:rsid w:val="00A34004"/>
    <w:rsid w:val="00A34251"/>
    <w:rsid w:val="00A36304"/>
    <w:rsid w:val="00A36CC2"/>
    <w:rsid w:val="00A40556"/>
    <w:rsid w:val="00A40738"/>
    <w:rsid w:val="00A43417"/>
    <w:rsid w:val="00A97BFF"/>
    <w:rsid w:val="00AA3A65"/>
    <w:rsid w:val="00AB2582"/>
    <w:rsid w:val="00AB2668"/>
    <w:rsid w:val="00AB4FF0"/>
    <w:rsid w:val="00AB51B9"/>
    <w:rsid w:val="00AB79D2"/>
    <w:rsid w:val="00AE09E6"/>
    <w:rsid w:val="00AF0480"/>
    <w:rsid w:val="00AF1E76"/>
    <w:rsid w:val="00AF27A4"/>
    <w:rsid w:val="00AF2C08"/>
    <w:rsid w:val="00AF4495"/>
    <w:rsid w:val="00B30B52"/>
    <w:rsid w:val="00B3330F"/>
    <w:rsid w:val="00B4124D"/>
    <w:rsid w:val="00B83A63"/>
    <w:rsid w:val="00B95CA6"/>
    <w:rsid w:val="00B977D7"/>
    <w:rsid w:val="00BA41A0"/>
    <w:rsid w:val="00BB2CEF"/>
    <w:rsid w:val="00BB77C6"/>
    <w:rsid w:val="00BD2AD1"/>
    <w:rsid w:val="00BE4353"/>
    <w:rsid w:val="00C20ACD"/>
    <w:rsid w:val="00C3268E"/>
    <w:rsid w:val="00C64EC4"/>
    <w:rsid w:val="00C877AE"/>
    <w:rsid w:val="00CA3AF2"/>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6367A"/>
    <w:rsid w:val="00E83160"/>
    <w:rsid w:val="00E909BE"/>
    <w:rsid w:val="00EC06BA"/>
    <w:rsid w:val="00EC1005"/>
    <w:rsid w:val="00EC5968"/>
    <w:rsid w:val="00ED5B40"/>
    <w:rsid w:val="00EF420B"/>
    <w:rsid w:val="00F121FE"/>
    <w:rsid w:val="00F556B6"/>
    <w:rsid w:val="00F969F4"/>
    <w:rsid w:val="00FB72CD"/>
    <w:rsid w:val="00FD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345</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12</cp:revision>
  <cp:lastPrinted>2015-07-06T02:17:00Z</cp:lastPrinted>
  <dcterms:created xsi:type="dcterms:W3CDTF">2015-07-28T07:17:00Z</dcterms:created>
  <dcterms:modified xsi:type="dcterms:W3CDTF">2015-08-18T03:08:00Z</dcterms:modified>
  <cp:category>&lt;doc#&gt;</cp:category>
</cp:coreProperties>
</file>