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E55088" w:rsidP="007E386D">
            <w:pPr>
              <w:pStyle w:val="covertext"/>
            </w:pPr>
            <w:r w:rsidRPr="00E55088">
              <w:rPr>
                <w:b/>
                <w:sz w:val="28"/>
                <w:lang w:eastAsia="ja-JP"/>
              </w:rPr>
              <w:t xml:space="preserve">Proposed Resolutions for </w:t>
            </w:r>
            <w:r w:rsidR="007E386D">
              <w:rPr>
                <w:b/>
                <w:sz w:val="28"/>
                <w:lang w:eastAsia="ja-JP"/>
              </w:rPr>
              <w:t>Flowchart</w:t>
            </w:r>
            <w:r w:rsidRPr="00E55088">
              <w:rPr>
                <w:b/>
                <w:sz w:val="28"/>
                <w:lang w:eastAsia="ja-JP"/>
              </w:rPr>
              <w:t xml:space="preserve"> Comments CID </w:t>
            </w:r>
            <w:r w:rsidR="00D87CB2">
              <w:rPr>
                <w:b/>
                <w:sz w:val="28"/>
                <w:lang w:eastAsia="ja-JP"/>
              </w:rPr>
              <w:t>#</w:t>
            </w:r>
            <w:r w:rsidRPr="00E55088">
              <w:rPr>
                <w:b/>
                <w:sz w:val="28"/>
                <w:lang w:eastAsia="ja-JP"/>
              </w:rPr>
              <w:t>R1</w:t>
            </w:r>
            <w:r w:rsidR="007E386D">
              <w:rPr>
                <w:b/>
                <w:sz w:val="28"/>
                <w:lang w:eastAsia="ja-JP"/>
              </w:rPr>
              <w:t>09</w:t>
            </w:r>
            <w:r w:rsidRPr="00E55088">
              <w:rPr>
                <w:b/>
                <w:sz w:val="28"/>
                <w:lang w:eastAsia="ja-JP"/>
              </w:rPr>
              <w:t>, R1</w:t>
            </w:r>
            <w:r w:rsidR="007E386D">
              <w:rPr>
                <w:b/>
                <w:sz w:val="28"/>
                <w:lang w:eastAsia="ja-JP"/>
              </w:rPr>
              <w:t>10</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BE3095" w:rsidP="007E386D">
            <w:pPr>
              <w:pStyle w:val="covertext"/>
              <w:rPr>
                <w:lang w:eastAsia="ja-JP"/>
              </w:rPr>
            </w:pPr>
            <w:r>
              <w:rPr>
                <w:lang w:eastAsia="ja-JP"/>
              </w:rPr>
              <w:t>4</w:t>
            </w:r>
            <w:bookmarkStart w:id="0" w:name="_GoBack"/>
            <w:bookmarkEnd w:id="0"/>
            <w:r w:rsidR="00AA1934">
              <w:rPr>
                <w:rFonts w:hint="eastAsia"/>
                <w:lang w:eastAsia="ja-JP"/>
              </w:rPr>
              <w:t xml:space="preserve"> Ju</w:t>
            </w:r>
            <w:r w:rsidR="007E386D">
              <w:rPr>
                <w:lang w:eastAsia="ja-JP"/>
              </w:rPr>
              <w:t>ly</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w:t>
            </w:r>
            <w:r w:rsidR="00D87CB2">
              <w:t>Charlie Perkins</w:t>
            </w:r>
            <w:r>
              <w:t xml:space="preserve">], </w:t>
            </w:r>
          </w:p>
          <w:p w:rsidR="00A43417" w:rsidRDefault="00A43417" w:rsidP="00CA1873">
            <w:pPr>
              <w:pStyle w:val="covertext"/>
            </w:pPr>
            <w:r>
              <w:t>[</w:t>
            </w:r>
            <w:r w:rsidR="00D87CB2">
              <w:t>Futurewei</w:t>
            </w:r>
            <w:r>
              <w:t xml:space="preserve">], </w:t>
            </w:r>
          </w:p>
          <w:p w:rsidR="00D87CB2" w:rsidRDefault="00A43417" w:rsidP="00D87CB2">
            <w:pPr>
              <w:pStyle w:val="covertext"/>
              <w:spacing w:before="0" w:after="0"/>
            </w:pPr>
            <w:r>
              <w:t>[</w:t>
            </w:r>
            <w:r w:rsidR="00D87CB2">
              <w:t>2330 Central Expressway,</w:t>
            </w:r>
          </w:p>
          <w:p w:rsidR="00D87CB2" w:rsidRDefault="00D87CB2" w:rsidP="00D87CB2">
            <w:pPr>
              <w:pStyle w:val="covertext"/>
              <w:spacing w:before="0" w:after="0"/>
            </w:pPr>
            <w:r>
              <w:t>Santa Clara,</w:t>
            </w:r>
          </w:p>
          <w:p w:rsidR="00A43417" w:rsidRDefault="00D87CB2" w:rsidP="00D87CB2">
            <w:pPr>
              <w:pStyle w:val="covertext"/>
              <w:spacing w:before="0" w:after="0"/>
            </w:pPr>
            <w:r>
              <w:t>CA 95050</w:t>
            </w:r>
            <w:r w:rsidR="00A43417">
              <w:t>]</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[+1-</w:t>
            </w:r>
            <w:r w:rsidR="00D87CB2">
              <w:t>408-330-4596</w:t>
            </w:r>
            <w:r>
              <w:t>]</w:t>
            </w:r>
          </w:p>
          <w:p w:rsidR="00A43417" w:rsidRDefault="00A43417" w:rsidP="00CA1873">
            <w:pPr>
              <w:pStyle w:val="covertext"/>
              <w:tabs>
                <w:tab w:val="left" w:pos="1152"/>
              </w:tabs>
            </w:pPr>
            <w:r>
              <w:t>Fax:</w:t>
            </w:r>
            <w:r>
              <w:tab/>
              <w:t>[+</w:t>
            </w:r>
            <w:r w:rsidR="00723713">
              <w:t>1-408-330</w:t>
            </w:r>
            <w:r>
              <w:t>-508</w:t>
            </w:r>
            <w:r w:rsidR="00723713">
              <w:t>8</w:t>
            </w:r>
            <w:r>
              <w:t>]</w:t>
            </w:r>
          </w:p>
          <w:p w:rsidR="00A43417" w:rsidRDefault="00A43417" w:rsidP="00D87CB2">
            <w:pPr>
              <w:pStyle w:val="covertext"/>
              <w:tabs>
                <w:tab w:val="left" w:pos="1152"/>
              </w:tabs>
              <w:spacing w:before="0" w:after="0"/>
              <w:rPr>
                <w:sz w:val="18"/>
              </w:rPr>
            </w:pPr>
            <w:r>
              <w:t>E-mail:</w:t>
            </w:r>
            <w:r>
              <w:tab/>
              <w:t>[</w:t>
            </w:r>
            <w:r w:rsidR="00D87CB2">
              <w:t>charliep@computer.org</w:t>
            </w:r>
            <w:r>
              <w:t>]</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pPr>
              <w:pStyle w:val="covertext"/>
            </w:pPr>
            <w:r w:rsidRPr="007F7D63">
              <w:t>802.15.10 Consolidated Comment Entry Form</w:t>
            </w:r>
            <w:r w:rsidR="007E386D">
              <w:rPr>
                <w:rFonts w:hint="eastAsia"/>
                <w:lang w:eastAsia="ja-JP"/>
              </w:rPr>
              <w:t xml:space="preserve">, </w:t>
            </w:r>
            <w:r w:rsidR="007E386D" w:rsidRPr="007E386D">
              <w:rPr>
                <w:lang w:eastAsia="ja-JP"/>
              </w:rPr>
              <w:t>CID</w:t>
            </w:r>
            <w:r w:rsidR="007E386D">
              <w:rPr>
                <w:lang w:eastAsia="ja-JP"/>
              </w:rPr>
              <w:t>s</w:t>
            </w:r>
            <w:r w:rsidR="007E386D" w:rsidRPr="007E386D">
              <w:rPr>
                <w:lang w:eastAsia="ja-JP"/>
              </w:rPr>
              <w:t xml:space="preserve"> #R109, R110</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664800">
            <w:pPr>
              <w:spacing w:before="120" w:after="120"/>
            </w:pPr>
            <w:r w:rsidRPr="00A43417">
              <w:rPr>
                <w:rFonts w:hint="eastAsia"/>
                <w:lang w:eastAsia="ja-JP"/>
              </w:rPr>
              <w:t>Provides a</w:t>
            </w:r>
            <w:r>
              <w:rPr>
                <w:rFonts w:hint="eastAsia"/>
                <w:lang w:eastAsia="ja-JP"/>
              </w:rPr>
              <w:t xml:space="preserve"> proposed resolution to </w:t>
            </w:r>
            <w:r w:rsidR="007E386D" w:rsidRPr="007E386D">
              <w:rPr>
                <w:lang w:eastAsia="ja-JP"/>
              </w:rPr>
              <w:t>CID</w:t>
            </w:r>
            <w:r w:rsidR="007E386D">
              <w:rPr>
                <w:lang w:eastAsia="ja-JP"/>
              </w:rPr>
              <w:t>s</w:t>
            </w:r>
            <w:r w:rsidR="007E386D" w:rsidRPr="007E386D">
              <w:rPr>
                <w:lang w:eastAsia="ja-JP"/>
              </w:rPr>
              <w:t xml:space="preserve"> #R109, R110</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7E386D" w:rsidRPr="007E386D">
              <w:rPr>
                <w:lang w:eastAsia="ja-JP"/>
              </w:rPr>
              <w:t>CID</w:t>
            </w:r>
            <w:r w:rsidR="007E386D">
              <w:rPr>
                <w:lang w:eastAsia="ja-JP"/>
              </w:rPr>
              <w:t>s</w:t>
            </w:r>
            <w:r w:rsidR="007E386D" w:rsidRPr="007E386D">
              <w:rPr>
                <w:lang w:eastAsia="ja-JP"/>
              </w:rPr>
              <w:t xml:space="preserve"> #R109, R110</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r w:rsidR="00A43417">
        <w:rPr>
          <w:rFonts w:hint="eastAsia"/>
          <w:b/>
          <w:sz w:val="28"/>
          <w:u w:val="single"/>
          <w:lang w:eastAsia="ja-JP"/>
        </w:rPr>
        <w:lastRenderedPageBreak/>
        <w:t>Comment</w:t>
      </w:r>
      <w:r w:rsidR="00D87CB2">
        <w:rPr>
          <w:b/>
          <w:sz w:val="28"/>
          <w:u w:val="single"/>
          <w:lang w:eastAsia="ja-JP"/>
        </w:rPr>
        <w:t>s</w:t>
      </w:r>
      <w:r w:rsidR="00A43417">
        <w:rPr>
          <w:rFonts w:hint="eastAsia"/>
          <w:b/>
          <w:sz w:val="28"/>
          <w:u w:val="single"/>
          <w:lang w:eastAsia="ja-JP"/>
        </w:rPr>
        <w:t xml:space="preserve"> </w:t>
      </w:r>
      <w:r w:rsidR="007E386D" w:rsidRPr="007E386D">
        <w:rPr>
          <w:b/>
          <w:sz w:val="28"/>
          <w:u w:val="single"/>
          <w:lang w:eastAsia="ja-JP"/>
        </w:rPr>
        <w:t>CIDs #R109, R110</w:t>
      </w:r>
    </w:p>
    <w:p w:rsidR="00A43417" w:rsidRDefault="00A43417">
      <w:pPr>
        <w:widowControl w:val="0"/>
        <w:spacing w:before="120"/>
        <w:rPr>
          <w:u w:val="single"/>
          <w:lang w:eastAsia="ja-JP"/>
        </w:rPr>
      </w:pPr>
    </w:p>
    <w:tbl>
      <w:tblPr>
        <w:tblStyle w:val="TableGrid"/>
        <w:tblW w:w="9606" w:type="dxa"/>
        <w:tblLook w:val="04A0" w:firstRow="1" w:lastRow="0" w:firstColumn="1" w:lastColumn="0" w:noHBand="0" w:noVBand="1"/>
      </w:tblPr>
      <w:tblGrid>
        <w:gridCol w:w="773"/>
        <w:gridCol w:w="1432"/>
        <w:gridCol w:w="710"/>
        <w:gridCol w:w="996"/>
        <w:gridCol w:w="731"/>
        <w:gridCol w:w="2590"/>
        <w:gridCol w:w="2374"/>
      </w:tblGrid>
      <w:tr w:rsidR="00347448" w:rsidRPr="00A43417" w:rsidTr="00347448">
        <w:trPr>
          <w:trHeight w:val="491"/>
        </w:trPr>
        <w:tc>
          <w:tcPr>
            <w:tcW w:w="773" w:type="dxa"/>
          </w:tcPr>
          <w:p w:rsidR="00347448" w:rsidRPr="009F3C80" w:rsidRDefault="00347448" w:rsidP="00EE4149">
            <w:r w:rsidRPr="009F3C80">
              <w:t>CID</w:t>
            </w:r>
          </w:p>
        </w:tc>
        <w:tc>
          <w:tcPr>
            <w:tcW w:w="1432" w:type="dxa"/>
          </w:tcPr>
          <w:p w:rsidR="00347448" w:rsidRPr="009F3C80" w:rsidRDefault="00347448" w:rsidP="00EE4149">
            <w:r w:rsidRPr="009F3C80">
              <w:t>Name</w:t>
            </w:r>
          </w:p>
        </w:tc>
        <w:tc>
          <w:tcPr>
            <w:tcW w:w="710" w:type="dxa"/>
            <w:noWrap/>
          </w:tcPr>
          <w:p w:rsidR="00347448" w:rsidRPr="009F3C80" w:rsidRDefault="00347448" w:rsidP="00EE4149">
            <w:r w:rsidRPr="009F3C80">
              <w:t>Page</w:t>
            </w:r>
          </w:p>
        </w:tc>
        <w:tc>
          <w:tcPr>
            <w:tcW w:w="996" w:type="dxa"/>
            <w:noWrap/>
          </w:tcPr>
          <w:p w:rsidR="00347448" w:rsidRPr="009F3C80" w:rsidRDefault="00347448" w:rsidP="00EE4149">
            <w:r w:rsidRPr="009F3C80">
              <w:t>Sub-clause</w:t>
            </w:r>
          </w:p>
        </w:tc>
        <w:tc>
          <w:tcPr>
            <w:tcW w:w="731" w:type="dxa"/>
            <w:noWrap/>
          </w:tcPr>
          <w:p w:rsidR="00347448" w:rsidRPr="009F3C80" w:rsidRDefault="00347448" w:rsidP="00EE4149">
            <w:r w:rsidRPr="009F3C80">
              <w:t>Line #</w:t>
            </w:r>
          </w:p>
        </w:tc>
        <w:tc>
          <w:tcPr>
            <w:tcW w:w="2590" w:type="dxa"/>
          </w:tcPr>
          <w:p w:rsidR="00347448" w:rsidRPr="009F3C80" w:rsidRDefault="00347448" w:rsidP="00EE4149">
            <w:r w:rsidRPr="009F3C80">
              <w:t>Comment</w:t>
            </w:r>
          </w:p>
        </w:tc>
        <w:tc>
          <w:tcPr>
            <w:tcW w:w="2374" w:type="dxa"/>
          </w:tcPr>
          <w:p w:rsidR="00347448" w:rsidRPr="009F3C80" w:rsidRDefault="00347448" w:rsidP="00EE4149">
            <w:r w:rsidRPr="009F3C80">
              <w:t>Proposed Change</w:t>
            </w:r>
          </w:p>
        </w:tc>
      </w:tr>
      <w:tr w:rsidR="007E386D" w:rsidRPr="00A43417" w:rsidTr="00347448">
        <w:trPr>
          <w:trHeight w:val="751"/>
        </w:trPr>
        <w:tc>
          <w:tcPr>
            <w:tcW w:w="773" w:type="dxa"/>
          </w:tcPr>
          <w:p w:rsidR="007E386D" w:rsidRPr="009F3C80" w:rsidRDefault="007E386D" w:rsidP="007E386D">
            <w:r w:rsidRPr="009F3C80">
              <w:t>R1</w:t>
            </w:r>
            <w:r>
              <w:t>09</w:t>
            </w:r>
          </w:p>
        </w:tc>
        <w:tc>
          <w:tcPr>
            <w:tcW w:w="1432" w:type="dxa"/>
          </w:tcPr>
          <w:p w:rsidR="007E386D" w:rsidRPr="009F3C80" w:rsidRDefault="007E386D" w:rsidP="00EE4149">
            <w:r w:rsidRPr="009F3C80">
              <w:t>Charlie Perkins</w:t>
            </w:r>
          </w:p>
        </w:tc>
        <w:tc>
          <w:tcPr>
            <w:tcW w:w="710" w:type="dxa"/>
            <w:noWrap/>
          </w:tcPr>
          <w:p w:rsidR="007E386D" w:rsidRPr="00042063" w:rsidRDefault="007E386D" w:rsidP="001533E5">
            <w:r w:rsidRPr="00042063">
              <w:t>38</w:t>
            </w:r>
          </w:p>
        </w:tc>
        <w:tc>
          <w:tcPr>
            <w:tcW w:w="996" w:type="dxa"/>
            <w:noWrap/>
          </w:tcPr>
          <w:p w:rsidR="007E386D" w:rsidRPr="00042063" w:rsidRDefault="007E386D" w:rsidP="001533E5">
            <w:r w:rsidRPr="00042063">
              <w:t>5.4.1.3</w:t>
            </w:r>
          </w:p>
        </w:tc>
        <w:tc>
          <w:tcPr>
            <w:tcW w:w="731" w:type="dxa"/>
            <w:noWrap/>
          </w:tcPr>
          <w:p w:rsidR="007E386D" w:rsidRPr="00042063" w:rsidRDefault="007E386D" w:rsidP="001533E5">
            <w:r w:rsidRPr="00042063">
              <w:t>38</w:t>
            </w:r>
          </w:p>
        </w:tc>
        <w:tc>
          <w:tcPr>
            <w:tcW w:w="2590" w:type="dxa"/>
          </w:tcPr>
          <w:p w:rsidR="007E386D" w:rsidRPr="00042063" w:rsidRDefault="007E386D" w:rsidP="001533E5">
            <w:r w:rsidRPr="00042063">
              <w:t>Lower-right "Forward packet" can also fail…</w:t>
            </w:r>
          </w:p>
        </w:tc>
        <w:tc>
          <w:tcPr>
            <w:tcW w:w="2374" w:type="dxa"/>
          </w:tcPr>
          <w:p w:rsidR="007E386D" w:rsidRDefault="007E386D" w:rsidP="001533E5">
            <w:r w:rsidRPr="00042063">
              <w:t>Lower-right "Forward packet" box needs a Failed arrow</w:t>
            </w:r>
          </w:p>
        </w:tc>
      </w:tr>
      <w:tr w:rsidR="007E386D" w:rsidRPr="00A43417" w:rsidTr="00347448">
        <w:trPr>
          <w:trHeight w:val="751"/>
        </w:trPr>
        <w:tc>
          <w:tcPr>
            <w:tcW w:w="773" w:type="dxa"/>
          </w:tcPr>
          <w:p w:rsidR="007E386D" w:rsidRPr="009F3C80" w:rsidRDefault="007E386D" w:rsidP="007E386D">
            <w:r w:rsidRPr="009F3C80">
              <w:t>R1</w:t>
            </w:r>
            <w:r>
              <w:t>10</w:t>
            </w:r>
          </w:p>
        </w:tc>
        <w:tc>
          <w:tcPr>
            <w:tcW w:w="1432" w:type="dxa"/>
          </w:tcPr>
          <w:p w:rsidR="007E386D" w:rsidRPr="009F3C80" w:rsidRDefault="007E386D" w:rsidP="00EE4149">
            <w:r w:rsidRPr="009F3C80">
              <w:t>Charlie Perkins</w:t>
            </w:r>
          </w:p>
        </w:tc>
        <w:tc>
          <w:tcPr>
            <w:tcW w:w="710" w:type="dxa"/>
            <w:noWrap/>
          </w:tcPr>
          <w:p w:rsidR="007E386D" w:rsidRPr="009B10E1" w:rsidRDefault="007E386D" w:rsidP="00DF6590">
            <w:r w:rsidRPr="009B10E1">
              <w:t>38</w:t>
            </w:r>
          </w:p>
        </w:tc>
        <w:tc>
          <w:tcPr>
            <w:tcW w:w="996" w:type="dxa"/>
            <w:noWrap/>
          </w:tcPr>
          <w:p w:rsidR="007E386D" w:rsidRPr="009B10E1" w:rsidRDefault="007E386D" w:rsidP="00DF6590">
            <w:r w:rsidRPr="009B10E1">
              <w:t>5.4.1.3</w:t>
            </w:r>
          </w:p>
        </w:tc>
        <w:tc>
          <w:tcPr>
            <w:tcW w:w="731" w:type="dxa"/>
            <w:noWrap/>
          </w:tcPr>
          <w:p w:rsidR="007E386D" w:rsidRPr="009B10E1" w:rsidRDefault="007E386D" w:rsidP="00DF6590">
            <w:r w:rsidRPr="009B10E1">
              <w:t>41</w:t>
            </w:r>
          </w:p>
        </w:tc>
        <w:tc>
          <w:tcPr>
            <w:tcW w:w="2590" w:type="dxa"/>
          </w:tcPr>
          <w:p w:rsidR="007E386D" w:rsidRPr="009B10E1" w:rsidRDefault="007E386D" w:rsidP="00DF6590">
            <w:r w:rsidRPr="009B10E1">
              <w:t>MAC layer function boxes can be coalesced</w:t>
            </w:r>
          </w:p>
        </w:tc>
        <w:tc>
          <w:tcPr>
            <w:tcW w:w="2374" w:type="dxa"/>
          </w:tcPr>
          <w:p w:rsidR="007E386D" w:rsidRDefault="007E386D" w:rsidP="00DF6590">
            <w:r w:rsidRPr="009B10E1">
              <w:t>If convenient, move two center procedure up vertically</w:t>
            </w:r>
          </w:p>
        </w:tc>
      </w:tr>
    </w:tbl>
    <w:p w:rsidR="00A43417" w:rsidRDefault="00A43417">
      <w:pPr>
        <w:widowControl w:val="0"/>
        <w:spacing w:before="120"/>
        <w:rPr>
          <w:u w:val="single"/>
          <w:lang w:eastAsia="ja-JP"/>
        </w:rPr>
      </w:pPr>
    </w:p>
    <w:p w:rsidR="00A43417" w:rsidRDefault="00A43417" w:rsidP="00A43417">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967DF5" w:rsidRDefault="000C398A" w:rsidP="00A43417">
      <w:pPr>
        <w:widowControl w:val="0"/>
        <w:spacing w:before="120"/>
        <w:rPr>
          <w:lang w:eastAsia="ja-JP"/>
        </w:rPr>
      </w:pPr>
      <w:r w:rsidRPr="000C398A">
        <w:rPr>
          <w:b/>
          <w:u w:val="single"/>
          <w:lang w:eastAsia="ja-JP"/>
        </w:rPr>
        <w:t xml:space="preserve">CIDs </w:t>
      </w:r>
      <w:r w:rsidR="007E386D" w:rsidRPr="007E386D">
        <w:rPr>
          <w:b/>
          <w:u w:val="single"/>
          <w:lang w:eastAsia="ja-JP"/>
        </w:rPr>
        <w:t>#R109, R110</w:t>
      </w:r>
      <w:r w:rsidRPr="000C398A">
        <w:rPr>
          <w:b/>
          <w:u w:val="single"/>
          <w:lang w:eastAsia="ja-JP"/>
        </w:rPr>
        <w:t>:</w:t>
      </w:r>
      <w:r>
        <w:rPr>
          <w:lang w:eastAsia="ja-JP"/>
        </w:rPr>
        <w:t xml:space="preserve"> </w:t>
      </w:r>
      <w:r w:rsidR="007E386D">
        <w:rPr>
          <w:lang w:eastAsia="ja-JP"/>
        </w:rPr>
        <w:t>The following revised flow diagram consolidates similar functions and improves the accuracy of the control flow</w:t>
      </w:r>
      <w:r w:rsidR="00D55688">
        <w:rPr>
          <w:lang w:eastAsia="ja-JP"/>
        </w:rPr>
        <w:t>.</w:t>
      </w:r>
      <w:r w:rsidR="00347448">
        <w:rPr>
          <w:lang w:eastAsia="ja-JP"/>
        </w:rPr>
        <w:t xml:space="preserve"> </w:t>
      </w:r>
    </w:p>
    <w:p w:rsidR="004E475A" w:rsidRPr="00645BC7" w:rsidRDefault="007E386D" w:rsidP="00645BC7">
      <w:pPr>
        <w:widowControl w:val="0"/>
        <w:numPr>
          <w:ilvl w:val="0"/>
          <w:numId w:val="2"/>
        </w:numPr>
        <w:spacing w:before="120"/>
        <w:rPr>
          <w:b/>
          <w:i/>
          <w:lang w:eastAsia="ja-JP"/>
        </w:rPr>
      </w:pPr>
      <w:r>
        <w:rPr>
          <w:b/>
          <w:i/>
          <w:lang w:eastAsia="ja-JP"/>
        </w:rPr>
        <w:t>Replace Figure 20 as follows:</w:t>
      </w:r>
      <w:r w:rsidR="004E475A" w:rsidRPr="00645BC7">
        <w:rPr>
          <w:rFonts w:hint="eastAsia"/>
          <w:b/>
          <w:i/>
          <w:lang w:eastAsia="ja-JP"/>
        </w:rPr>
        <w:t xml:space="preserve"> </w:t>
      </w:r>
    </w:p>
    <w:p w:rsidR="000C398A" w:rsidRDefault="000C398A" w:rsidP="009609D0">
      <w:pPr>
        <w:widowControl w:val="0"/>
        <w:spacing w:before="120" w:after="240"/>
        <w:rPr>
          <w:lang w:eastAsia="ja-JP"/>
        </w:rPr>
      </w:pPr>
    </w:p>
    <w:p w:rsidR="00D77723" w:rsidRDefault="007E386D">
      <w:r>
        <w:object w:dxaOrig="10751" w:dyaOrig="89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389.45pt" o:ole="">
            <v:imagedata r:id="rId8" o:title=""/>
          </v:shape>
          <o:OLEObject Type="Embed" ProgID="Visio.Drawing.11" ShapeID="_x0000_i1025" DrawAspect="Content" ObjectID="_1497532193" r:id="rId9"/>
        </w:object>
      </w:r>
      <w:r w:rsidR="00D77723">
        <w:br w:type="page"/>
      </w:r>
    </w:p>
    <w:p w:rsidR="00C87D86" w:rsidRDefault="00D87CB2" w:rsidP="00B566EA">
      <w:pPr>
        <w:widowControl w:val="0"/>
        <w:spacing w:before="120" w:after="240"/>
        <w:rPr>
          <w:lang w:eastAsia="ja-JP"/>
        </w:rPr>
      </w:pPr>
      <w:r>
        <w:rPr>
          <w:b/>
          <w:u w:val="single"/>
        </w:rPr>
        <w:lastRenderedPageBreak/>
        <w:t>CID 377</w:t>
      </w:r>
      <w:r w:rsidR="000C398A">
        <w:t xml:space="preserve">: </w:t>
      </w:r>
      <w:r w:rsidR="00C87D86">
        <w:t>The definition for ETX is unclear</w:t>
      </w:r>
      <w:r>
        <w:t>.</w:t>
      </w:r>
      <w:r w:rsidR="00C87D86">
        <w:t xml:space="preserve"> </w:t>
      </w:r>
    </w:p>
    <w:p w:rsidR="00C87D86" w:rsidRPr="00B566EA" w:rsidRDefault="00C87D86" w:rsidP="00C87D86">
      <w:pPr>
        <w:pStyle w:val="ListParagraph"/>
        <w:widowControl w:val="0"/>
        <w:numPr>
          <w:ilvl w:val="0"/>
          <w:numId w:val="2"/>
        </w:numPr>
        <w:spacing w:before="120" w:after="240"/>
        <w:rPr>
          <w:lang w:eastAsia="ja-JP"/>
        </w:rPr>
      </w:pPr>
      <w:r>
        <w:rPr>
          <w:b/>
          <w:i/>
          <w:lang w:eastAsia="ja-JP"/>
        </w:rPr>
        <w:t xml:space="preserve">Add a new Section </w:t>
      </w:r>
      <w:r w:rsidR="00927B5A">
        <w:rPr>
          <w:b/>
          <w:i/>
          <w:lang w:eastAsia="ja-JP"/>
        </w:rPr>
        <w:t>5.2.2</w:t>
      </w:r>
      <w:r>
        <w:rPr>
          <w:b/>
          <w:i/>
          <w:lang w:eastAsia="ja-JP"/>
        </w:rPr>
        <w:t>.1</w:t>
      </w:r>
      <w:r>
        <w:rPr>
          <w:rFonts w:hint="eastAsia"/>
          <w:b/>
          <w:i/>
          <w:lang w:eastAsia="ja-JP"/>
        </w:rPr>
        <w:t>:</w:t>
      </w:r>
    </w:p>
    <w:p w:rsidR="00927B5A" w:rsidRDefault="00927B5A" w:rsidP="00C87D86">
      <w:pPr>
        <w:widowControl w:val="0"/>
        <w:spacing w:before="120" w:after="240"/>
        <w:rPr>
          <w:rFonts w:ascii="Arial-BoldMT" w:hAnsi="Arial-BoldMT" w:cs="Arial-BoldMT"/>
          <w:b/>
          <w:bCs/>
          <w:sz w:val="20"/>
        </w:rPr>
      </w:pPr>
      <w:r>
        <w:rPr>
          <w:rFonts w:ascii="Arial-BoldMT" w:hAnsi="Arial-BoldMT" w:cs="Arial-BoldMT"/>
          <w:b/>
          <w:bCs/>
          <w:sz w:val="20"/>
        </w:rPr>
        <w:t>5.2.2.1 ETX link metric</w:t>
      </w:r>
    </w:p>
    <w:p w:rsidR="00C87D86" w:rsidRDefault="00C87D86" w:rsidP="00C87D86">
      <w:pPr>
        <w:widowControl w:val="0"/>
        <w:spacing w:before="120" w:after="240"/>
      </w:pPr>
      <w:r w:rsidRPr="00C87D86">
        <w:t xml:space="preserve">The ETX metric of a link is the estimated </w:t>
      </w:r>
      <w:r w:rsidR="00927B5A">
        <w:t xml:space="preserve">average </w:t>
      </w:r>
      <w:r w:rsidRPr="00C87D86">
        <w:t>number of transmissions required to successfully send a packet (each packet smaller than MTU) over that link, until an acknowledgement is received.  The ETX metric is additive</w:t>
      </w:r>
      <w:r w:rsidR="00927B5A">
        <w:t>; in other words,</w:t>
      </w:r>
      <w:r w:rsidRPr="00C87D86">
        <w:t xml:space="preserve"> the ETX metric of a path is the sum of the </w:t>
      </w:r>
      <w:r w:rsidR="00927B5A">
        <w:t>ETX metrics for each link on the</w:t>
      </w:r>
      <w:r w:rsidRPr="00C87D86">
        <w:t xml:space="preserve"> path.</w:t>
      </w:r>
    </w:p>
    <w:p w:rsidR="00D87CB2" w:rsidRDefault="00D87CB2" w:rsidP="00C87D86">
      <w:pPr>
        <w:widowControl w:val="0"/>
        <w:spacing w:before="120" w:after="240"/>
        <w:rPr>
          <w:lang w:eastAsia="ja-JP"/>
        </w:rPr>
      </w:pPr>
      <w:r>
        <w:rPr>
          <w:b/>
          <w:u w:val="single"/>
        </w:rPr>
        <w:t xml:space="preserve">CID </w:t>
      </w:r>
      <w:r w:rsidRPr="000C398A">
        <w:rPr>
          <w:b/>
          <w:u w:val="single"/>
        </w:rPr>
        <w:t>378</w:t>
      </w:r>
      <w:r>
        <w:t>: The units of measurement for ETX should have much finer granularity.</w:t>
      </w:r>
    </w:p>
    <w:p w:rsidR="00C87D86" w:rsidRPr="00C70863" w:rsidRDefault="00C87D86" w:rsidP="00C87D86">
      <w:pPr>
        <w:widowControl w:val="0"/>
        <w:numPr>
          <w:ilvl w:val="0"/>
          <w:numId w:val="2"/>
        </w:numPr>
        <w:spacing w:before="120" w:after="240"/>
        <w:rPr>
          <w:lang w:eastAsia="ja-JP"/>
        </w:rPr>
      </w:pPr>
      <w:r>
        <w:rPr>
          <w:rFonts w:hint="eastAsia"/>
          <w:b/>
          <w:i/>
          <w:lang w:eastAsia="ja-JP"/>
        </w:rPr>
        <w:t xml:space="preserve">Insert the </w:t>
      </w:r>
      <w:r>
        <w:rPr>
          <w:b/>
          <w:i/>
          <w:lang w:eastAsia="ja-JP"/>
        </w:rPr>
        <w:t>following</w:t>
      </w:r>
      <w:r>
        <w:rPr>
          <w:rFonts w:hint="eastAsia"/>
          <w:b/>
          <w:i/>
          <w:lang w:eastAsia="ja-JP"/>
        </w:rPr>
        <w:t xml:space="preserve"> text at the end of </w:t>
      </w:r>
      <w:r>
        <w:rPr>
          <w:b/>
          <w:i/>
          <w:lang w:eastAsia="ja-JP"/>
        </w:rPr>
        <w:t>the description for ETX in Table 11</w:t>
      </w:r>
      <w:r>
        <w:rPr>
          <w:rFonts w:hint="eastAsia"/>
          <w:b/>
          <w:i/>
          <w:lang w:eastAsia="ja-JP"/>
        </w:rPr>
        <w:t>:</w:t>
      </w:r>
    </w:p>
    <w:p w:rsidR="00C87D86" w:rsidRDefault="00C87D86" w:rsidP="00C87D86">
      <w:pPr>
        <w:widowControl w:val="0"/>
        <w:spacing w:before="120"/>
        <w:rPr>
          <w:lang w:eastAsia="ja-JP"/>
        </w:rPr>
      </w:pPr>
      <w:r>
        <w:rPr>
          <w:lang w:eastAsia="ja-JP"/>
        </w:rPr>
        <w:t>“, measured in units of .001”</w:t>
      </w:r>
    </w:p>
    <w:p w:rsidR="00D77723" w:rsidRDefault="00D77723" w:rsidP="00C87D86">
      <w:pPr>
        <w:widowControl w:val="0"/>
        <w:spacing w:before="120"/>
        <w:rPr>
          <w:lang w:eastAsia="ja-JP"/>
        </w:rPr>
      </w:pPr>
    </w:p>
    <w:p w:rsidR="00D77723" w:rsidRDefault="00C90A09" w:rsidP="00D77723">
      <w:pPr>
        <w:widowControl w:val="0"/>
        <w:spacing w:before="120" w:after="240"/>
        <w:rPr>
          <w:lang w:eastAsia="ja-JP"/>
        </w:rPr>
      </w:pPr>
      <w:proofErr w:type="gramStart"/>
      <w:r w:rsidRPr="000C398A">
        <w:rPr>
          <w:b/>
          <w:u w:val="single"/>
        </w:rPr>
        <w:t>CIDs 379, 380, and R195.</w:t>
      </w:r>
      <w:proofErr w:type="gramEnd"/>
      <w:r w:rsidR="000C398A">
        <w:t xml:space="preserve"> </w:t>
      </w:r>
      <w:r w:rsidR="00D77723">
        <w:t>The unit of measurement for ETT is milliseconds, and the numerical representation for the unit should be a 16 bit (unsigned) integer, allowing for ETT up to over a minute.  Although the meaning of ETT might be more precisely conveyed by the name “Expected Delivery Time”, the acronym ETT is already well-known in the literature and so it should be kept</w:t>
      </w:r>
      <w:r w:rsidR="000C398A">
        <w:t>.</w:t>
      </w:r>
      <w:r w:rsidR="00D77723">
        <w:t xml:space="preserve"> </w:t>
      </w:r>
    </w:p>
    <w:p w:rsidR="00D77723" w:rsidRPr="00B566EA" w:rsidRDefault="00D77723" w:rsidP="00D77723">
      <w:pPr>
        <w:pStyle w:val="ListParagraph"/>
        <w:widowControl w:val="0"/>
        <w:numPr>
          <w:ilvl w:val="0"/>
          <w:numId w:val="2"/>
        </w:numPr>
        <w:spacing w:before="120" w:after="240"/>
        <w:rPr>
          <w:lang w:eastAsia="ja-JP"/>
        </w:rPr>
      </w:pPr>
      <w:r>
        <w:rPr>
          <w:b/>
          <w:i/>
          <w:lang w:eastAsia="ja-JP"/>
        </w:rPr>
        <w:t>Modify the Type field for ETT in Table 11 to be Integer instead of Float.  Modify the length field to be 2 instead of 4.</w:t>
      </w:r>
    </w:p>
    <w:p w:rsidR="00C87D86" w:rsidRPr="00C90A09" w:rsidRDefault="00C87D86" w:rsidP="00C87D86">
      <w:pPr>
        <w:widowControl w:val="0"/>
        <w:spacing w:before="120"/>
        <w:rPr>
          <w:lang w:eastAsia="ja-JP"/>
        </w:rPr>
      </w:pPr>
    </w:p>
    <w:p w:rsidR="00C90A09" w:rsidRDefault="000C398A" w:rsidP="00C90A09">
      <w:pPr>
        <w:widowControl w:val="0"/>
        <w:spacing w:before="120" w:after="240"/>
      </w:pPr>
      <w:r w:rsidRPr="000C398A">
        <w:rPr>
          <w:b/>
          <w:u w:val="single"/>
          <w:lang w:eastAsia="ja-JP"/>
        </w:rPr>
        <w:t xml:space="preserve">CID </w:t>
      </w:r>
      <w:r>
        <w:rPr>
          <w:b/>
          <w:u w:val="single"/>
          <w:lang w:eastAsia="ja-JP"/>
        </w:rPr>
        <w:t>R196</w:t>
      </w:r>
      <w:r>
        <w:rPr>
          <w:lang w:eastAsia="ja-JP"/>
        </w:rPr>
        <w:t xml:space="preserve">: </w:t>
      </w:r>
      <w:r>
        <w:t>A single Metric ID allocation in Table 11 for Vendor-Specific may be insufficient.  Utilize the next octet as a subtype field.</w:t>
      </w:r>
    </w:p>
    <w:p w:rsidR="00D87CB2" w:rsidRPr="00D87CB2" w:rsidRDefault="00D87CB2" w:rsidP="00D87CB2">
      <w:pPr>
        <w:pStyle w:val="ListParagraph"/>
        <w:widowControl w:val="0"/>
        <w:numPr>
          <w:ilvl w:val="0"/>
          <w:numId w:val="2"/>
        </w:numPr>
        <w:spacing w:before="120" w:after="240"/>
        <w:rPr>
          <w:b/>
          <w:i/>
          <w:lang w:eastAsia="ja-JP"/>
        </w:rPr>
      </w:pPr>
      <w:r w:rsidRPr="00D87CB2">
        <w:rPr>
          <w:b/>
          <w:i/>
          <w:lang w:eastAsia="ja-JP"/>
        </w:rPr>
        <w:t>Renumber the type of the Vendor specific Metric ID to be 15, so that it is preceded by all other allocated Metric IDs.</w:t>
      </w:r>
    </w:p>
    <w:p w:rsidR="000C398A" w:rsidRPr="000C398A" w:rsidRDefault="000C398A" w:rsidP="000C398A">
      <w:pPr>
        <w:widowControl w:val="0"/>
        <w:numPr>
          <w:ilvl w:val="0"/>
          <w:numId w:val="2"/>
        </w:numPr>
        <w:spacing w:before="120" w:after="240"/>
        <w:rPr>
          <w:lang w:eastAsia="ja-JP"/>
        </w:rPr>
      </w:pPr>
      <w:r>
        <w:rPr>
          <w:rFonts w:hint="eastAsia"/>
          <w:b/>
          <w:i/>
          <w:lang w:eastAsia="ja-JP"/>
        </w:rPr>
        <w:t xml:space="preserve">Insert the </w:t>
      </w:r>
      <w:r>
        <w:rPr>
          <w:b/>
          <w:i/>
          <w:lang w:eastAsia="ja-JP"/>
        </w:rPr>
        <w:t>following</w:t>
      </w:r>
      <w:r>
        <w:rPr>
          <w:rFonts w:hint="eastAsia"/>
          <w:b/>
          <w:i/>
          <w:lang w:eastAsia="ja-JP"/>
        </w:rPr>
        <w:t xml:space="preserve"> text </w:t>
      </w:r>
      <w:r>
        <w:rPr>
          <w:b/>
          <w:i/>
          <w:lang w:eastAsia="ja-JP"/>
        </w:rPr>
        <w:t>as</w:t>
      </w:r>
      <w:r>
        <w:rPr>
          <w:rFonts w:hint="eastAsia"/>
          <w:b/>
          <w:i/>
          <w:lang w:eastAsia="ja-JP"/>
        </w:rPr>
        <w:t xml:space="preserve"> </w:t>
      </w:r>
      <w:r>
        <w:rPr>
          <w:b/>
          <w:i/>
          <w:lang w:eastAsia="ja-JP"/>
        </w:rPr>
        <w:t>the description for Vendor s</w:t>
      </w:r>
      <w:r w:rsidRPr="000C398A">
        <w:rPr>
          <w:b/>
          <w:i/>
          <w:lang w:eastAsia="ja-JP"/>
        </w:rPr>
        <w:t>pecific</w:t>
      </w:r>
      <w:r>
        <w:rPr>
          <w:b/>
          <w:i/>
          <w:lang w:eastAsia="ja-JP"/>
        </w:rPr>
        <w:t xml:space="preserve"> in Table 11</w:t>
      </w:r>
      <w:r>
        <w:rPr>
          <w:rFonts w:hint="eastAsia"/>
          <w:b/>
          <w:i/>
          <w:lang w:eastAsia="ja-JP"/>
        </w:rPr>
        <w:t>:</w:t>
      </w:r>
    </w:p>
    <w:p w:rsidR="009A7A35" w:rsidRDefault="000C398A" w:rsidP="000C398A">
      <w:pPr>
        <w:widowControl w:val="0"/>
        <w:spacing w:before="120" w:after="240"/>
        <w:rPr>
          <w:lang w:eastAsia="ja-JP"/>
        </w:rPr>
      </w:pPr>
      <w:r>
        <w:rPr>
          <w:lang w:eastAsia="ja-JP"/>
        </w:rPr>
        <w:t xml:space="preserve">“The next one or two octets identify the exact type of vendor-specific Metric.  If the most significant bit of the first octet </w:t>
      </w:r>
      <w:r w:rsidR="001D4E84">
        <w:rPr>
          <w:lang w:eastAsia="ja-JP"/>
        </w:rPr>
        <w:t>of the value</w:t>
      </w:r>
      <w:r w:rsidR="00391D09">
        <w:rPr>
          <w:lang w:eastAsia="ja-JP"/>
        </w:rPr>
        <w:t xml:space="preserve"> </w:t>
      </w:r>
      <w:r>
        <w:rPr>
          <w:lang w:eastAsia="ja-JP"/>
        </w:rPr>
        <w:t>is ‘0’, then the type field is 8 bits long, otherwise the type field is 16 bits long.  The length of the metric is determined by this 8 or 16 bit type field.”</w:t>
      </w:r>
    </w:p>
    <w:p w:rsidR="009A7A35" w:rsidRDefault="009A7A35" w:rsidP="000C398A">
      <w:pPr>
        <w:widowControl w:val="0"/>
        <w:spacing w:before="120" w:after="240"/>
        <w:rPr>
          <w:lang w:eastAsia="ja-JP"/>
        </w:rPr>
      </w:pPr>
    </w:p>
    <w:p w:rsidR="009A7A35" w:rsidRDefault="009A7A35" w:rsidP="000C398A">
      <w:pPr>
        <w:widowControl w:val="0"/>
        <w:spacing w:before="120" w:after="240"/>
        <w:rPr>
          <w:lang w:eastAsia="ja-JP"/>
        </w:rPr>
      </w:pPr>
    </w:p>
    <w:p w:rsidR="009A7A35" w:rsidRDefault="009A7A35" w:rsidP="000C398A">
      <w:pPr>
        <w:widowControl w:val="0"/>
        <w:spacing w:before="120" w:after="240"/>
        <w:rPr>
          <w:lang w:eastAsia="ja-JP"/>
        </w:rPr>
      </w:pPr>
    </w:p>
    <w:p w:rsidR="009A7A35" w:rsidRPr="000C398A" w:rsidRDefault="009A7A35" w:rsidP="009A7A35">
      <w:pPr>
        <w:widowControl w:val="0"/>
        <w:numPr>
          <w:ilvl w:val="0"/>
          <w:numId w:val="2"/>
        </w:numPr>
        <w:spacing w:before="120" w:after="240"/>
        <w:rPr>
          <w:lang w:eastAsia="ja-JP"/>
        </w:rPr>
      </w:pPr>
      <w:r>
        <w:rPr>
          <w:rFonts w:hint="eastAsia"/>
          <w:b/>
          <w:i/>
          <w:lang w:eastAsia="ja-JP"/>
        </w:rPr>
        <w:lastRenderedPageBreak/>
        <w:t xml:space="preserve">Insert the </w:t>
      </w:r>
      <w:r>
        <w:rPr>
          <w:b/>
          <w:i/>
          <w:lang w:eastAsia="ja-JP"/>
        </w:rPr>
        <w:t>following</w:t>
      </w:r>
      <w:r>
        <w:rPr>
          <w:rFonts w:hint="eastAsia"/>
          <w:b/>
          <w:i/>
          <w:lang w:eastAsia="ja-JP"/>
        </w:rPr>
        <w:t xml:space="preserve"> </w:t>
      </w:r>
      <w:r>
        <w:rPr>
          <w:b/>
          <w:i/>
          <w:lang w:eastAsia="ja-JP"/>
        </w:rPr>
        <w:t>figure to illustrate</w:t>
      </w:r>
      <w:r>
        <w:rPr>
          <w:rFonts w:hint="eastAsia"/>
          <w:b/>
          <w:i/>
          <w:lang w:eastAsia="ja-JP"/>
        </w:rPr>
        <w:t xml:space="preserve"> </w:t>
      </w:r>
      <w:r>
        <w:rPr>
          <w:b/>
          <w:i/>
          <w:lang w:eastAsia="ja-JP"/>
        </w:rPr>
        <w:t>the description for Vendor s</w:t>
      </w:r>
      <w:r w:rsidRPr="000C398A">
        <w:rPr>
          <w:b/>
          <w:i/>
          <w:lang w:eastAsia="ja-JP"/>
        </w:rPr>
        <w:t>pecific</w:t>
      </w:r>
      <w:r>
        <w:rPr>
          <w:b/>
          <w:i/>
          <w:lang w:eastAsia="ja-JP"/>
        </w:rPr>
        <w:t xml:space="preserve"> subtype</w:t>
      </w:r>
      <w:r>
        <w:rPr>
          <w:rFonts w:hint="eastAsia"/>
          <w:b/>
          <w:i/>
          <w:lang w:eastAsia="ja-JP"/>
        </w:rPr>
        <w:t>:</w:t>
      </w:r>
    </w:p>
    <w:p w:rsidR="009A7A35" w:rsidRDefault="009A7A35" w:rsidP="000C398A">
      <w:pPr>
        <w:widowControl w:val="0"/>
        <w:spacing w:before="120" w:after="240"/>
        <w:rPr>
          <w:lang w:eastAsia="ja-JP"/>
        </w:rPr>
      </w:pPr>
    </w:p>
    <w:p w:rsidR="009A7A35" w:rsidRPr="000C398A" w:rsidRDefault="009A7A35" w:rsidP="009A7A35">
      <w:pPr>
        <w:widowControl w:val="0"/>
        <w:spacing w:before="120" w:after="240"/>
        <w:jc w:val="center"/>
        <w:rPr>
          <w:lang w:eastAsia="ja-JP"/>
        </w:rPr>
      </w:pPr>
      <w:r>
        <w:object w:dxaOrig="7299" w:dyaOrig="1414">
          <v:shape id="_x0000_i1026" type="#_x0000_t75" style="width:365pt;height:70.75pt" o:ole="">
            <v:imagedata r:id="rId10" o:title=""/>
          </v:shape>
          <o:OLEObject Type="Embed" ProgID="Visio.Drawing.11" ShapeID="_x0000_i1026" DrawAspect="Content" ObjectID="_1497532194" r:id="rId11"/>
        </w:object>
      </w:r>
    </w:p>
    <w:p w:rsidR="000C398A" w:rsidRDefault="000C398A" w:rsidP="00C90A09">
      <w:pPr>
        <w:widowControl w:val="0"/>
        <w:spacing w:before="120" w:after="240"/>
        <w:rPr>
          <w:lang w:eastAsia="ja-JP"/>
        </w:rPr>
      </w:pPr>
    </w:p>
    <w:p w:rsidR="00AB79D2" w:rsidRPr="00DF5ED4" w:rsidRDefault="00AB79D2" w:rsidP="003B1E21">
      <w:pPr>
        <w:pStyle w:val="ListParagraph"/>
        <w:widowControl w:val="0"/>
        <w:spacing w:before="120"/>
        <w:jc w:val="center"/>
        <w:rPr>
          <w:lang w:eastAsia="ja-JP"/>
        </w:rPr>
      </w:pPr>
    </w:p>
    <w:sectPr w:rsidR="00AB79D2" w:rsidRPr="00DF5ED4">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D7B" w:rsidRDefault="00042D7B">
      <w:r>
        <w:separator/>
      </w:r>
    </w:p>
  </w:endnote>
  <w:endnote w:type="continuationSeparator" w:id="0">
    <w:p w:rsidR="00042D7B" w:rsidRDefault="0004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rsidP="00723713">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723713">
      <w:t>Charlie Perkins [Futurewei]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D7B" w:rsidRDefault="00042D7B">
      <w:r>
        <w:separator/>
      </w:r>
    </w:p>
  </w:footnote>
  <w:footnote w:type="continuationSeparator" w:id="0">
    <w:p w:rsidR="00042D7B" w:rsidRDefault="00042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BE3095">
      <w:rPr>
        <w:b/>
        <w:noProof/>
        <w:sz w:val="28"/>
        <w:lang w:eastAsia="ja-JP"/>
      </w:rPr>
      <w:t>July</w:t>
    </w:r>
    <w:r w:rsidR="00BE3095">
      <w:rPr>
        <w:b/>
        <w:noProof/>
        <w:sz w:val="28"/>
      </w:rPr>
      <w:t>,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2A4736">
      <w:rPr>
        <w:b/>
        <w:sz w:val="28"/>
        <w:szCs w:val="28"/>
        <w:lang w:eastAsia="ja-JP"/>
      </w:rPr>
      <w:t>0</w:t>
    </w:r>
    <w:r w:rsidR="00AD4160">
      <w:rPr>
        <w:b/>
        <w:sz w:val="28"/>
        <w:szCs w:val="28"/>
        <w:lang w:eastAsia="ja-JP"/>
      </w:rPr>
      <w:t>495</w:t>
    </w:r>
    <w:r w:rsidR="0039262F">
      <w:rPr>
        <w:b/>
        <w:sz w:val="28"/>
        <w:szCs w:val="28"/>
      </w:rPr>
      <w:t>-0</w:t>
    </w:r>
    <w:r w:rsidR="00AD4160">
      <w:rPr>
        <w:b/>
        <w:sz w:val="28"/>
        <w:szCs w:val="28"/>
        <w:lang w:eastAsia="ja-JP"/>
      </w:rPr>
      <w:t>0</w:t>
    </w:r>
    <w:r w:rsidR="0039262F" w:rsidRPr="00513CD0">
      <w:rPr>
        <w:b/>
        <w:sz w:val="28"/>
        <w:szCs w:val="28"/>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04E95"/>
    <w:rsid w:val="00042D7B"/>
    <w:rsid w:val="00067849"/>
    <w:rsid w:val="0007057C"/>
    <w:rsid w:val="000918D5"/>
    <w:rsid w:val="000C2BC3"/>
    <w:rsid w:val="000C398A"/>
    <w:rsid w:val="000C6DA3"/>
    <w:rsid w:val="00103962"/>
    <w:rsid w:val="001D4E84"/>
    <w:rsid w:val="002116CE"/>
    <w:rsid w:val="002A4736"/>
    <w:rsid w:val="002A59F2"/>
    <w:rsid w:val="002B34B2"/>
    <w:rsid w:val="002B67DF"/>
    <w:rsid w:val="002B78DD"/>
    <w:rsid w:val="00347448"/>
    <w:rsid w:val="00385A28"/>
    <w:rsid w:val="00391D09"/>
    <w:rsid w:val="0039262F"/>
    <w:rsid w:val="003948AC"/>
    <w:rsid w:val="003B1E21"/>
    <w:rsid w:val="00420166"/>
    <w:rsid w:val="00426282"/>
    <w:rsid w:val="00462556"/>
    <w:rsid w:val="004D2092"/>
    <w:rsid w:val="004E475A"/>
    <w:rsid w:val="005002BB"/>
    <w:rsid w:val="00535F4F"/>
    <w:rsid w:val="00566DBD"/>
    <w:rsid w:val="005D2BC9"/>
    <w:rsid w:val="005F42D6"/>
    <w:rsid w:val="00626D04"/>
    <w:rsid w:val="00645BC7"/>
    <w:rsid w:val="00646C3B"/>
    <w:rsid w:val="00664800"/>
    <w:rsid w:val="006F252F"/>
    <w:rsid w:val="00723713"/>
    <w:rsid w:val="007248EE"/>
    <w:rsid w:val="00742AC8"/>
    <w:rsid w:val="007C4D70"/>
    <w:rsid w:val="007E386D"/>
    <w:rsid w:val="00851914"/>
    <w:rsid w:val="00927B5A"/>
    <w:rsid w:val="0094127E"/>
    <w:rsid w:val="009521A9"/>
    <w:rsid w:val="009609D0"/>
    <w:rsid w:val="00967DF5"/>
    <w:rsid w:val="009A7A35"/>
    <w:rsid w:val="00A14601"/>
    <w:rsid w:val="00A43417"/>
    <w:rsid w:val="00AA1934"/>
    <w:rsid w:val="00AB4FF0"/>
    <w:rsid w:val="00AB79D2"/>
    <w:rsid w:val="00AD4160"/>
    <w:rsid w:val="00AF00B5"/>
    <w:rsid w:val="00AF4495"/>
    <w:rsid w:val="00B03C75"/>
    <w:rsid w:val="00B30B52"/>
    <w:rsid w:val="00B566EA"/>
    <w:rsid w:val="00B977D7"/>
    <w:rsid w:val="00BB2CEF"/>
    <w:rsid w:val="00BE3095"/>
    <w:rsid w:val="00C20ACD"/>
    <w:rsid w:val="00C70863"/>
    <w:rsid w:val="00C877AE"/>
    <w:rsid w:val="00C87D86"/>
    <w:rsid w:val="00C90A09"/>
    <w:rsid w:val="00CD4788"/>
    <w:rsid w:val="00D13C32"/>
    <w:rsid w:val="00D55688"/>
    <w:rsid w:val="00D77723"/>
    <w:rsid w:val="00D8397E"/>
    <w:rsid w:val="00D87CB2"/>
    <w:rsid w:val="00DF5ED4"/>
    <w:rsid w:val="00E059B1"/>
    <w:rsid w:val="00E55088"/>
    <w:rsid w:val="00EC1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21</TotalTime>
  <Pages>5</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charliep</cp:lastModifiedBy>
  <cp:revision>5</cp:revision>
  <cp:lastPrinted>1901-01-01T07:00:00Z</cp:lastPrinted>
  <dcterms:created xsi:type="dcterms:W3CDTF">2015-07-04T23:02:00Z</dcterms:created>
  <dcterms:modified xsi:type="dcterms:W3CDTF">2015-07-04T23:23:00Z</dcterms:modified>
  <cp:category>&lt;doc#&gt;</cp:category>
</cp:coreProperties>
</file>