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A6" w:rsidRDefault="00BC5B9C">
      <w:pPr>
        <w:jc w:val="center"/>
        <w:rPr>
          <w:b/>
          <w:sz w:val="28"/>
        </w:rPr>
      </w:pPr>
      <w:r>
        <w:rPr>
          <w:b/>
          <w:sz w:val="28"/>
        </w:rPr>
        <w:t>IEEE P802.15</w:t>
      </w:r>
    </w:p>
    <w:p w:rsidR="004B15A6" w:rsidRDefault="00BC5B9C">
      <w:pPr>
        <w:jc w:val="center"/>
        <w:rPr>
          <w:b/>
          <w:sz w:val="28"/>
        </w:rPr>
      </w:pPr>
      <w:r>
        <w:rPr>
          <w:b/>
          <w:sz w:val="28"/>
        </w:rPr>
        <w:t>Wireless Personal Area Networks</w:t>
      </w:r>
    </w:p>
    <w:p w:rsidR="004B15A6" w:rsidRDefault="004B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B15A6">
        <w:tc>
          <w:tcPr>
            <w:tcW w:w="1260" w:type="dxa"/>
            <w:tcBorders>
              <w:top w:val="single" w:sz="6" w:space="0" w:color="auto"/>
            </w:tcBorders>
          </w:tcPr>
          <w:p w:rsidR="004B15A6" w:rsidRDefault="00BC5B9C">
            <w:pPr>
              <w:pStyle w:val="covertext"/>
            </w:pPr>
            <w:r>
              <w:t>Project</w:t>
            </w:r>
          </w:p>
        </w:tc>
        <w:tc>
          <w:tcPr>
            <w:tcW w:w="8190" w:type="dxa"/>
            <w:gridSpan w:val="2"/>
            <w:tcBorders>
              <w:top w:val="single" w:sz="6" w:space="0" w:color="auto"/>
            </w:tcBorders>
          </w:tcPr>
          <w:p w:rsidR="004B15A6" w:rsidRDefault="00BC5B9C">
            <w:pPr>
              <w:pStyle w:val="covertext"/>
            </w:pPr>
            <w:r>
              <w:t>IEEE P802.15 Working Group for Wireless Personal Area Networks (WPANs)</w:t>
            </w:r>
          </w:p>
        </w:tc>
      </w:tr>
      <w:tr w:rsidR="004B15A6">
        <w:tc>
          <w:tcPr>
            <w:tcW w:w="1260" w:type="dxa"/>
            <w:tcBorders>
              <w:top w:val="single" w:sz="6" w:space="0" w:color="auto"/>
            </w:tcBorders>
          </w:tcPr>
          <w:p w:rsidR="004B15A6" w:rsidRDefault="00BC5B9C">
            <w:pPr>
              <w:pStyle w:val="covertext"/>
            </w:pPr>
            <w:r>
              <w:t>Title</w:t>
            </w:r>
          </w:p>
        </w:tc>
        <w:tc>
          <w:tcPr>
            <w:tcW w:w="8190" w:type="dxa"/>
            <w:gridSpan w:val="2"/>
            <w:tcBorders>
              <w:top w:val="single" w:sz="6" w:space="0" w:color="auto"/>
            </w:tcBorders>
          </w:tcPr>
          <w:p w:rsidR="004B15A6" w:rsidRDefault="00A9785E">
            <w:pPr>
              <w:pStyle w:val="covertext"/>
              <w:rPr>
                <w:lang w:eastAsia="ja-JP"/>
              </w:rPr>
            </w:pPr>
            <w:r>
              <w:rPr>
                <w:rFonts w:hint="eastAsia"/>
                <w:b/>
                <w:sz w:val="28"/>
                <w:lang w:eastAsia="ja-JP"/>
              </w:rPr>
              <w:t>Additional information on</w:t>
            </w:r>
            <w:r w:rsidR="00913D76">
              <w:rPr>
                <w:rFonts w:hint="eastAsia"/>
                <w:b/>
                <w:sz w:val="28"/>
                <w:lang w:eastAsia="ja-JP"/>
              </w:rPr>
              <w:t xml:space="preserve"> CID i-57</w:t>
            </w:r>
          </w:p>
        </w:tc>
      </w:tr>
      <w:tr w:rsidR="004B15A6">
        <w:tc>
          <w:tcPr>
            <w:tcW w:w="1260" w:type="dxa"/>
            <w:tcBorders>
              <w:top w:val="single" w:sz="6" w:space="0" w:color="auto"/>
            </w:tcBorders>
          </w:tcPr>
          <w:p w:rsidR="004B15A6" w:rsidRDefault="00BC5B9C">
            <w:pPr>
              <w:pStyle w:val="covertext"/>
            </w:pPr>
            <w:r>
              <w:t>Date Submitted</w:t>
            </w:r>
          </w:p>
        </w:tc>
        <w:tc>
          <w:tcPr>
            <w:tcW w:w="8190" w:type="dxa"/>
            <w:gridSpan w:val="2"/>
            <w:tcBorders>
              <w:top w:val="single" w:sz="6" w:space="0" w:color="auto"/>
            </w:tcBorders>
          </w:tcPr>
          <w:p w:rsidR="004B15A6" w:rsidRDefault="00913D76">
            <w:pPr>
              <w:pStyle w:val="covertext"/>
              <w:rPr>
                <w:lang w:eastAsia="ja-JP"/>
              </w:rPr>
            </w:pPr>
            <w:r>
              <w:rPr>
                <w:rFonts w:hint="eastAsia"/>
                <w:lang w:eastAsia="ja-JP"/>
              </w:rPr>
              <w:t>26 June 2015</w:t>
            </w:r>
          </w:p>
        </w:tc>
      </w:tr>
      <w:tr w:rsidR="00913D76">
        <w:tc>
          <w:tcPr>
            <w:tcW w:w="1260" w:type="dxa"/>
            <w:tcBorders>
              <w:top w:val="single" w:sz="4" w:space="0" w:color="auto"/>
              <w:bottom w:val="single" w:sz="4" w:space="0" w:color="auto"/>
            </w:tcBorders>
          </w:tcPr>
          <w:p w:rsidR="00913D76" w:rsidRDefault="00913D76">
            <w:pPr>
              <w:pStyle w:val="covertext"/>
            </w:pPr>
            <w:r>
              <w:t>Source</w:t>
            </w:r>
          </w:p>
        </w:tc>
        <w:tc>
          <w:tcPr>
            <w:tcW w:w="4050" w:type="dxa"/>
            <w:tcBorders>
              <w:top w:val="single" w:sz="4" w:space="0" w:color="auto"/>
              <w:bottom w:val="single" w:sz="4" w:space="0" w:color="auto"/>
            </w:tcBorders>
          </w:tcPr>
          <w:p w:rsidR="00913D76" w:rsidRDefault="00913D76" w:rsidP="00A20BC7">
            <w:pPr>
              <w:pStyle w:val="covertext"/>
            </w:pPr>
            <w:r>
              <w:t>*[Verotiana Rabarijaona, Fumihide Kojima], †[Hiroshi Harada]</w:t>
            </w:r>
          </w:p>
          <w:p w:rsidR="00913D76" w:rsidRDefault="00913D76" w:rsidP="00A20BC7">
            <w:pPr>
              <w:pStyle w:val="covertext"/>
            </w:pPr>
            <w:r>
              <w:t>*[NICT], †[Kyoto University]</w:t>
            </w:r>
          </w:p>
          <w:p w:rsidR="00913D76" w:rsidRDefault="00913D76" w:rsidP="00A20BC7">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913D76" w:rsidRDefault="00913D76" w:rsidP="00913D76">
            <w:pPr>
              <w:pStyle w:val="covertext"/>
              <w:tabs>
                <w:tab w:val="left" w:pos="1152"/>
              </w:tabs>
            </w:pPr>
            <w:r>
              <w:t>Voice:</w:t>
            </w:r>
            <w:r>
              <w:tab/>
              <w:t>[+81</w:t>
            </w:r>
            <w:bookmarkStart w:id="0" w:name="_GoBack"/>
            <w:bookmarkEnd w:id="0"/>
            <w:r>
              <w:t>-46-847-5075]</w:t>
            </w:r>
          </w:p>
          <w:p w:rsidR="00913D76" w:rsidRDefault="00913D76" w:rsidP="00913D76">
            <w:pPr>
              <w:pStyle w:val="covertext"/>
              <w:tabs>
                <w:tab w:val="left" w:pos="1152"/>
              </w:tabs>
            </w:pPr>
            <w:r>
              <w:t>Fax:</w:t>
            </w:r>
            <w:r>
              <w:tab/>
              <w:t>[+81-46-847-5089]</w:t>
            </w:r>
          </w:p>
          <w:p w:rsidR="00913D76" w:rsidRDefault="00913D76" w:rsidP="00913D76">
            <w:pPr>
              <w:pStyle w:val="covertext"/>
              <w:tabs>
                <w:tab w:val="left" w:pos="1152"/>
              </w:tabs>
              <w:spacing w:before="0" w:after="0"/>
              <w:rPr>
                <w:sz w:val="18"/>
              </w:rPr>
            </w:pPr>
            <w:r>
              <w:t>E-mail:</w:t>
            </w:r>
            <w:r>
              <w:tab/>
              <w:t>[rverotiana@nict.go.jp]</w:t>
            </w:r>
          </w:p>
        </w:tc>
      </w:tr>
      <w:tr w:rsidR="00913D76">
        <w:tc>
          <w:tcPr>
            <w:tcW w:w="1260" w:type="dxa"/>
            <w:tcBorders>
              <w:top w:val="single" w:sz="6" w:space="0" w:color="auto"/>
            </w:tcBorders>
          </w:tcPr>
          <w:p w:rsidR="00913D76" w:rsidRDefault="00913D76">
            <w:pPr>
              <w:pStyle w:val="covertext"/>
            </w:pPr>
            <w:r>
              <w:t>Re:</w:t>
            </w:r>
          </w:p>
        </w:tc>
        <w:tc>
          <w:tcPr>
            <w:tcW w:w="8190" w:type="dxa"/>
            <w:gridSpan w:val="2"/>
            <w:tcBorders>
              <w:top w:val="single" w:sz="6" w:space="0" w:color="auto"/>
            </w:tcBorders>
          </w:tcPr>
          <w:p w:rsidR="00913D76" w:rsidRDefault="00913D76">
            <w:pPr>
              <w:pStyle w:val="covertext"/>
              <w:rPr>
                <w:lang w:eastAsia="ja-JP"/>
              </w:rPr>
            </w:pPr>
            <w:r>
              <w:rPr>
                <w:rFonts w:hint="eastAsia"/>
                <w:lang w:eastAsia="ja-JP"/>
              </w:rPr>
              <w:t>SCM call minutes of June 24, 2015</w:t>
            </w:r>
            <w:r w:rsidR="00E376E3">
              <w:rPr>
                <w:rFonts w:hint="eastAsia"/>
                <w:lang w:eastAsia="ja-JP"/>
              </w:rPr>
              <w:t xml:space="preserve"> regarding the CID i-57 resolution</w:t>
            </w:r>
          </w:p>
        </w:tc>
      </w:tr>
      <w:tr w:rsidR="00913D76">
        <w:tc>
          <w:tcPr>
            <w:tcW w:w="1260" w:type="dxa"/>
            <w:tcBorders>
              <w:top w:val="single" w:sz="6" w:space="0" w:color="auto"/>
            </w:tcBorders>
          </w:tcPr>
          <w:p w:rsidR="00913D76" w:rsidRDefault="00913D76">
            <w:pPr>
              <w:pStyle w:val="covertext"/>
            </w:pPr>
            <w:r>
              <w:t>Abstract</w:t>
            </w:r>
          </w:p>
        </w:tc>
        <w:tc>
          <w:tcPr>
            <w:tcW w:w="8190" w:type="dxa"/>
            <w:gridSpan w:val="2"/>
            <w:tcBorders>
              <w:top w:val="single" w:sz="6" w:space="0" w:color="auto"/>
            </w:tcBorders>
          </w:tcPr>
          <w:p w:rsidR="00913D76" w:rsidRDefault="00913D76">
            <w:pPr>
              <w:pStyle w:val="covertext"/>
              <w:rPr>
                <w:lang w:eastAsia="ja-JP"/>
              </w:rPr>
            </w:pPr>
            <w:r>
              <w:rPr>
                <w:rFonts w:hint="eastAsia"/>
                <w:lang w:eastAsia="ja-JP"/>
              </w:rPr>
              <w:t>Provides additional information regarding CID i-57</w:t>
            </w:r>
          </w:p>
          <w:p w:rsidR="00913D76" w:rsidRDefault="00913D76">
            <w:pPr>
              <w:pStyle w:val="covertext"/>
            </w:pPr>
          </w:p>
        </w:tc>
      </w:tr>
      <w:tr w:rsidR="00913D76">
        <w:tc>
          <w:tcPr>
            <w:tcW w:w="1260" w:type="dxa"/>
            <w:tcBorders>
              <w:top w:val="single" w:sz="6" w:space="0" w:color="auto"/>
            </w:tcBorders>
          </w:tcPr>
          <w:p w:rsidR="00913D76" w:rsidRDefault="00913D76">
            <w:pPr>
              <w:pStyle w:val="covertext"/>
            </w:pPr>
            <w:r>
              <w:t>Purpose</w:t>
            </w:r>
          </w:p>
        </w:tc>
        <w:tc>
          <w:tcPr>
            <w:tcW w:w="8190" w:type="dxa"/>
            <w:gridSpan w:val="2"/>
            <w:tcBorders>
              <w:top w:val="single" w:sz="6" w:space="0" w:color="auto"/>
            </w:tcBorders>
          </w:tcPr>
          <w:p w:rsidR="00913D76" w:rsidRDefault="00913D76">
            <w:pPr>
              <w:pStyle w:val="covertext"/>
              <w:rPr>
                <w:lang w:eastAsia="ja-JP"/>
              </w:rPr>
            </w:pPr>
            <w:r>
              <w:rPr>
                <w:rFonts w:hint="eastAsia"/>
                <w:lang w:eastAsia="ja-JP"/>
              </w:rPr>
              <w:t>Help in the resolution of CID i-57</w:t>
            </w:r>
          </w:p>
        </w:tc>
      </w:tr>
      <w:tr w:rsidR="00913D76">
        <w:tc>
          <w:tcPr>
            <w:tcW w:w="1260" w:type="dxa"/>
            <w:tcBorders>
              <w:top w:val="single" w:sz="6" w:space="0" w:color="auto"/>
              <w:bottom w:val="single" w:sz="6" w:space="0" w:color="auto"/>
            </w:tcBorders>
          </w:tcPr>
          <w:p w:rsidR="00913D76" w:rsidRDefault="00913D76">
            <w:pPr>
              <w:pStyle w:val="covertext"/>
            </w:pPr>
            <w:r>
              <w:t>Notice</w:t>
            </w:r>
          </w:p>
        </w:tc>
        <w:tc>
          <w:tcPr>
            <w:tcW w:w="8190" w:type="dxa"/>
            <w:gridSpan w:val="2"/>
            <w:tcBorders>
              <w:top w:val="single" w:sz="6" w:space="0" w:color="auto"/>
              <w:bottom w:val="single" w:sz="6" w:space="0" w:color="auto"/>
            </w:tcBorders>
          </w:tcPr>
          <w:p w:rsidR="00913D76" w:rsidRDefault="00913D7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13D76">
        <w:tc>
          <w:tcPr>
            <w:tcW w:w="1260" w:type="dxa"/>
            <w:tcBorders>
              <w:top w:val="single" w:sz="6" w:space="0" w:color="auto"/>
              <w:bottom w:val="single" w:sz="6" w:space="0" w:color="auto"/>
            </w:tcBorders>
          </w:tcPr>
          <w:p w:rsidR="00913D76" w:rsidRDefault="00913D76">
            <w:pPr>
              <w:pStyle w:val="covertext"/>
            </w:pPr>
            <w:r>
              <w:t>Release</w:t>
            </w:r>
          </w:p>
        </w:tc>
        <w:tc>
          <w:tcPr>
            <w:tcW w:w="8190" w:type="dxa"/>
            <w:gridSpan w:val="2"/>
            <w:tcBorders>
              <w:top w:val="single" w:sz="6" w:space="0" w:color="auto"/>
              <w:bottom w:val="single" w:sz="6" w:space="0" w:color="auto"/>
            </w:tcBorders>
          </w:tcPr>
          <w:p w:rsidR="00913D76" w:rsidRDefault="00913D76">
            <w:pPr>
              <w:pStyle w:val="covertext"/>
            </w:pPr>
            <w:r>
              <w:t>The contributor acknowledges and accepts that this contribution becomes the property of IEEE and may be made publicly available by P802.15.</w:t>
            </w:r>
          </w:p>
        </w:tc>
      </w:tr>
    </w:tbl>
    <w:p w:rsidR="00913D76" w:rsidRDefault="00BC5B9C">
      <w:pPr>
        <w:widowControl w:val="0"/>
        <w:spacing w:before="120"/>
        <w:rPr>
          <w:b/>
          <w:sz w:val="28"/>
          <w:lang w:eastAsia="ja-JP"/>
        </w:rPr>
      </w:pPr>
      <w:r>
        <w:rPr>
          <w:b/>
          <w:sz w:val="28"/>
        </w:rPr>
        <w:br w:type="page"/>
      </w:r>
    </w:p>
    <w:p w:rsidR="00913D76" w:rsidRPr="00D05442" w:rsidRDefault="00913D76">
      <w:pPr>
        <w:widowControl w:val="0"/>
        <w:spacing w:before="120"/>
        <w:rPr>
          <w:b/>
          <w:u w:val="single"/>
          <w:lang w:eastAsia="ja-JP"/>
        </w:rPr>
      </w:pPr>
      <w:r w:rsidRPr="00D05442">
        <w:rPr>
          <w:rFonts w:hint="eastAsia"/>
          <w:b/>
          <w:u w:val="single"/>
          <w:lang w:eastAsia="ja-JP"/>
        </w:rPr>
        <w:lastRenderedPageBreak/>
        <w:t>Comment CID i-57</w:t>
      </w:r>
    </w:p>
    <w:p w:rsidR="00913D76" w:rsidRDefault="00913D76">
      <w:pPr>
        <w:widowControl w:val="0"/>
        <w:spacing w:before="120"/>
        <w:rPr>
          <w:lang w:eastAsia="ja-JP"/>
        </w:rPr>
      </w:pPr>
      <w:r w:rsidRPr="00913D76">
        <w:rPr>
          <w:lang w:eastAsia="ja-JP"/>
        </w:rPr>
        <w:t xml:space="preserve">The </w:t>
      </w:r>
      <w:proofErr w:type="spellStart"/>
      <w:r w:rsidRPr="00913D76">
        <w:rPr>
          <w:lang w:eastAsia="ja-JP"/>
        </w:rPr>
        <w:t>AckTx</w:t>
      </w:r>
      <w:proofErr w:type="spellEnd"/>
      <w:r w:rsidRPr="00913D76">
        <w:rPr>
          <w:lang w:eastAsia="ja-JP"/>
        </w:rPr>
        <w:t xml:space="preserve"> parameter should be included in the MCPS-</w:t>
      </w:r>
      <w:proofErr w:type="spellStart"/>
      <w:r w:rsidRPr="00913D76">
        <w:rPr>
          <w:lang w:eastAsia="ja-JP"/>
        </w:rPr>
        <w:t>DATA.indication</w:t>
      </w:r>
      <w:proofErr w:type="spellEnd"/>
      <w:r w:rsidRPr="00913D76">
        <w:rPr>
          <w:lang w:eastAsia="ja-JP"/>
        </w:rPr>
        <w:t xml:space="preserve"> based on the AR flag of the MHR. This information may be needed if the frame requires forwarding by an upper layer protocol using the same parameters sent in the original MCPS-</w:t>
      </w:r>
      <w:proofErr w:type="spellStart"/>
      <w:r w:rsidRPr="00913D76">
        <w:rPr>
          <w:lang w:eastAsia="ja-JP"/>
        </w:rPr>
        <w:t>DATA.request</w:t>
      </w:r>
      <w:proofErr w:type="spellEnd"/>
    </w:p>
    <w:p w:rsidR="00D05442" w:rsidRDefault="00D05442">
      <w:pPr>
        <w:widowControl w:val="0"/>
        <w:spacing w:before="120"/>
        <w:rPr>
          <w:lang w:eastAsia="ja-JP"/>
        </w:rPr>
      </w:pPr>
    </w:p>
    <w:p w:rsidR="00913D76" w:rsidRDefault="00913D76">
      <w:pPr>
        <w:widowControl w:val="0"/>
        <w:spacing w:before="120"/>
        <w:rPr>
          <w:b/>
          <w:sz w:val="28"/>
          <w:u w:val="single"/>
          <w:lang w:eastAsia="ja-JP"/>
        </w:rPr>
      </w:pPr>
      <w:r w:rsidRPr="00913D76">
        <w:rPr>
          <w:rFonts w:hint="eastAsia"/>
          <w:b/>
          <w:sz w:val="28"/>
          <w:u w:val="single"/>
          <w:lang w:eastAsia="ja-JP"/>
        </w:rPr>
        <w:t>Motivation</w:t>
      </w:r>
    </w:p>
    <w:p w:rsidR="00913D76" w:rsidRDefault="00913D76">
      <w:pPr>
        <w:widowControl w:val="0"/>
        <w:spacing w:before="120"/>
        <w:rPr>
          <w:lang w:eastAsia="ja-JP"/>
        </w:rPr>
      </w:pPr>
      <w:r>
        <w:rPr>
          <w:rFonts w:hint="eastAsia"/>
          <w:lang w:eastAsia="ja-JP"/>
        </w:rPr>
        <w:t xml:space="preserve">The idea behind this comment is to provide a way to </w:t>
      </w:r>
      <w:r w:rsidR="0031653A">
        <w:rPr>
          <w:rFonts w:hint="eastAsia"/>
          <w:lang w:eastAsia="ja-JP"/>
        </w:rPr>
        <w:t xml:space="preserve">the next </w:t>
      </w:r>
      <w:r>
        <w:rPr>
          <w:rFonts w:hint="eastAsia"/>
          <w:lang w:eastAsia="ja-JP"/>
        </w:rPr>
        <w:t xml:space="preserve">higher layer to know whether a data frame required </w:t>
      </w:r>
      <w:r>
        <w:rPr>
          <w:lang w:eastAsia="ja-JP"/>
        </w:rPr>
        <w:t>an acknowledgement</w:t>
      </w:r>
      <w:r>
        <w:rPr>
          <w:rFonts w:hint="eastAsia"/>
          <w:lang w:eastAsia="ja-JP"/>
        </w:rPr>
        <w:t xml:space="preserve">. </w:t>
      </w:r>
    </w:p>
    <w:p w:rsidR="00913D76" w:rsidRDefault="00913D76">
      <w:pPr>
        <w:widowControl w:val="0"/>
        <w:spacing w:before="120"/>
        <w:rPr>
          <w:lang w:eastAsia="ja-JP"/>
        </w:rPr>
      </w:pPr>
      <w:r>
        <w:rPr>
          <w:rFonts w:hint="eastAsia"/>
          <w:lang w:eastAsia="ja-JP"/>
        </w:rPr>
        <w:t>In particular, regarding the ongoing effort on P802.15.10</w:t>
      </w:r>
      <w:r w:rsidR="006A5E2F">
        <w:rPr>
          <w:lang w:eastAsia="ja-JP"/>
        </w:rPr>
        <w:t>, when</w:t>
      </w:r>
      <w:r>
        <w:rPr>
          <w:rFonts w:hint="eastAsia"/>
          <w:lang w:eastAsia="ja-JP"/>
        </w:rPr>
        <w:t xml:space="preserve"> a device receives a frame and needs to route it through another device, it would be </w:t>
      </w:r>
      <w:r w:rsidR="006A5E2F">
        <w:rPr>
          <w:rFonts w:hint="eastAsia"/>
          <w:lang w:eastAsia="ja-JP"/>
        </w:rPr>
        <w:t xml:space="preserve">helpful to the L2R sublayer to know whether </w:t>
      </w:r>
      <w:r w:rsidR="00D05442">
        <w:rPr>
          <w:rFonts w:hint="eastAsia"/>
          <w:lang w:eastAsia="ja-JP"/>
        </w:rPr>
        <w:t>a</w:t>
      </w:r>
      <w:r w:rsidR="006A5E2F">
        <w:rPr>
          <w:rFonts w:hint="eastAsia"/>
          <w:lang w:eastAsia="ja-JP"/>
        </w:rPr>
        <w:t xml:space="preserve"> data frame required a MAC acknowledgement</w:t>
      </w:r>
      <w:r w:rsidR="00D05442">
        <w:rPr>
          <w:rFonts w:hint="eastAsia"/>
          <w:lang w:eastAsia="ja-JP"/>
        </w:rPr>
        <w:t>,</w:t>
      </w:r>
      <w:r w:rsidR="006A5E2F">
        <w:rPr>
          <w:rFonts w:hint="eastAsia"/>
          <w:lang w:eastAsia="ja-JP"/>
        </w:rPr>
        <w:t xml:space="preserve"> so that it </w:t>
      </w:r>
      <w:r w:rsidR="00D05442">
        <w:rPr>
          <w:rFonts w:hint="eastAsia"/>
          <w:lang w:eastAsia="ja-JP"/>
        </w:rPr>
        <w:t>can</w:t>
      </w:r>
      <w:r w:rsidR="006A5E2F">
        <w:rPr>
          <w:rFonts w:hint="eastAsia"/>
          <w:lang w:eastAsia="ja-JP"/>
        </w:rPr>
        <w:t xml:space="preserve"> forward the frame with the same AR setting</w:t>
      </w:r>
      <w:r w:rsidR="00D05442">
        <w:rPr>
          <w:rFonts w:hint="eastAsia"/>
          <w:lang w:eastAsia="ja-JP"/>
        </w:rPr>
        <w:t xml:space="preserve"> as intended by the original source</w:t>
      </w:r>
      <w:r w:rsidR="006A5E2F">
        <w:rPr>
          <w:rFonts w:hint="eastAsia"/>
          <w:lang w:eastAsia="ja-JP"/>
        </w:rPr>
        <w:t>.</w:t>
      </w:r>
    </w:p>
    <w:p w:rsidR="006A5E2F" w:rsidRDefault="006A5E2F">
      <w:pPr>
        <w:widowControl w:val="0"/>
        <w:spacing w:before="120"/>
        <w:rPr>
          <w:lang w:eastAsia="ja-JP"/>
        </w:rPr>
      </w:pPr>
      <w:r>
        <w:rPr>
          <w:rFonts w:hint="eastAsia"/>
          <w:lang w:eastAsia="ja-JP"/>
        </w:rPr>
        <w:t xml:space="preserve">The message sequence chart below shows </w:t>
      </w:r>
      <w:r w:rsidR="00D05442">
        <w:rPr>
          <w:rFonts w:hint="eastAsia"/>
          <w:lang w:eastAsia="ja-JP"/>
        </w:rPr>
        <w:t xml:space="preserve">an example of </w:t>
      </w:r>
      <w:r>
        <w:rPr>
          <w:rFonts w:hint="eastAsia"/>
          <w:lang w:eastAsia="ja-JP"/>
        </w:rPr>
        <w:t xml:space="preserve">a higher layer, here the L2R sublayer, using the </w:t>
      </w:r>
      <w:proofErr w:type="spellStart"/>
      <w:r>
        <w:rPr>
          <w:rFonts w:hint="eastAsia"/>
          <w:lang w:eastAsia="ja-JP"/>
        </w:rPr>
        <w:t>AckTx</w:t>
      </w:r>
      <w:proofErr w:type="spellEnd"/>
      <w:r>
        <w:rPr>
          <w:rFonts w:hint="eastAsia"/>
          <w:lang w:eastAsia="ja-JP"/>
        </w:rPr>
        <w:t xml:space="preserve"> field in the MC</w:t>
      </w:r>
      <w:r w:rsidR="00D05442">
        <w:rPr>
          <w:rFonts w:hint="eastAsia"/>
          <w:lang w:eastAsia="ja-JP"/>
        </w:rPr>
        <w:t>PS-</w:t>
      </w:r>
      <w:proofErr w:type="spellStart"/>
      <w:r w:rsidR="00D05442">
        <w:rPr>
          <w:rFonts w:hint="eastAsia"/>
          <w:lang w:eastAsia="ja-JP"/>
        </w:rPr>
        <w:t>DATA.indication</w:t>
      </w:r>
      <w:proofErr w:type="spellEnd"/>
      <w:r w:rsidR="00D05442">
        <w:rPr>
          <w:rFonts w:hint="eastAsia"/>
          <w:lang w:eastAsia="ja-JP"/>
        </w:rPr>
        <w:t xml:space="preserve"> when a data frame requires an acknowledgement.</w:t>
      </w:r>
    </w:p>
    <w:p w:rsidR="00D05442" w:rsidRDefault="00D05442">
      <w:pPr>
        <w:widowControl w:val="0"/>
        <w:spacing w:before="120"/>
        <w:rPr>
          <w:lang w:eastAsia="ja-JP"/>
        </w:rPr>
      </w:pPr>
    </w:p>
    <w:p w:rsidR="00D05442" w:rsidRDefault="00D05442" w:rsidP="00D05442">
      <w:pPr>
        <w:widowControl w:val="0"/>
        <w:spacing w:before="120"/>
        <w:jc w:val="center"/>
        <w:rPr>
          <w:lang w:eastAsia="ja-JP"/>
        </w:rPr>
      </w:pPr>
      <w:r>
        <w:object w:dxaOrig="6763" w:dyaOrig="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283.95pt" o:ole="">
            <v:imagedata r:id="rId8" o:title=""/>
          </v:shape>
          <o:OLEObject Type="Embed" ProgID="Visio.Drawing.11" ShapeID="_x0000_i1025" DrawAspect="Content" ObjectID="_1496817761" r:id="rId9"/>
        </w:object>
      </w:r>
    </w:p>
    <w:p w:rsidR="00EB4B99" w:rsidRPr="00D05442" w:rsidRDefault="00913D76">
      <w:pPr>
        <w:widowControl w:val="0"/>
        <w:spacing w:before="120"/>
        <w:rPr>
          <w:b/>
          <w:u w:val="single"/>
          <w:lang w:eastAsia="ja-JP"/>
        </w:rPr>
      </w:pPr>
      <w:r w:rsidRPr="00D05442">
        <w:rPr>
          <w:rFonts w:hint="eastAsia"/>
          <w:b/>
          <w:u w:val="single"/>
          <w:lang w:eastAsia="ja-JP"/>
        </w:rPr>
        <w:lastRenderedPageBreak/>
        <w:t>Proposed</w:t>
      </w:r>
      <w:r w:rsidR="00EB4B99" w:rsidRPr="00D05442">
        <w:rPr>
          <w:rFonts w:hint="eastAsia"/>
          <w:b/>
          <w:u w:val="single"/>
          <w:lang w:eastAsia="ja-JP"/>
        </w:rPr>
        <w:t xml:space="preserve"> resolution </w:t>
      </w:r>
    </w:p>
    <w:p w:rsidR="00EB4B99" w:rsidRPr="00EB4B99" w:rsidRDefault="00EB4B99">
      <w:pPr>
        <w:widowControl w:val="0"/>
        <w:spacing w:before="120"/>
        <w:rPr>
          <w:b/>
          <w:i/>
          <w:lang w:eastAsia="ja-JP"/>
        </w:rPr>
      </w:pPr>
      <w:r w:rsidRPr="00EB4B99">
        <w:rPr>
          <w:rFonts w:hint="eastAsia"/>
          <w:b/>
          <w:i/>
          <w:lang w:eastAsia="ja-JP"/>
        </w:rPr>
        <w:t>Modify the semantics of the MCPS-</w:t>
      </w:r>
      <w:proofErr w:type="spellStart"/>
      <w:r w:rsidRPr="00EB4B99">
        <w:rPr>
          <w:rFonts w:hint="eastAsia"/>
          <w:b/>
          <w:i/>
          <w:lang w:eastAsia="ja-JP"/>
        </w:rPr>
        <w:t>DATA.indication</w:t>
      </w:r>
      <w:proofErr w:type="spellEnd"/>
      <w:r w:rsidRPr="00EB4B99">
        <w:rPr>
          <w:rFonts w:hint="eastAsia"/>
          <w:b/>
          <w:i/>
          <w:lang w:eastAsia="ja-JP"/>
        </w:rPr>
        <w:t xml:space="preserve"> as follows:</w:t>
      </w:r>
    </w:p>
    <w:p w:rsidR="00EB4B99" w:rsidRDefault="00EB4B99" w:rsidP="00EB4B99">
      <w:pPr>
        <w:autoSpaceDE w:val="0"/>
        <w:autoSpaceDN w:val="0"/>
        <w:adjustRightInd w:val="0"/>
        <w:rPr>
          <w:rFonts w:ascii="ArialMT" w:hAnsi="ArialMT" w:cs="ArialMT"/>
          <w:sz w:val="20"/>
        </w:rPr>
      </w:pPr>
      <w:r>
        <w:rPr>
          <w:rFonts w:ascii="ArialMT" w:hAnsi="ArialMT" w:cs="ArialMT"/>
          <w:sz w:val="20"/>
        </w:rPr>
        <w:t>MCPS-</w:t>
      </w:r>
      <w:proofErr w:type="spellStart"/>
      <w:r>
        <w:rPr>
          <w:rFonts w:ascii="ArialMT" w:hAnsi="ArialMT" w:cs="ArialMT"/>
          <w:sz w:val="20"/>
        </w:rPr>
        <w:t>DATA.indication</w:t>
      </w:r>
      <w:proofErr w:type="spellEnd"/>
      <w:r>
        <w:rPr>
          <w:rFonts w:ascii="ArialMT" w:hAnsi="ArialMT" w:cs="ArialMT"/>
          <w:sz w:val="20"/>
        </w:rPr>
        <w:t xml:space="preserve"> (</w:t>
      </w:r>
    </w:p>
    <w:p w:rsidR="00EB4B99" w:rsidRDefault="00EB4B99" w:rsidP="00EB4B99">
      <w:pPr>
        <w:autoSpaceDE w:val="0"/>
        <w:autoSpaceDN w:val="0"/>
        <w:adjustRightInd w:val="0"/>
        <w:ind w:left="1440" w:firstLine="720"/>
        <w:rPr>
          <w:rFonts w:ascii="ArialMT" w:hAnsi="ArialMT" w:cs="ArialMT"/>
          <w:sz w:val="20"/>
        </w:rPr>
      </w:pPr>
      <w:proofErr w:type="spellStart"/>
      <w:r>
        <w:rPr>
          <w:rFonts w:ascii="ArialMT" w:hAnsi="ArialMT" w:cs="ArialMT"/>
          <w:sz w:val="20"/>
        </w:rPr>
        <w:t>SrcAddrMode</w:t>
      </w:r>
      <w:proofErr w:type="spellEnd"/>
      <w:r>
        <w:rPr>
          <w:rFonts w:ascii="ArialMT" w:hAnsi="ArialMT" w:cs="ArialMT"/>
          <w:sz w:val="20"/>
        </w:rPr>
        <w:t>,</w:t>
      </w:r>
    </w:p>
    <w:p w:rsidR="00EB4B99" w:rsidRDefault="00EB4B99" w:rsidP="00EB4B99">
      <w:pPr>
        <w:autoSpaceDE w:val="0"/>
        <w:autoSpaceDN w:val="0"/>
        <w:adjustRightInd w:val="0"/>
        <w:ind w:left="1440" w:firstLine="720"/>
        <w:rPr>
          <w:rFonts w:ascii="ArialMT" w:hAnsi="ArialMT" w:cs="ArialMT"/>
          <w:sz w:val="20"/>
        </w:rPr>
      </w:pPr>
      <w:proofErr w:type="spellStart"/>
      <w:r>
        <w:rPr>
          <w:rFonts w:ascii="ArialMT" w:hAnsi="ArialMT" w:cs="ArialMT"/>
          <w:sz w:val="20"/>
        </w:rPr>
        <w:t>SrcPanId</w:t>
      </w:r>
      <w:proofErr w:type="spellEnd"/>
      <w:r>
        <w:rPr>
          <w:rFonts w:ascii="ArialMT" w:hAnsi="ArialMT" w:cs="ArialMT"/>
          <w:sz w:val="20"/>
        </w:rPr>
        <w:t>,</w:t>
      </w:r>
    </w:p>
    <w:p w:rsidR="00EB4B99" w:rsidRDefault="00EB4B99" w:rsidP="00EB4B99">
      <w:pPr>
        <w:autoSpaceDE w:val="0"/>
        <w:autoSpaceDN w:val="0"/>
        <w:adjustRightInd w:val="0"/>
        <w:ind w:left="1440" w:firstLine="720"/>
        <w:rPr>
          <w:rFonts w:ascii="ArialMT" w:hAnsi="ArialMT" w:cs="ArialMT"/>
          <w:sz w:val="20"/>
        </w:rPr>
      </w:pPr>
      <w:proofErr w:type="spellStart"/>
      <w:r>
        <w:rPr>
          <w:rFonts w:ascii="ArialMT" w:hAnsi="ArialMT" w:cs="ArialMT"/>
          <w:sz w:val="20"/>
        </w:rPr>
        <w:t>SrcAddr</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DstAddrMode</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DstPanId</w:t>
      </w:r>
      <w:proofErr w:type="spellEnd"/>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DstAddr</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Msdu</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HeaderIeList</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lang w:eastAsia="ja-JP"/>
        </w:rPr>
      </w:pPr>
      <w:proofErr w:type="spellStart"/>
      <w:r>
        <w:rPr>
          <w:rFonts w:ascii="ArialMT" w:hAnsi="ArialMT" w:cs="ArialMT"/>
          <w:sz w:val="20"/>
        </w:rPr>
        <w:t>PayloadIeList</w:t>
      </w:r>
      <w:proofErr w:type="spellEnd"/>
      <w:r>
        <w:rPr>
          <w:rFonts w:ascii="ArialMT" w:hAnsi="ArialMT" w:cs="ArialMT"/>
          <w:sz w:val="20"/>
        </w:rPr>
        <w:t>,</w:t>
      </w:r>
    </w:p>
    <w:p w:rsidR="00EB4B99" w:rsidRPr="00EB4B99" w:rsidRDefault="00EB4B99" w:rsidP="00EB4B99">
      <w:pPr>
        <w:autoSpaceDE w:val="0"/>
        <w:autoSpaceDN w:val="0"/>
        <w:adjustRightInd w:val="0"/>
        <w:ind w:left="2160"/>
        <w:rPr>
          <w:rFonts w:ascii="ArialMT" w:hAnsi="ArialMT" w:cs="ArialMT"/>
          <w:b/>
          <w:color w:val="0000FF"/>
          <w:sz w:val="20"/>
          <w:lang w:eastAsia="ja-JP"/>
        </w:rPr>
      </w:pPr>
      <w:proofErr w:type="spellStart"/>
      <w:r w:rsidRPr="00EB4B99">
        <w:rPr>
          <w:rFonts w:ascii="ArialMT" w:hAnsi="ArialMT" w:cs="ArialMT"/>
          <w:b/>
          <w:color w:val="0000FF"/>
          <w:sz w:val="20"/>
        </w:rPr>
        <w:t>AckTX</w:t>
      </w:r>
      <w:proofErr w:type="spellEnd"/>
      <w:r w:rsidRPr="00EB4B99">
        <w:rPr>
          <w:rFonts w:ascii="ArialMT" w:hAnsi="ArialMT" w:cs="ArialMT" w:hint="eastAsia"/>
          <w:b/>
          <w:color w:val="0000FF"/>
          <w:sz w:val="20"/>
          <w:lang w:eastAsia="ja-JP"/>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MpduLinkQuality</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Dsn</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Timestamp,</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SecurityLevel,</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KeyIdMode,</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KeySource,</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KeyIndex,</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RangingReceived</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RangingCounterStart</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RangingCounterStop</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RangingTrackingInterval</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RangingOffset</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RangingFom</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AngleOfArrivalAzimuth</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AngleOfArrivalElevation</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AngleOfArrivalSupported</w:t>
      </w:r>
      <w:proofErr w:type="spellEnd"/>
      <w:r>
        <w:rPr>
          <w:rFonts w:ascii="ArialMT" w:hAnsi="ArialMT" w:cs="ArialMT"/>
          <w:sz w:val="20"/>
        </w:rPr>
        <w:t>,</w:t>
      </w:r>
    </w:p>
    <w:p w:rsidR="00EB4B99" w:rsidRDefault="00EB4B99" w:rsidP="00EB4B99">
      <w:pPr>
        <w:autoSpaceDE w:val="0"/>
        <w:autoSpaceDN w:val="0"/>
        <w:adjustRightInd w:val="0"/>
        <w:ind w:left="2160"/>
        <w:rPr>
          <w:rFonts w:ascii="ArialMT" w:hAnsi="ArialMT" w:cs="ArialMT"/>
          <w:sz w:val="20"/>
        </w:rPr>
      </w:pPr>
      <w:proofErr w:type="spellStart"/>
      <w:r>
        <w:rPr>
          <w:rFonts w:ascii="ArialMT" w:hAnsi="ArialMT" w:cs="ArialMT"/>
          <w:sz w:val="20"/>
        </w:rPr>
        <w:t>Rssi</w:t>
      </w:r>
      <w:proofErr w:type="spellEnd"/>
      <w:r>
        <w:rPr>
          <w:rFonts w:ascii="ArialMT" w:hAnsi="ArialMT" w:cs="ArialMT"/>
          <w:sz w:val="20"/>
        </w:rPr>
        <w:t>,</w:t>
      </w:r>
    </w:p>
    <w:p w:rsidR="00EB4B99" w:rsidRDefault="00EB4B99" w:rsidP="00EB4B99">
      <w:pPr>
        <w:widowControl w:val="0"/>
        <w:spacing w:before="120"/>
        <w:ind w:left="2160"/>
        <w:rPr>
          <w:rFonts w:ascii="ArialMT" w:hAnsi="ArialMT" w:cs="ArialMT"/>
          <w:sz w:val="20"/>
          <w:lang w:eastAsia="ja-JP"/>
        </w:rPr>
      </w:pPr>
      <w:r>
        <w:rPr>
          <w:rFonts w:ascii="ArialMT" w:hAnsi="ArialMT" w:cs="ArialMT"/>
          <w:sz w:val="20"/>
        </w:rPr>
        <w:t>)</w:t>
      </w:r>
    </w:p>
    <w:p w:rsidR="00EB4B99" w:rsidRDefault="00EB4B99" w:rsidP="00EB4B99">
      <w:pPr>
        <w:widowControl w:val="0"/>
        <w:spacing w:before="120"/>
        <w:rPr>
          <w:rFonts w:ascii="ArialMT" w:hAnsi="ArialMT" w:cs="ArialMT"/>
          <w:sz w:val="20"/>
          <w:lang w:eastAsia="ja-JP"/>
        </w:rPr>
      </w:pPr>
    </w:p>
    <w:p w:rsidR="00EB4B99" w:rsidRPr="00EB4B99" w:rsidRDefault="00EB4B99" w:rsidP="00EB4B99">
      <w:pPr>
        <w:widowControl w:val="0"/>
        <w:spacing w:before="120"/>
        <w:rPr>
          <w:b/>
          <w:i/>
          <w:lang w:eastAsia="ja-JP"/>
        </w:rPr>
      </w:pPr>
      <w:r w:rsidRPr="00EB4B99">
        <w:rPr>
          <w:rFonts w:hint="eastAsia"/>
          <w:b/>
          <w:i/>
          <w:lang w:eastAsia="ja-JP"/>
        </w:rPr>
        <w:t>Inser</w:t>
      </w:r>
      <w:r w:rsidR="00850CD5">
        <w:rPr>
          <w:rFonts w:hint="eastAsia"/>
          <w:b/>
          <w:i/>
          <w:lang w:eastAsia="ja-JP"/>
        </w:rPr>
        <w:t>t the following entry in Table 12</w:t>
      </w:r>
      <w:r w:rsidRPr="00EB4B99">
        <w:rPr>
          <w:rFonts w:hint="eastAsia"/>
          <w:b/>
          <w:i/>
          <w:lang w:eastAsia="ja-JP"/>
        </w:rPr>
        <w:t xml:space="preserve">9 after the </w:t>
      </w:r>
      <w:proofErr w:type="spellStart"/>
      <w:r w:rsidRPr="00EB4B99">
        <w:rPr>
          <w:rFonts w:hint="eastAsia"/>
          <w:b/>
          <w:i/>
          <w:lang w:eastAsia="ja-JP"/>
        </w:rPr>
        <w:t>PayloadIeList</w:t>
      </w:r>
      <w:proofErr w:type="spellEnd"/>
      <w:r w:rsidRPr="00EB4B99">
        <w:rPr>
          <w:rFonts w:hint="eastAsia"/>
          <w:b/>
          <w:i/>
          <w:lang w:eastAsia="ja-JP"/>
        </w:rPr>
        <w:t xml:space="preserve"> entry:</w:t>
      </w:r>
    </w:p>
    <w:p w:rsidR="00EB4B99" w:rsidRPr="00EB4B99" w:rsidRDefault="00EB4B99" w:rsidP="00EB4B99">
      <w:pPr>
        <w:widowControl w:val="0"/>
        <w:spacing w:before="120"/>
        <w:rPr>
          <w:rFonts w:ascii="ArialMT" w:hAnsi="ArialMT" w:cs="ArialMT"/>
          <w:b/>
          <w:sz w:val="20"/>
          <w:lang w:eastAsia="ja-JP"/>
        </w:rPr>
      </w:pPr>
    </w:p>
    <w:tbl>
      <w:tblPr>
        <w:tblStyle w:val="TableGrid"/>
        <w:tblW w:w="0" w:type="auto"/>
        <w:tblLook w:val="04A0" w:firstRow="1" w:lastRow="0" w:firstColumn="1" w:lastColumn="0" w:noHBand="0" w:noVBand="1"/>
      </w:tblPr>
      <w:tblGrid>
        <w:gridCol w:w="883"/>
        <w:gridCol w:w="1016"/>
        <w:gridCol w:w="1753"/>
        <w:gridCol w:w="5924"/>
      </w:tblGrid>
      <w:tr w:rsidR="00EB4B99" w:rsidRPr="00EB4B99" w:rsidTr="00850CD5">
        <w:tc>
          <w:tcPr>
            <w:tcW w:w="0" w:type="auto"/>
          </w:tcPr>
          <w:p w:rsidR="00EB4B99" w:rsidRPr="00EB4B99" w:rsidRDefault="00EB4B99" w:rsidP="00EB4B99">
            <w:pPr>
              <w:widowControl w:val="0"/>
              <w:spacing w:before="120"/>
              <w:rPr>
                <w:b/>
                <w:lang w:eastAsia="ja-JP"/>
              </w:rPr>
            </w:pPr>
            <w:r w:rsidRPr="00EB4B99">
              <w:rPr>
                <w:rFonts w:hint="eastAsia"/>
                <w:b/>
                <w:lang w:eastAsia="ja-JP"/>
              </w:rPr>
              <w:t>Name</w:t>
            </w:r>
          </w:p>
        </w:tc>
        <w:tc>
          <w:tcPr>
            <w:tcW w:w="1016" w:type="dxa"/>
          </w:tcPr>
          <w:p w:rsidR="00EB4B99" w:rsidRPr="00EB4B99" w:rsidRDefault="00EB4B99" w:rsidP="00EB4B99">
            <w:pPr>
              <w:widowControl w:val="0"/>
              <w:spacing w:before="120"/>
              <w:rPr>
                <w:b/>
                <w:lang w:eastAsia="ja-JP"/>
              </w:rPr>
            </w:pPr>
            <w:r>
              <w:rPr>
                <w:rFonts w:hint="eastAsia"/>
                <w:b/>
                <w:lang w:eastAsia="ja-JP"/>
              </w:rPr>
              <w:t>Type</w:t>
            </w:r>
          </w:p>
        </w:tc>
        <w:tc>
          <w:tcPr>
            <w:tcW w:w="1753" w:type="dxa"/>
          </w:tcPr>
          <w:p w:rsidR="00EB4B99" w:rsidRPr="00EB4B99" w:rsidRDefault="00EB4B99" w:rsidP="00EB4B99">
            <w:pPr>
              <w:widowControl w:val="0"/>
              <w:spacing w:before="120"/>
              <w:rPr>
                <w:b/>
                <w:lang w:eastAsia="ja-JP"/>
              </w:rPr>
            </w:pPr>
            <w:r>
              <w:rPr>
                <w:rFonts w:hint="eastAsia"/>
                <w:b/>
                <w:lang w:eastAsia="ja-JP"/>
              </w:rPr>
              <w:t>Valid range</w:t>
            </w:r>
          </w:p>
        </w:tc>
        <w:tc>
          <w:tcPr>
            <w:tcW w:w="5924" w:type="dxa"/>
          </w:tcPr>
          <w:p w:rsidR="00EB4B99" w:rsidRPr="00EB4B99" w:rsidRDefault="00EB4B99" w:rsidP="00EB4B99">
            <w:pPr>
              <w:widowControl w:val="0"/>
              <w:spacing w:before="120"/>
              <w:rPr>
                <w:b/>
                <w:lang w:eastAsia="ja-JP"/>
              </w:rPr>
            </w:pPr>
            <w:r>
              <w:rPr>
                <w:b/>
                <w:lang w:eastAsia="ja-JP"/>
              </w:rPr>
              <w:t>D</w:t>
            </w:r>
            <w:r>
              <w:rPr>
                <w:rFonts w:hint="eastAsia"/>
                <w:b/>
                <w:lang w:eastAsia="ja-JP"/>
              </w:rPr>
              <w:t>escription</w:t>
            </w:r>
          </w:p>
        </w:tc>
      </w:tr>
      <w:tr w:rsidR="00EB4B99" w:rsidRPr="00EB4B99" w:rsidTr="00850CD5">
        <w:tc>
          <w:tcPr>
            <w:tcW w:w="0" w:type="auto"/>
          </w:tcPr>
          <w:p w:rsidR="00EB4B99" w:rsidRPr="00850CD5" w:rsidRDefault="00EB4B99" w:rsidP="00EB4B99">
            <w:pPr>
              <w:widowControl w:val="0"/>
              <w:spacing w:before="120"/>
              <w:rPr>
                <w:color w:val="0000FF"/>
                <w:lang w:eastAsia="ja-JP"/>
              </w:rPr>
            </w:pPr>
            <w:proofErr w:type="spellStart"/>
            <w:r w:rsidRPr="00850CD5">
              <w:rPr>
                <w:color w:val="0000FF"/>
                <w:lang w:eastAsia="ja-JP"/>
              </w:rPr>
              <w:t>AckTx</w:t>
            </w:r>
            <w:proofErr w:type="spellEnd"/>
          </w:p>
        </w:tc>
        <w:tc>
          <w:tcPr>
            <w:tcW w:w="1016" w:type="dxa"/>
          </w:tcPr>
          <w:p w:rsidR="00EB4B99" w:rsidRPr="00850CD5" w:rsidRDefault="00EB4B99" w:rsidP="00EB4B99">
            <w:pPr>
              <w:widowControl w:val="0"/>
              <w:spacing w:before="120"/>
              <w:rPr>
                <w:color w:val="0000FF"/>
                <w:lang w:eastAsia="ja-JP"/>
              </w:rPr>
            </w:pPr>
            <w:r w:rsidRPr="00850CD5">
              <w:rPr>
                <w:color w:val="0000FF"/>
                <w:lang w:eastAsia="ja-JP"/>
              </w:rPr>
              <w:t>Boolean</w:t>
            </w:r>
          </w:p>
        </w:tc>
        <w:tc>
          <w:tcPr>
            <w:tcW w:w="1753" w:type="dxa"/>
          </w:tcPr>
          <w:p w:rsidR="00EB4B99" w:rsidRPr="00850CD5" w:rsidRDefault="00EB4B99" w:rsidP="00EB4B99">
            <w:pPr>
              <w:widowControl w:val="0"/>
              <w:spacing w:before="120"/>
              <w:rPr>
                <w:color w:val="0000FF"/>
                <w:lang w:eastAsia="ja-JP"/>
              </w:rPr>
            </w:pPr>
            <w:r w:rsidRPr="00850CD5">
              <w:rPr>
                <w:color w:val="0000FF"/>
                <w:lang w:eastAsia="ja-JP"/>
              </w:rPr>
              <w:t>TRUE, FALSE</w:t>
            </w:r>
          </w:p>
        </w:tc>
        <w:tc>
          <w:tcPr>
            <w:tcW w:w="5924" w:type="dxa"/>
          </w:tcPr>
          <w:p w:rsidR="00EB4B99" w:rsidRPr="00850CD5" w:rsidRDefault="00EB4B99" w:rsidP="00EB4B99">
            <w:pPr>
              <w:widowControl w:val="0"/>
              <w:spacing w:before="120"/>
              <w:rPr>
                <w:color w:val="0000FF"/>
                <w:lang w:eastAsia="ja-JP"/>
              </w:rPr>
            </w:pPr>
            <w:r w:rsidRPr="00850CD5">
              <w:rPr>
                <w:color w:val="0000FF"/>
                <w:lang w:eastAsia="ja-JP"/>
              </w:rPr>
              <w:t xml:space="preserve">TRUE if acknowledged transmission </w:t>
            </w:r>
            <w:r w:rsidRPr="00850CD5">
              <w:rPr>
                <w:rFonts w:hint="eastAsia"/>
                <w:color w:val="0000FF"/>
                <w:lang w:eastAsia="ja-JP"/>
              </w:rPr>
              <w:t>wa</w:t>
            </w:r>
            <w:r w:rsidRPr="00850CD5">
              <w:rPr>
                <w:color w:val="0000FF"/>
                <w:lang w:eastAsia="ja-JP"/>
              </w:rPr>
              <w:t>s used,</w:t>
            </w:r>
            <w:r w:rsidRPr="00850CD5">
              <w:rPr>
                <w:rFonts w:hint="eastAsia"/>
                <w:color w:val="0000FF"/>
                <w:lang w:eastAsia="ja-JP"/>
              </w:rPr>
              <w:t xml:space="preserve"> </w:t>
            </w:r>
            <w:r w:rsidRPr="00850CD5">
              <w:rPr>
                <w:color w:val="0000FF"/>
                <w:lang w:eastAsia="ja-JP"/>
              </w:rPr>
              <w:t>FALSE otherwise.</w:t>
            </w:r>
          </w:p>
        </w:tc>
      </w:tr>
    </w:tbl>
    <w:p w:rsidR="00EB4B99" w:rsidRDefault="00EB4B99" w:rsidP="00EB4B99">
      <w:pPr>
        <w:widowControl w:val="0"/>
        <w:spacing w:before="120"/>
        <w:rPr>
          <w:rFonts w:ascii="ArialMT" w:hAnsi="ArialMT" w:cs="ArialMT"/>
          <w:b/>
          <w:i/>
          <w:sz w:val="20"/>
          <w:lang w:eastAsia="ja-JP"/>
        </w:rPr>
      </w:pPr>
    </w:p>
    <w:p w:rsidR="00EB4B99" w:rsidRPr="00EB4B99" w:rsidRDefault="00EB4B99" w:rsidP="00EB4B99">
      <w:pPr>
        <w:widowControl w:val="0"/>
        <w:spacing w:before="120"/>
        <w:rPr>
          <w:b/>
          <w:i/>
          <w:lang w:eastAsia="ja-JP"/>
        </w:rPr>
      </w:pPr>
    </w:p>
    <w:sectPr w:rsidR="00EB4B99" w:rsidRPr="00EB4B9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2E" w:rsidRDefault="00CE1B2E">
      <w:r>
        <w:separator/>
      </w:r>
    </w:p>
  </w:endnote>
  <w:endnote w:type="continuationSeparator" w:id="0">
    <w:p w:rsidR="00CE1B2E" w:rsidRDefault="00CE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3A" w:rsidRPr="0031653A" w:rsidRDefault="00BC5B9C" w:rsidP="0031653A">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31653A" w:rsidRPr="0031653A">
        <w:rPr>
          <w:noProof/>
        </w:rPr>
        <w:t>Verotiana</w:t>
      </w:r>
    </w:fldSimple>
    <w:r w:rsidR="0031653A" w:rsidRPr="0031653A">
      <w:rPr>
        <w:rFonts w:hint="eastAsia"/>
        <w:lang w:eastAsia="ja-JP"/>
      </w:rPr>
      <w:t xml:space="preserve"> Rabarijaona</w:t>
    </w:r>
    <w:r w:rsidR="0031653A" w:rsidRPr="0031653A">
      <w:t xml:space="preserve">, </w:t>
    </w:r>
    <w:r w:rsidR="0031653A" w:rsidRPr="0031653A">
      <w:rPr>
        <w:rFonts w:hint="eastAsia"/>
        <w:lang w:eastAsia="ja-JP"/>
      </w:rPr>
      <w:t xml:space="preserve">Fumihide Kojima </w:t>
    </w:r>
  </w:p>
  <w:p w:rsidR="0031653A" w:rsidRPr="0031653A" w:rsidRDefault="0031653A" w:rsidP="0031653A">
    <w:pPr>
      <w:widowControl w:val="0"/>
      <w:pBdr>
        <w:top w:val="single" w:sz="6" w:space="0" w:color="auto"/>
      </w:pBdr>
      <w:tabs>
        <w:tab w:val="center" w:pos="4680"/>
        <w:tab w:val="right" w:pos="9360"/>
      </w:tabs>
      <w:jc w:val="right"/>
      <w:rPr>
        <w:lang w:eastAsia="ja-JP"/>
      </w:rPr>
    </w:pPr>
    <w:r w:rsidRPr="0031653A">
      <w:rPr>
        <w:rFonts w:hint="eastAsia"/>
        <w:lang w:eastAsia="ja-JP"/>
      </w:rPr>
      <w:t>[NICT], Hiroshi Harada [Kyoto University]</w:t>
    </w:r>
  </w:p>
  <w:p w:rsidR="004B15A6" w:rsidRDefault="004B15A6">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A6" w:rsidRPr="00EB4B99" w:rsidRDefault="00BC5B9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EB4B99">
      <w:rPr>
        <w:lang w:val="fr-FR"/>
      </w:rPr>
      <w:t>Submission</w:t>
    </w:r>
    <w:proofErr w:type="spellEnd"/>
    <w:r w:rsidRPr="00EB4B99">
      <w:rPr>
        <w:lang w:val="fr-FR"/>
      </w:rPr>
      <w:tab/>
      <w:t xml:space="preserve">Page </w:t>
    </w:r>
    <w:r>
      <w:pgNum/>
    </w:r>
    <w:r w:rsidRPr="00EB4B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2E" w:rsidRDefault="00CE1B2E">
      <w:r>
        <w:separator/>
      </w:r>
    </w:p>
  </w:footnote>
  <w:footnote w:type="continuationSeparator" w:id="0">
    <w:p w:rsidR="00CE1B2E" w:rsidRDefault="00CE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A6" w:rsidRDefault="00BC5B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9785E">
      <w:rPr>
        <w:b/>
        <w:noProof/>
        <w:sz w:val="28"/>
        <w:lang w:eastAsia="ja-JP"/>
      </w:rPr>
      <w:t>June</w:t>
    </w:r>
    <w:r w:rsidR="00A9785E">
      <w:rPr>
        <w:b/>
        <w:noProof/>
        <w:sz w:val="28"/>
      </w:rPr>
      <w:t>, 2015</w:t>
    </w:r>
    <w:r>
      <w:rPr>
        <w:b/>
        <w:sz w:val="28"/>
      </w:rPr>
      <w:fldChar w:fldCharType="end"/>
    </w:r>
    <w:r>
      <w:rPr>
        <w:b/>
        <w:sz w:val="28"/>
      </w:rPr>
      <w:tab/>
      <w:t xml:space="preserve"> IEEE P802.15-</w:t>
    </w:r>
    <w:r w:rsidR="00A9785E" w:rsidRPr="00A9785E">
      <w:rPr>
        <w:b/>
        <w:sz w:val="28"/>
      </w:rPr>
      <w:t>0489-00-0010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A6" w:rsidRDefault="00BC5B9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99"/>
    <w:rsid w:val="0031653A"/>
    <w:rsid w:val="004B15A6"/>
    <w:rsid w:val="006A5E2F"/>
    <w:rsid w:val="00850CD5"/>
    <w:rsid w:val="00913D76"/>
    <w:rsid w:val="00A9785E"/>
    <w:rsid w:val="00BC5B9C"/>
    <w:rsid w:val="00BF71B5"/>
    <w:rsid w:val="00CE1B2E"/>
    <w:rsid w:val="00D05442"/>
    <w:rsid w:val="00E376E3"/>
    <w:rsid w:val="00EB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EB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EB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2015-05-18T06:20:00Z</dcterms:created>
  <dcterms:modified xsi:type="dcterms:W3CDTF">2015-06-26T00:56:00Z</dcterms:modified>
  <cp:category>&lt;doc#&gt;</cp:category>
</cp:coreProperties>
</file>