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420166" w:rsidRDefault="00211AF4" w:rsidP="00F121FE">
            <w:pPr>
              <w:pStyle w:val="covertext"/>
            </w:pPr>
            <w:r>
              <w:rPr>
                <w:rFonts w:hint="eastAsia"/>
                <w:b/>
                <w:sz w:val="28"/>
                <w:lang w:eastAsia="ja-JP"/>
              </w:rPr>
              <w:t>Proposed c</w:t>
            </w:r>
            <w:r w:rsidR="00A43417">
              <w:rPr>
                <w:rFonts w:hint="eastAsia"/>
                <w:b/>
                <w:sz w:val="28"/>
                <w:lang w:eastAsia="ja-JP"/>
              </w:rPr>
              <w:t>omment resolution for CID #</w:t>
            </w:r>
            <w:r w:rsidR="003F1C53">
              <w:rPr>
                <w:rFonts w:hint="eastAsia"/>
                <w:b/>
                <w:sz w:val="28"/>
                <w:lang w:eastAsia="ja-JP"/>
              </w:rPr>
              <w:t>257, R201, R225, R212, R19, R20, R116, R156</w:t>
            </w:r>
            <w:r w:rsidR="00A43417">
              <w:rPr>
                <w:rFonts w:hint="eastAsia"/>
                <w:b/>
                <w:sz w:val="28"/>
                <w:lang w:eastAsia="ja-JP"/>
              </w:rPr>
              <w:t xml:space="preserve"> of  LB104</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FA60F2" w:rsidP="00F121FE">
            <w:pPr>
              <w:pStyle w:val="covertext"/>
              <w:rPr>
                <w:lang w:eastAsia="ja-JP"/>
              </w:rPr>
            </w:pPr>
            <w:r>
              <w:rPr>
                <w:rFonts w:hint="eastAsia"/>
                <w:lang w:eastAsia="ja-JP"/>
              </w:rPr>
              <w:t>2</w:t>
            </w:r>
            <w:bookmarkStart w:id="0" w:name="_GoBack"/>
            <w:bookmarkEnd w:id="0"/>
            <w:r w:rsidR="003F1C53">
              <w:rPr>
                <w:rFonts w:hint="eastAsia"/>
                <w:lang w:eastAsia="ja-JP"/>
              </w:rPr>
              <w:t xml:space="preserve"> June</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A43417" w:rsidRDefault="00A43417" w:rsidP="00F121FE">
            <w:pPr>
              <w:pStyle w:val="covertext"/>
            </w:pPr>
            <w:r>
              <w:t>*[Verotiana Rabarijaona, Fumihide Kojima], †[Hiroshi Harada]</w:t>
            </w:r>
          </w:p>
          <w:p w:rsidR="00A43417" w:rsidRDefault="00A43417" w:rsidP="00F121FE">
            <w:pPr>
              <w:pStyle w:val="covertext"/>
            </w:pPr>
            <w:r>
              <w:t>*[NICT], †[Kyoto University]</w:t>
            </w:r>
          </w:p>
          <w:p w:rsidR="00A43417" w:rsidRDefault="00A43417" w:rsidP="00F121FE">
            <w:pPr>
              <w:pStyle w:val="covertext"/>
              <w:spacing w:before="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[+81-46-847-5075]</w:t>
            </w:r>
          </w:p>
          <w:p w:rsidR="00A43417" w:rsidRDefault="00A43417" w:rsidP="00F121FE">
            <w:pPr>
              <w:pStyle w:val="covertext"/>
              <w:tabs>
                <w:tab w:val="left" w:pos="1152"/>
              </w:tabs>
            </w:pPr>
            <w:r>
              <w:t>Fax:</w:t>
            </w:r>
            <w:r>
              <w:tab/>
              <w:t>[+81-46-847-5089]</w:t>
            </w:r>
          </w:p>
          <w:p w:rsidR="00A43417" w:rsidRDefault="00A43417" w:rsidP="00F121FE">
            <w:pPr>
              <w:pStyle w:val="covertext"/>
              <w:tabs>
                <w:tab w:val="left" w:pos="1152"/>
              </w:tabs>
              <w:spacing w:before="0"/>
              <w:rPr>
                <w:sz w:val="18"/>
              </w:rPr>
            </w:pPr>
            <w:r>
              <w:t>E-mail:</w:t>
            </w:r>
            <w:r>
              <w:tab/>
              <w:t>[rverotiana@nict.go.jp]</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43417" w:rsidP="00F121FE">
            <w:pPr>
              <w:pStyle w:val="covertext"/>
            </w:pPr>
            <w:r w:rsidRPr="007F7D63">
              <w:t>802.15.10 Consolidated Comment Entry Form</w:t>
            </w:r>
            <w:r>
              <w:rPr>
                <w:rFonts w:hint="eastAsia"/>
                <w:lang w:eastAsia="ja-JP"/>
              </w:rPr>
              <w:t>, CID #</w:t>
            </w:r>
            <w:r w:rsidR="003F1C53">
              <w:rPr>
                <w:rFonts w:hint="eastAsia"/>
                <w:lang w:eastAsia="ja-JP"/>
              </w:rPr>
              <w:t>257, R201, R225, R212, R19, R20, R116, R156</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43417" w:rsidP="00F121FE">
            <w:pPr>
              <w:spacing w:before="120" w:after="120"/>
            </w:pPr>
            <w:r w:rsidRPr="00A43417">
              <w:rPr>
                <w:rFonts w:hint="eastAsia"/>
                <w:lang w:eastAsia="ja-JP"/>
              </w:rPr>
              <w:t>Provides a</w:t>
            </w:r>
            <w:r>
              <w:rPr>
                <w:rFonts w:hint="eastAsia"/>
                <w:lang w:eastAsia="ja-JP"/>
              </w:rPr>
              <w:t xml:space="preserve"> proposed resolution to CID #</w:t>
            </w:r>
            <w:r w:rsidR="003F1C53">
              <w:rPr>
                <w:rFonts w:hint="eastAsia"/>
                <w:lang w:eastAsia="ja-JP"/>
              </w:rPr>
              <w:t>257, R201, R225, R212, R19, R20, R116, R156</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43417" w:rsidP="00F121FE">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w:t>
            </w:r>
            <w:r w:rsidR="003F1C53">
              <w:rPr>
                <w:rFonts w:hint="eastAsia"/>
                <w:lang w:eastAsia="ja-JP"/>
              </w:rPr>
              <w:t>257, R201, R225, R212, R19, R20, R116, R156</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FA60F2" w:rsidRDefault="006F252F" w:rsidP="00F121FE">
      <w:pPr>
        <w:widowControl w:val="0"/>
        <w:spacing w:before="120" w:after="120" w:line="276" w:lineRule="auto"/>
        <w:rPr>
          <w:b/>
          <w:sz w:val="28"/>
          <w:u w:val="single"/>
          <w:lang w:eastAsia="ja-JP"/>
        </w:rPr>
      </w:pPr>
      <w:r w:rsidRPr="00FA60F2">
        <w:rPr>
          <w:b/>
          <w:sz w:val="28"/>
        </w:rPr>
        <w:br w:type="page"/>
      </w:r>
    </w:p>
    <w:p w:rsidR="00DE1CB8" w:rsidRPr="00F121FE" w:rsidRDefault="00DE1CB8" w:rsidP="00F121FE">
      <w:pPr>
        <w:pStyle w:val="ListParagraph"/>
        <w:widowControl w:val="0"/>
        <w:numPr>
          <w:ilvl w:val="0"/>
          <w:numId w:val="3"/>
        </w:numPr>
        <w:spacing w:before="120" w:after="240" w:line="276" w:lineRule="auto"/>
        <w:ind w:left="714" w:hanging="357"/>
        <w:rPr>
          <w:b/>
          <w:sz w:val="28"/>
          <w:u w:val="single"/>
          <w:lang w:eastAsia="ja-JP"/>
        </w:rPr>
      </w:pPr>
      <w:r w:rsidRPr="00F121FE">
        <w:rPr>
          <w:rFonts w:hint="eastAsia"/>
          <w:b/>
          <w:sz w:val="28"/>
          <w:u w:val="single"/>
          <w:lang w:eastAsia="ja-JP"/>
        </w:rPr>
        <w:lastRenderedPageBreak/>
        <w:t>Kinds of SN</w:t>
      </w:r>
      <w:r w:rsidRPr="00F121FE">
        <w:rPr>
          <w:b/>
          <w:sz w:val="28"/>
          <w:u w:val="single"/>
          <w:lang w:eastAsia="ja-JP"/>
        </w:rPr>
        <w:t> </w:t>
      </w:r>
      <w:r w:rsidRPr="00F121FE">
        <w:rPr>
          <w:rFonts w:hint="eastAsia"/>
          <w:b/>
          <w:sz w:val="28"/>
          <w:u w:val="single"/>
          <w:lang w:eastAsia="ja-JP"/>
        </w:rPr>
        <w:t xml:space="preserve">: CID R19, R20, R116, </w:t>
      </w:r>
      <w:r w:rsidR="004F08BB">
        <w:rPr>
          <w:rFonts w:hint="eastAsia"/>
          <w:b/>
          <w:sz w:val="28"/>
          <w:u w:val="single"/>
          <w:lang w:eastAsia="ja-JP"/>
        </w:rPr>
        <w:t xml:space="preserve">R156, R201, </w:t>
      </w:r>
      <w:r w:rsidRPr="00F121FE">
        <w:rPr>
          <w:rFonts w:hint="eastAsia"/>
          <w:b/>
          <w:sz w:val="28"/>
          <w:u w:val="single"/>
          <w:lang w:eastAsia="ja-JP"/>
        </w:rPr>
        <w:t>R212, R225</w:t>
      </w:r>
    </w:p>
    <w:tbl>
      <w:tblPr>
        <w:tblStyle w:val="TableGrid"/>
        <w:tblW w:w="0" w:type="auto"/>
        <w:tblLook w:val="04A0" w:firstRow="1" w:lastRow="0" w:firstColumn="1" w:lastColumn="0" w:noHBand="0" w:noVBand="1"/>
      </w:tblPr>
      <w:tblGrid>
        <w:gridCol w:w="737"/>
        <w:gridCol w:w="1443"/>
        <w:gridCol w:w="710"/>
        <w:gridCol w:w="910"/>
        <w:gridCol w:w="683"/>
        <w:gridCol w:w="3151"/>
        <w:gridCol w:w="1942"/>
      </w:tblGrid>
      <w:tr w:rsidR="00DE1CB8" w:rsidRPr="00A43417" w:rsidTr="008B794D">
        <w:trPr>
          <w:trHeight w:val="491"/>
        </w:trPr>
        <w:tc>
          <w:tcPr>
            <w:tcW w:w="737" w:type="dxa"/>
          </w:tcPr>
          <w:p w:rsidR="00DE1CB8" w:rsidRDefault="00DE1CB8" w:rsidP="00F121FE">
            <w:pPr>
              <w:widowControl w:val="0"/>
              <w:spacing w:before="120" w:after="120" w:line="276" w:lineRule="auto"/>
              <w:rPr>
                <w:b/>
                <w:lang w:eastAsia="ja-JP"/>
              </w:rPr>
            </w:pPr>
            <w:r>
              <w:rPr>
                <w:rFonts w:hint="eastAsia"/>
                <w:b/>
                <w:lang w:eastAsia="ja-JP"/>
              </w:rPr>
              <w:t>CID</w:t>
            </w:r>
          </w:p>
        </w:tc>
        <w:tc>
          <w:tcPr>
            <w:tcW w:w="1443" w:type="dxa"/>
          </w:tcPr>
          <w:p w:rsidR="00DE1CB8" w:rsidRPr="00A43417" w:rsidRDefault="00DE1CB8" w:rsidP="00F121FE">
            <w:pPr>
              <w:widowControl w:val="0"/>
              <w:spacing w:before="120" w:after="120" w:line="276" w:lineRule="auto"/>
              <w:rPr>
                <w:b/>
                <w:lang w:eastAsia="ja-JP"/>
              </w:rPr>
            </w:pPr>
            <w:r>
              <w:rPr>
                <w:rFonts w:hint="eastAsia"/>
                <w:b/>
                <w:lang w:eastAsia="ja-JP"/>
              </w:rPr>
              <w:t>Commenter</w:t>
            </w:r>
          </w:p>
        </w:tc>
        <w:tc>
          <w:tcPr>
            <w:tcW w:w="710" w:type="dxa"/>
            <w:noWrap/>
          </w:tcPr>
          <w:p w:rsidR="00DE1CB8" w:rsidRPr="00A43417" w:rsidRDefault="00DE1CB8" w:rsidP="00F121FE">
            <w:pPr>
              <w:widowControl w:val="0"/>
              <w:spacing w:before="120" w:after="120" w:line="276" w:lineRule="auto"/>
              <w:rPr>
                <w:b/>
                <w:lang w:eastAsia="ja-JP"/>
              </w:rPr>
            </w:pPr>
            <w:r w:rsidRPr="00A43417">
              <w:rPr>
                <w:rFonts w:hint="eastAsia"/>
                <w:b/>
                <w:lang w:eastAsia="ja-JP"/>
              </w:rPr>
              <w:t>Page</w:t>
            </w:r>
          </w:p>
        </w:tc>
        <w:tc>
          <w:tcPr>
            <w:tcW w:w="910" w:type="dxa"/>
            <w:noWrap/>
          </w:tcPr>
          <w:p w:rsidR="00DE1CB8" w:rsidRPr="00A43417" w:rsidRDefault="00DE1CB8" w:rsidP="00F121FE">
            <w:pPr>
              <w:widowControl w:val="0"/>
              <w:spacing w:before="120" w:after="120" w:line="276" w:lineRule="auto"/>
              <w:rPr>
                <w:b/>
                <w:lang w:eastAsia="ja-JP"/>
              </w:rPr>
            </w:pPr>
            <w:r w:rsidRPr="00A43417">
              <w:rPr>
                <w:rFonts w:hint="eastAsia"/>
                <w:b/>
                <w:lang w:eastAsia="ja-JP"/>
              </w:rPr>
              <w:t>Clause</w:t>
            </w:r>
          </w:p>
        </w:tc>
        <w:tc>
          <w:tcPr>
            <w:tcW w:w="683" w:type="dxa"/>
            <w:noWrap/>
          </w:tcPr>
          <w:p w:rsidR="00DE1CB8" w:rsidRPr="00A43417" w:rsidRDefault="00DE1CB8" w:rsidP="00F121FE">
            <w:pPr>
              <w:widowControl w:val="0"/>
              <w:spacing w:before="120" w:after="120" w:line="276" w:lineRule="auto"/>
              <w:rPr>
                <w:b/>
                <w:lang w:eastAsia="ja-JP"/>
              </w:rPr>
            </w:pPr>
            <w:r w:rsidRPr="00A43417">
              <w:rPr>
                <w:rFonts w:hint="eastAsia"/>
                <w:b/>
                <w:lang w:eastAsia="ja-JP"/>
              </w:rPr>
              <w:t>Line</w:t>
            </w:r>
          </w:p>
        </w:tc>
        <w:tc>
          <w:tcPr>
            <w:tcW w:w="3151" w:type="dxa"/>
          </w:tcPr>
          <w:p w:rsidR="00DE1CB8" w:rsidRPr="00A43417" w:rsidRDefault="00DE1CB8" w:rsidP="00F121FE">
            <w:pPr>
              <w:widowControl w:val="0"/>
              <w:spacing w:before="120" w:after="120" w:line="276" w:lineRule="auto"/>
              <w:rPr>
                <w:b/>
                <w:lang w:eastAsia="ja-JP"/>
              </w:rPr>
            </w:pPr>
            <w:r w:rsidRPr="00A43417">
              <w:rPr>
                <w:rFonts w:hint="eastAsia"/>
                <w:b/>
                <w:lang w:eastAsia="ja-JP"/>
              </w:rPr>
              <w:t>Comment</w:t>
            </w:r>
          </w:p>
        </w:tc>
        <w:tc>
          <w:tcPr>
            <w:tcW w:w="1942" w:type="dxa"/>
          </w:tcPr>
          <w:p w:rsidR="00DE1CB8" w:rsidRPr="00A43417" w:rsidRDefault="00DE1CB8" w:rsidP="00F121FE">
            <w:pPr>
              <w:widowControl w:val="0"/>
              <w:spacing w:before="120" w:after="120" w:line="276" w:lineRule="auto"/>
              <w:rPr>
                <w:b/>
                <w:lang w:eastAsia="ja-JP"/>
              </w:rPr>
            </w:pPr>
            <w:r w:rsidRPr="00A43417">
              <w:rPr>
                <w:rFonts w:hint="eastAsia"/>
                <w:b/>
                <w:lang w:eastAsia="ja-JP"/>
              </w:rPr>
              <w:t>Proposed change</w:t>
            </w:r>
          </w:p>
        </w:tc>
      </w:tr>
      <w:tr w:rsidR="00DE1CB8" w:rsidRPr="00A43417" w:rsidTr="008B794D">
        <w:trPr>
          <w:trHeight w:val="901"/>
        </w:trPr>
        <w:tc>
          <w:tcPr>
            <w:tcW w:w="737" w:type="dxa"/>
          </w:tcPr>
          <w:p w:rsidR="00DE1CB8" w:rsidRDefault="00DE1CB8" w:rsidP="00F121FE">
            <w:pPr>
              <w:spacing w:after="120" w:line="276" w:lineRule="auto"/>
              <w:rPr>
                <w:lang w:eastAsia="ja-JP"/>
              </w:rPr>
            </w:pPr>
            <w:r>
              <w:rPr>
                <w:rFonts w:hint="eastAsia"/>
                <w:lang w:eastAsia="ja-JP"/>
              </w:rPr>
              <w:t>R19</w:t>
            </w:r>
          </w:p>
        </w:tc>
        <w:tc>
          <w:tcPr>
            <w:tcW w:w="1443" w:type="dxa"/>
          </w:tcPr>
          <w:p w:rsidR="00DE1CB8" w:rsidRDefault="00DE1CB8" w:rsidP="00F121FE">
            <w:pPr>
              <w:spacing w:after="120" w:line="276" w:lineRule="auto"/>
              <w:rPr>
                <w:lang w:eastAsia="ja-JP"/>
              </w:rPr>
            </w:pPr>
            <w:r>
              <w:rPr>
                <w:rFonts w:hint="eastAsia"/>
                <w:lang w:eastAsia="ja-JP"/>
              </w:rPr>
              <w:t>Charlie Perkins</w:t>
            </w:r>
          </w:p>
        </w:tc>
        <w:tc>
          <w:tcPr>
            <w:tcW w:w="710" w:type="dxa"/>
            <w:noWrap/>
          </w:tcPr>
          <w:p w:rsidR="00DE1CB8" w:rsidRPr="00A51645" w:rsidRDefault="00DE1CB8" w:rsidP="00F121FE">
            <w:pPr>
              <w:spacing w:after="120" w:line="276" w:lineRule="auto"/>
            </w:pPr>
            <w:r w:rsidRPr="00A51645">
              <w:t>4</w:t>
            </w:r>
          </w:p>
        </w:tc>
        <w:tc>
          <w:tcPr>
            <w:tcW w:w="910" w:type="dxa"/>
            <w:noWrap/>
          </w:tcPr>
          <w:p w:rsidR="00DE1CB8" w:rsidRPr="00A51645" w:rsidRDefault="00DE1CB8" w:rsidP="00F121FE">
            <w:pPr>
              <w:spacing w:after="120" w:line="276" w:lineRule="auto"/>
            </w:pPr>
            <w:r w:rsidRPr="00A51645">
              <w:t>3.2</w:t>
            </w:r>
          </w:p>
        </w:tc>
        <w:tc>
          <w:tcPr>
            <w:tcW w:w="683" w:type="dxa"/>
            <w:noWrap/>
          </w:tcPr>
          <w:p w:rsidR="00DE1CB8" w:rsidRPr="00A51645" w:rsidRDefault="00DE1CB8" w:rsidP="00F121FE">
            <w:pPr>
              <w:spacing w:after="120" w:line="276" w:lineRule="auto"/>
            </w:pPr>
            <w:r w:rsidRPr="00A51645">
              <w:t>47</w:t>
            </w:r>
          </w:p>
        </w:tc>
        <w:tc>
          <w:tcPr>
            <w:tcW w:w="3151" w:type="dxa"/>
          </w:tcPr>
          <w:p w:rsidR="00DE1CB8" w:rsidRPr="00A51645" w:rsidRDefault="00DE1CB8" w:rsidP="00F121FE">
            <w:pPr>
              <w:spacing w:after="120" w:line="276" w:lineRule="auto"/>
            </w:pPr>
            <w:r w:rsidRPr="00A51645">
              <w:t>SN</w:t>
            </w:r>
          </w:p>
        </w:tc>
        <w:tc>
          <w:tcPr>
            <w:tcW w:w="1942" w:type="dxa"/>
          </w:tcPr>
          <w:p w:rsidR="00DE1CB8" w:rsidRDefault="00DE1CB8" w:rsidP="00F121FE">
            <w:pPr>
              <w:spacing w:after="120" w:line="276" w:lineRule="auto"/>
            </w:pPr>
            <w:r w:rsidRPr="00A51645">
              <w:t>Clarify relation to DSN, MSN, L2RSN, etc.</w:t>
            </w:r>
          </w:p>
        </w:tc>
      </w:tr>
      <w:tr w:rsidR="00DE1CB8" w:rsidRPr="00A43417" w:rsidTr="008B794D">
        <w:trPr>
          <w:trHeight w:val="843"/>
        </w:trPr>
        <w:tc>
          <w:tcPr>
            <w:tcW w:w="737" w:type="dxa"/>
          </w:tcPr>
          <w:p w:rsidR="00DE1CB8" w:rsidRDefault="00DE1CB8" w:rsidP="00F121FE">
            <w:pPr>
              <w:spacing w:after="120" w:line="276" w:lineRule="auto"/>
              <w:rPr>
                <w:lang w:eastAsia="ja-JP"/>
              </w:rPr>
            </w:pPr>
            <w:r>
              <w:rPr>
                <w:rFonts w:hint="eastAsia"/>
                <w:lang w:eastAsia="ja-JP"/>
              </w:rPr>
              <w:t>R20</w:t>
            </w:r>
          </w:p>
        </w:tc>
        <w:tc>
          <w:tcPr>
            <w:tcW w:w="1443" w:type="dxa"/>
          </w:tcPr>
          <w:p w:rsidR="00DE1CB8" w:rsidRDefault="00DE1CB8" w:rsidP="00F121FE">
            <w:pPr>
              <w:spacing w:after="120" w:line="276" w:lineRule="auto"/>
              <w:rPr>
                <w:lang w:eastAsia="ja-JP"/>
              </w:rPr>
            </w:pPr>
            <w:r>
              <w:rPr>
                <w:rFonts w:hint="eastAsia"/>
                <w:lang w:eastAsia="ja-JP"/>
              </w:rPr>
              <w:t>Charlie Perkins</w:t>
            </w:r>
          </w:p>
        </w:tc>
        <w:tc>
          <w:tcPr>
            <w:tcW w:w="710" w:type="dxa"/>
            <w:noWrap/>
          </w:tcPr>
          <w:p w:rsidR="00DE1CB8" w:rsidRPr="0071364C" w:rsidRDefault="00DE1CB8" w:rsidP="00F121FE">
            <w:pPr>
              <w:spacing w:after="120" w:line="276" w:lineRule="auto"/>
            </w:pPr>
            <w:r w:rsidRPr="0071364C">
              <w:t>4</w:t>
            </w:r>
          </w:p>
        </w:tc>
        <w:tc>
          <w:tcPr>
            <w:tcW w:w="910" w:type="dxa"/>
            <w:noWrap/>
          </w:tcPr>
          <w:p w:rsidR="00DE1CB8" w:rsidRPr="0071364C" w:rsidRDefault="00DE1CB8" w:rsidP="00F121FE">
            <w:pPr>
              <w:spacing w:after="120" w:line="276" w:lineRule="auto"/>
            </w:pPr>
            <w:r w:rsidRPr="0071364C">
              <w:t>3.2</w:t>
            </w:r>
          </w:p>
        </w:tc>
        <w:tc>
          <w:tcPr>
            <w:tcW w:w="683" w:type="dxa"/>
            <w:noWrap/>
          </w:tcPr>
          <w:p w:rsidR="00DE1CB8" w:rsidRPr="0071364C" w:rsidRDefault="00DE1CB8" w:rsidP="00F121FE">
            <w:pPr>
              <w:spacing w:after="120" w:line="276" w:lineRule="auto"/>
            </w:pPr>
            <w:r w:rsidRPr="0071364C">
              <w:t>47</w:t>
            </w:r>
          </w:p>
        </w:tc>
        <w:tc>
          <w:tcPr>
            <w:tcW w:w="3151" w:type="dxa"/>
          </w:tcPr>
          <w:p w:rsidR="00DE1CB8" w:rsidRPr="0071364C" w:rsidRDefault="00DE1CB8" w:rsidP="00F121FE">
            <w:pPr>
              <w:spacing w:after="120" w:line="276" w:lineRule="auto"/>
            </w:pPr>
            <w:r w:rsidRPr="0071364C">
              <w:t>SN</w:t>
            </w:r>
          </w:p>
        </w:tc>
        <w:tc>
          <w:tcPr>
            <w:tcW w:w="1942" w:type="dxa"/>
          </w:tcPr>
          <w:p w:rsidR="00DE1CB8" w:rsidRDefault="00DE1CB8" w:rsidP="00F121FE">
            <w:pPr>
              <w:spacing w:after="120" w:line="276" w:lineRule="auto"/>
            </w:pPr>
            <w:r w:rsidRPr="0071364C">
              <w:t>Is it per node? Per tree? Per MAC address?</w:t>
            </w:r>
          </w:p>
        </w:tc>
      </w:tr>
      <w:tr w:rsidR="00DE1CB8" w:rsidRPr="00A43417" w:rsidTr="008B794D">
        <w:trPr>
          <w:trHeight w:val="1124"/>
        </w:trPr>
        <w:tc>
          <w:tcPr>
            <w:tcW w:w="737" w:type="dxa"/>
          </w:tcPr>
          <w:p w:rsidR="00DE1CB8" w:rsidRDefault="00DE1CB8" w:rsidP="00F121FE">
            <w:pPr>
              <w:spacing w:after="120" w:line="276" w:lineRule="auto"/>
              <w:rPr>
                <w:lang w:eastAsia="ja-JP"/>
              </w:rPr>
            </w:pPr>
            <w:r>
              <w:rPr>
                <w:rFonts w:hint="eastAsia"/>
                <w:lang w:eastAsia="ja-JP"/>
              </w:rPr>
              <w:t>R116</w:t>
            </w:r>
          </w:p>
        </w:tc>
        <w:tc>
          <w:tcPr>
            <w:tcW w:w="1443" w:type="dxa"/>
          </w:tcPr>
          <w:p w:rsidR="00DE1CB8" w:rsidRDefault="00DE1CB8" w:rsidP="00F121FE">
            <w:pPr>
              <w:spacing w:after="120" w:line="276" w:lineRule="auto"/>
              <w:rPr>
                <w:lang w:eastAsia="ja-JP"/>
              </w:rPr>
            </w:pPr>
            <w:r>
              <w:rPr>
                <w:rFonts w:hint="eastAsia"/>
                <w:lang w:eastAsia="ja-JP"/>
              </w:rPr>
              <w:t>Charlie Perkins</w:t>
            </w:r>
          </w:p>
        </w:tc>
        <w:tc>
          <w:tcPr>
            <w:tcW w:w="710" w:type="dxa"/>
            <w:noWrap/>
          </w:tcPr>
          <w:p w:rsidR="00DE1CB8" w:rsidRPr="00392268" w:rsidRDefault="00DE1CB8" w:rsidP="00F121FE">
            <w:pPr>
              <w:spacing w:after="120" w:line="276" w:lineRule="auto"/>
            </w:pPr>
            <w:r w:rsidRPr="00392268">
              <w:t>40</w:t>
            </w:r>
          </w:p>
        </w:tc>
        <w:tc>
          <w:tcPr>
            <w:tcW w:w="910" w:type="dxa"/>
            <w:noWrap/>
          </w:tcPr>
          <w:p w:rsidR="00DE1CB8" w:rsidRPr="00392268" w:rsidRDefault="00DE1CB8" w:rsidP="00F121FE">
            <w:pPr>
              <w:spacing w:after="120" w:line="276" w:lineRule="auto"/>
            </w:pPr>
            <w:r w:rsidRPr="00392268">
              <w:t>5.4.2</w:t>
            </w:r>
          </w:p>
        </w:tc>
        <w:tc>
          <w:tcPr>
            <w:tcW w:w="683" w:type="dxa"/>
            <w:noWrap/>
          </w:tcPr>
          <w:p w:rsidR="00DE1CB8" w:rsidRPr="00392268" w:rsidRDefault="00DE1CB8" w:rsidP="00F121FE">
            <w:pPr>
              <w:spacing w:after="120" w:line="276" w:lineRule="auto"/>
            </w:pPr>
            <w:r w:rsidRPr="00392268">
              <w:t>54</w:t>
            </w:r>
          </w:p>
        </w:tc>
        <w:tc>
          <w:tcPr>
            <w:tcW w:w="3151" w:type="dxa"/>
          </w:tcPr>
          <w:p w:rsidR="00DE1CB8" w:rsidRPr="00392268" w:rsidRDefault="00DE1CB8" w:rsidP="00F121FE">
            <w:pPr>
              <w:spacing w:after="120" w:line="276" w:lineRule="auto"/>
            </w:pPr>
            <w:r w:rsidRPr="00392268">
              <w:t>Is L2R SN per mesh root?</w:t>
            </w:r>
          </w:p>
        </w:tc>
        <w:tc>
          <w:tcPr>
            <w:tcW w:w="1942" w:type="dxa"/>
          </w:tcPr>
          <w:p w:rsidR="00DE1CB8" w:rsidRDefault="00DE1CB8" w:rsidP="00F121FE">
            <w:pPr>
              <w:spacing w:after="120" w:line="276" w:lineRule="auto"/>
            </w:pPr>
            <w:r w:rsidRPr="00392268">
              <w:t>Should be specified somewhere if not already</w:t>
            </w:r>
          </w:p>
        </w:tc>
      </w:tr>
      <w:tr w:rsidR="00F121FE" w:rsidRPr="00A43417" w:rsidTr="008B794D">
        <w:trPr>
          <w:trHeight w:val="559"/>
        </w:trPr>
        <w:tc>
          <w:tcPr>
            <w:tcW w:w="737" w:type="dxa"/>
          </w:tcPr>
          <w:p w:rsidR="00F121FE" w:rsidRDefault="00F121FE" w:rsidP="00F121FE">
            <w:pPr>
              <w:spacing w:after="120" w:line="276" w:lineRule="auto"/>
              <w:rPr>
                <w:lang w:eastAsia="ja-JP"/>
              </w:rPr>
            </w:pPr>
            <w:r>
              <w:rPr>
                <w:rFonts w:hint="eastAsia"/>
                <w:lang w:eastAsia="ja-JP"/>
              </w:rPr>
              <w:t>R156</w:t>
            </w:r>
          </w:p>
        </w:tc>
        <w:tc>
          <w:tcPr>
            <w:tcW w:w="1443" w:type="dxa"/>
          </w:tcPr>
          <w:p w:rsidR="00F121FE" w:rsidRDefault="00F121FE" w:rsidP="00F121FE">
            <w:pPr>
              <w:spacing w:after="120" w:line="276" w:lineRule="auto"/>
              <w:rPr>
                <w:lang w:eastAsia="ja-JP"/>
              </w:rPr>
            </w:pPr>
            <w:r>
              <w:rPr>
                <w:rFonts w:hint="eastAsia"/>
                <w:lang w:eastAsia="ja-JP"/>
              </w:rPr>
              <w:t>Charlie Perkins</w:t>
            </w:r>
          </w:p>
        </w:tc>
        <w:tc>
          <w:tcPr>
            <w:tcW w:w="710" w:type="dxa"/>
            <w:noWrap/>
          </w:tcPr>
          <w:p w:rsidR="00F121FE" w:rsidRPr="006F6F08" w:rsidRDefault="00F121FE" w:rsidP="00F121FE">
            <w:pPr>
              <w:spacing w:after="120" w:line="276" w:lineRule="auto"/>
            </w:pPr>
            <w:r w:rsidRPr="006F6F08">
              <w:t>52</w:t>
            </w:r>
          </w:p>
        </w:tc>
        <w:tc>
          <w:tcPr>
            <w:tcW w:w="910" w:type="dxa"/>
            <w:noWrap/>
          </w:tcPr>
          <w:p w:rsidR="00F121FE" w:rsidRPr="006F6F08" w:rsidRDefault="00F121FE" w:rsidP="00F121FE">
            <w:pPr>
              <w:spacing w:after="120" w:line="276" w:lineRule="auto"/>
            </w:pPr>
            <w:r w:rsidRPr="006F6F08">
              <w:t>6.2.1</w:t>
            </w:r>
          </w:p>
        </w:tc>
        <w:tc>
          <w:tcPr>
            <w:tcW w:w="683" w:type="dxa"/>
            <w:noWrap/>
          </w:tcPr>
          <w:p w:rsidR="00F121FE" w:rsidRPr="006F6F08" w:rsidRDefault="00F121FE" w:rsidP="00F121FE">
            <w:pPr>
              <w:spacing w:after="120" w:line="276" w:lineRule="auto"/>
            </w:pPr>
            <w:r w:rsidRPr="006F6F08">
              <w:t>46</w:t>
            </w:r>
          </w:p>
        </w:tc>
        <w:tc>
          <w:tcPr>
            <w:tcW w:w="3151" w:type="dxa"/>
          </w:tcPr>
          <w:p w:rsidR="00F121FE" w:rsidRPr="006F6F08" w:rsidRDefault="00F121FE" w:rsidP="00F121FE">
            <w:pPr>
              <w:spacing w:after="120" w:line="276" w:lineRule="auto"/>
            </w:pPr>
            <w:r w:rsidRPr="006F6F08">
              <w:t>There is no SN field in the IE</w:t>
            </w:r>
          </w:p>
        </w:tc>
        <w:tc>
          <w:tcPr>
            <w:tcW w:w="1942" w:type="dxa"/>
          </w:tcPr>
          <w:p w:rsidR="00F121FE" w:rsidRDefault="00F121FE" w:rsidP="00F121FE">
            <w:pPr>
              <w:spacing w:after="120" w:line="276" w:lineRule="auto"/>
            </w:pPr>
            <w:r w:rsidRPr="006F6F08">
              <w:t>Insert if needed</w:t>
            </w:r>
          </w:p>
        </w:tc>
      </w:tr>
      <w:tr w:rsidR="00DE1CB8" w:rsidRPr="00A43417" w:rsidTr="008B794D">
        <w:trPr>
          <w:trHeight w:val="553"/>
        </w:trPr>
        <w:tc>
          <w:tcPr>
            <w:tcW w:w="737" w:type="dxa"/>
          </w:tcPr>
          <w:p w:rsidR="00DE1CB8" w:rsidRDefault="00DE1CB8" w:rsidP="00F121FE">
            <w:pPr>
              <w:spacing w:after="120" w:line="276" w:lineRule="auto"/>
              <w:rPr>
                <w:lang w:eastAsia="ja-JP"/>
              </w:rPr>
            </w:pPr>
            <w:r>
              <w:rPr>
                <w:rFonts w:hint="eastAsia"/>
                <w:lang w:eastAsia="ja-JP"/>
              </w:rPr>
              <w:t>R201</w:t>
            </w:r>
          </w:p>
        </w:tc>
        <w:tc>
          <w:tcPr>
            <w:tcW w:w="1443" w:type="dxa"/>
          </w:tcPr>
          <w:p w:rsidR="00DE1CB8" w:rsidRDefault="00DE1CB8" w:rsidP="00F121FE">
            <w:pPr>
              <w:spacing w:after="120" w:line="276" w:lineRule="auto"/>
              <w:rPr>
                <w:lang w:eastAsia="ja-JP"/>
              </w:rPr>
            </w:pPr>
            <w:r>
              <w:rPr>
                <w:rFonts w:hint="eastAsia"/>
                <w:lang w:eastAsia="ja-JP"/>
              </w:rPr>
              <w:t>Charlie Perkins</w:t>
            </w:r>
          </w:p>
        </w:tc>
        <w:tc>
          <w:tcPr>
            <w:tcW w:w="710" w:type="dxa"/>
            <w:noWrap/>
          </w:tcPr>
          <w:p w:rsidR="00DE1CB8" w:rsidRPr="00270269" w:rsidRDefault="00DE1CB8" w:rsidP="00F121FE">
            <w:pPr>
              <w:spacing w:after="120" w:line="276" w:lineRule="auto"/>
            </w:pPr>
            <w:r w:rsidRPr="00270269">
              <w:t>59</w:t>
            </w:r>
          </w:p>
        </w:tc>
        <w:tc>
          <w:tcPr>
            <w:tcW w:w="910" w:type="dxa"/>
            <w:noWrap/>
          </w:tcPr>
          <w:p w:rsidR="00DE1CB8" w:rsidRPr="00270269" w:rsidRDefault="00DE1CB8" w:rsidP="00F121FE">
            <w:pPr>
              <w:spacing w:after="120" w:line="276" w:lineRule="auto"/>
            </w:pPr>
            <w:r w:rsidRPr="00270269">
              <w:t>6.2.3</w:t>
            </w:r>
          </w:p>
        </w:tc>
        <w:tc>
          <w:tcPr>
            <w:tcW w:w="683" w:type="dxa"/>
            <w:noWrap/>
          </w:tcPr>
          <w:p w:rsidR="00DE1CB8" w:rsidRPr="00270269" w:rsidRDefault="00DE1CB8" w:rsidP="00F121FE">
            <w:pPr>
              <w:spacing w:after="120" w:line="276" w:lineRule="auto"/>
            </w:pPr>
            <w:r w:rsidRPr="00270269">
              <w:t>52</w:t>
            </w:r>
          </w:p>
        </w:tc>
        <w:tc>
          <w:tcPr>
            <w:tcW w:w="3151" w:type="dxa"/>
          </w:tcPr>
          <w:p w:rsidR="00DE1CB8" w:rsidRPr="00270269" w:rsidRDefault="00DE1CB8" w:rsidP="00F121FE">
            <w:pPr>
              <w:spacing w:after="120" w:line="276" w:lineRule="auto"/>
            </w:pPr>
            <w:r w:rsidRPr="00270269">
              <w:t>Which sequence number is this?</w:t>
            </w:r>
          </w:p>
        </w:tc>
        <w:tc>
          <w:tcPr>
            <w:tcW w:w="1942" w:type="dxa"/>
          </w:tcPr>
          <w:p w:rsidR="00DE1CB8" w:rsidRDefault="00DE1CB8" w:rsidP="00F121FE">
            <w:pPr>
              <w:spacing w:after="120" w:line="276" w:lineRule="auto"/>
            </w:pPr>
            <w:r w:rsidRPr="00270269">
              <w:t>Insert clarifying text</w:t>
            </w:r>
          </w:p>
        </w:tc>
      </w:tr>
      <w:tr w:rsidR="00DE1CB8" w:rsidRPr="00A43417" w:rsidTr="008B794D">
        <w:trPr>
          <w:trHeight w:val="1128"/>
        </w:trPr>
        <w:tc>
          <w:tcPr>
            <w:tcW w:w="737" w:type="dxa"/>
          </w:tcPr>
          <w:p w:rsidR="00DE1CB8" w:rsidRDefault="00DE1CB8" w:rsidP="00F121FE">
            <w:pPr>
              <w:spacing w:after="120" w:line="276" w:lineRule="auto"/>
              <w:rPr>
                <w:lang w:eastAsia="ja-JP"/>
              </w:rPr>
            </w:pPr>
            <w:r>
              <w:rPr>
                <w:rFonts w:hint="eastAsia"/>
                <w:lang w:eastAsia="ja-JP"/>
              </w:rPr>
              <w:t>R212</w:t>
            </w:r>
          </w:p>
        </w:tc>
        <w:tc>
          <w:tcPr>
            <w:tcW w:w="1443" w:type="dxa"/>
          </w:tcPr>
          <w:p w:rsidR="00DE1CB8" w:rsidRDefault="00DE1CB8" w:rsidP="00F121FE">
            <w:pPr>
              <w:spacing w:after="120" w:line="276" w:lineRule="auto"/>
              <w:rPr>
                <w:lang w:eastAsia="ja-JP"/>
              </w:rPr>
            </w:pPr>
            <w:r>
              <w:rPr>
                <w:rFonts w:hint="eastAsia"/>
                <w:lang w:eastAsia="ja-JP"/>
              </w:rPr>
              <w:t>Charlie Perkins</w:t>
            </w:r>
          </w:p>
        </w:tc>
        <w:tc>
          <w:tcPr>
            <w:tcW w:w="710" w:type="dxa"/>
            <w:noWrap/>
          </w:tcPr>
          <w:p w:rsidR="00DE1CB8" w:rsidRPr="004732C7" w:rsidRDefault="00DE1CB8" w:rsidP="00F121FE">
            <w:pPr>
              <w:spacing w:after="120" w:line="276" w:lineRule="auto"/>
            </w:pPr>
            <w:r w:rsidRPr="004732C7">
              <w:t>63</w:t>
            </w:r>
          </w:p>
        </w:tc>
        <w:tc>
          <w:tcPr>
            <w:tcW w:w="910" w:type="dxa"/>
            <w:noWrap/>
          </w:tcPr>
          <w:p w:rsidR="00DE1CB8" w:rsidRPr="004732C7" w:rsidRDefault="00DE1CB8" w:rsidP="00F121FE">
            <w:pPr>
              <w:spacing w:after="120" w:line="276" w:lineRule="auto"/>
            </w:pPr>
            <w:r w:rsidRPr="004732C7">
              <w:t>6.2.6.5</w:t>
            </w:r>
          </w:p>
        </w:tc>
        <w:tc>
          <w:tcPr>
            <w:tcW w:w="683" w:type="dxa"/>
            <w:noWrap/>
          </w:tcPr>
          <w:p w:rsidR="00DE1CB8" w:rsidRPr="004732C7" w:rsidRDefault="00DE1CB8" w:rsidP="00F121FE">
            <w:pPr>
              <w:spacing w:after="120" w:line="276" w:lineRule="auto"/>
            </w:pPr>
            <w:r w:rsidRPr="004732C7">
              <w:t>8</w:t>
            </w:r>
          </w:p>
        </w:tc>
        <w:tc>
          <w:tcPr>
            <w:tcW w:w="3151" w:type="dxa"/>
          </w:tcPr>
          <w:p w:rsidR="00DE1CB8" w:rsidRPr="004732C7" w:rsidRDefault="00DE1CB8" w:rsidP="00F121FE">
            <w:pPr>
              <w:spacing w:after="120" w:line="276" w:lineRule="auto"/>
            </w:pPr>
            <w:r w:rsidRPr="004732C7">
              <w:t>"the sequence identifier of the RA IE"</w:t>
            </w:r>
          </w:p>
        </w:tc>
        <w:tc>
          <w:tcPr>
            <w:tcW w:w="1942" w:type="dxa"/>
          </w:tcPr>
          <w:p w:rsidR="00DE1CB8" w:rsidRDefault="00DE1CB8" w:rsidP="00F121FE">
            <w:pPr>
              <w:spacing w:after="120" w:line="276" w:lineRule="auto"/>
            </w:pPr>
            <w:r w:rsidRPr="004732C7">
              <w:t>Is this the same as the L2R Sequence Number?</w:t>
            </w:r>
          </w:p>
        </w:tc>
      </w:tr>
      <w:tr w:rsidR="00DE1CB8" w:rsidRPr="00A43417" w:rsidTr="008B794D">
        <w:trPr>
          <w:trHeight w:val="791"/>
        </w:trPr>
        <w:tc>
          <w:tcPr>
            <w:tcW w:w="737" w:type="dxa"/>
          </w:tcPr>
          <w:p w:rsidR="00DE1CB8" w:rsidRDefault="00DE1CB8" w:rsidP="00F121FE">
            <w:pPr>
              <w:spacing w:after="120" w:line="276" w:lineRule="auto"/>
              <w:rPr>
                <w:lang w:eastAsia="ja-JP"/>
              </w:rPr>
            </w:pPr>
            <w:r>
              <w:rPr>
                <w:rFonts w:hint="eastAsia"/>
                <w:lang w:eastAsia="ja-JP"/>
              </w:rPr>
              <w:t>R225</w:t>
            </w:r>
          </w:p>
        </w:tc>
        <w:tc>
          <w:tcPr>
            <w:tcW w:w="1443" w:type="dxa"/>
          </w:tcPr>
          <w:p w:rsidR="00DE1CB8" w:rsidRDefault="00DE1CB8" w:rsidP="00F121FE">
            <w:pPr>
              <w:spacing w:after="120" w:line="276" w:lineRule="auto"/>
              <w:rPr>
                <w:lang w:eastAsia="ja-JP"/>
              </w:rPr>
            </w:pPr>
            <w:r>
              <w:rPr>
                <w:rFonts w:hint="eastAsia"/>
                <w:lang w:eastAsia="ja-JP"/>
              </w:rPr>
              <w:t>Charlie Perkins</w:t>
            </w:r>
          </w:p>
        </w:tc>
        <w:tc>
          <w:tcPr>
            <w:tcW w:w="710" w:type="dxa"/>
            <w:noWrap/>
          </w:tcPr>
          <w:p w:rsidR="00DE1CB8" w:rsidRPr="00F77D3B" w:rsidRDefault="00DE1CB8" w:rsidP="00F121FE">
            <w:pPr>
              <w:spacing w:after="120" w:line="276" w:lineRule="auto"/>
            </w:pPr>
            <w:r w:rsidRPr="00F77D3B">
              <w:t>68</w:t>
            </w:r>
          </w:p>
        </w:tc>
        <w:tc>
          <w:tcPr>
            <w:tcW w:w="910" w:type="dxa"/>
            <w:noWrap/>
          </w:tcPr>
          <w:p w:rsidR="00DE1CB8" w:rsidRPr="00F77D3B" w:rsidRDefault="00DE1CB8" w:rsidP="00F121FE">
            <w:pPr>
              <w:spacing w:after="120" w:line="276" w:lineRule="auto"/>
            </w:pPr>
            <w:r w:rsidRPr="00F77D3B">
              <w:t>6.2.10</w:t>
            </w:r>
          </w:p>
        </w:tc>
        <w:tc>
          <w:tcPr>
            <w:tcW w:w="683" w:type="dxa"/>
            <w:noWrap/>
          </w:tcPr>
          <w:p w:rsidR="00DE1CB8" w:rsidRPr="00F77D3B" w:rsidRDefault="00DE1CB8" w:rsidP="00F121FE">
            <w:pPr>
              <w:spacing w:after="120" w:line="276" w:lineRule="auto"/>
            </w:pPr>
            <w:r w:rsidRPr="00F77D3B">
              <w:t>7</w:t>
            </w:r>
          </w:p>
        </w:tc>
        <w:tc>
          <w:tcPr>
            <w:tcW w:w="3151" w:type="dxa"/>
          </w:tcPr>
          <w:p w:rsidR="00DE1CB8" w:rsidRPr="00F77D3B" w:rsidRDefault="00DE1CB8" w:rsidP="00F121FE">
            <w:pPr>
              <w:spacing w:after="120" w:line="276" w:lineRule="auto"/>
            </w:pPr>
            <w:r w:rsidRPr="00F77D3B">
              <w:t>"L2R Sequence Number" is explicit; are all other SNs like this?</w:t>
            </w:r>
          </w:p>
        </w:tc>
        <w:tc>
          <w:tcPr>
            <w:tcW w:w="1942" w:type="dxa"/>
          </w:tcPr>
          <w:p w:rsidR="00DE1CB8" w:rsidRDefault="00DE1CB8" w:rsidP="00F121FE">
            <w:pPr>
              <w:spacing w:after="120" w:line="276" w:lineRule="auto"/>
            </w:pPr>
            <w:r w:rsidRPr="00F77D3B">
              <w:t>Insert clarifying text</w:t>
            </w:r>
          </w:p>
        </w:tc>
      </w:tr>
    </w:tbl>
    <w:p w:rsidR="00DE1CB8" w:rsidRDefault="00DE1CB8" w:rsidP="00F121FE">
      <w:pPr>
        <w:widowControl w:val="0"/>
        <w:spacing w:before="120" w:after="120" w:line="276" w:lineRule="auto"/>
        <w:rPr>
          <w:b/>
          <w:sz w:val="28"/>
          <w:u w:val="single"/>
          <w:lang w:eastAsia="ja-JP"/>
        </w:rPr>
      </w:pPr>
    </w:p>
    <w:p w:rsidR="00F121FE" w:rsidRPr="00A43417" w:rsidRDefault="00F121FE" w:rsidP="00F121FE">
      <w:pPr>
        <w:widowControl w:val="0"/>
        <w:spacing w:before="120" w:after="120" w:line="276" w:lineRule="auto"/>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F121FE" w:rsidRDefault="00F121FE" w:rsidP="00F121FE">
      <w:pPr>
        <w:pStyle w:val="ListParagraph"/>
        <w:widowControl w:val="0"/>
        <w:numPr>
          <w:ilvl w:val="0"/>
          <w:numId w:val="5"/>
        </w:numPr>
        <w:spacing w:before="120" w:after="120" w:line="276" w:lineRule="auto"/>
        <w:rPr>
          <w:lang w:eastAsia="ja-JP"/>
        </w:rPr>
      </w:pPr>
      <w:r>
        <w:rPr>
          <w:rFonts w:hint="eastAsia"/>
          <w:lang w:eastAsia="ja-JP"/>
        </w:rPr>
        <w:t xml:space="preserve">There should be a MSN (Mesh SN) for the TC IE per mesh tree, set by the mesh root. </w:t>
      </w:r>
    </w:p>
    <w:p w:rsidR="00F121FE" w:rsidRDefault="00F121FE" w:rsidP="00F121FE">
      <w:pPr>
        <w:pStyle w:val="ListParagraph"/>
        <w:widowControl w:val="0"/>
        <w:numPr>
          <w:ilvl w:val="0"/>
          <w:numId w:val="5"/>
        </w:numPr>
        <w:spacing w:before="120" w:after="120" w:line="276" w:lineRule="auto"/>
        <w:rPr>
          <w:lang w:eastAsia="ja-JP"/>
        </w:rPr>
      </w:pPr>
      <w:r>
        <w:rPr>
          <w:rFonts w:hint="eastAsia"/>
          <w:lang w:eastAsia="ja-JP"/>
        </w:rPr>
        <w:t>The L2R-D does not require a SN since it is sent only once at the time of discovery.</w:t>
      </w:r>
    </w:p>
    <w:p w:rsidR="00F121FE" w:rsidRDefault="00F121FE" w:rsidP="00F121FE">
      <w:pPr>
        <w:pStyle w:val="ListParagraph"/>
        <w:widowControl w:val="0"/>
        <w:numPr>
          <w:ilvl w:val="0"/>
          <w:numId w:val="5"/>
        </w:numPr>
        <w:spacing w:before="120" w:after="120" w:line="276" w:lineRule="auto"/>
        <w:rPr>
          <w:lang w:eastAsia="ja-JP"/>
        </w:rPr>
      </w:pPr>
      <w:r>
        <w:rPr>
          <w:rFonts w:hint="eastAsia"/>
          <w:lang w:eastAsia="ja-JP"/>
        </w:rPr>
        <w:t>And:</w:t>
      </w:r>
    </w:p>
    <w:p w:rsidR="00F121FE" w:rsidRDefault="00F121FE" w:rsidP="00F121FE">
      <w:pPr>
        <w:pStyle w:val="ListParagraph"/>
        <w:widowControl w:val="0"/>
        <w:numPr>
          <w:ilvl w:val="0"/>
          <w:numId w:val="4"/>
        </w:numPr>
        <w:spacing w:before="120" w:after="120" w:line="276" w:lineRule="auto"/>
        <w:rPr>
          <w:lang w:eastAsia="ja-JP"/>
        </w:rPr>
      </w:pPr>
      <w:r>
        <w:rPr>
          <w:rFonts w:hint="eastAsia"/>
          <w:lang w:eastAsia="ja-JP"/>
        </w:rPr>
        <w:t xml:space="preserve">Option 1: A L2R SN for all other L2R IEs per device. If multiple nested IE are present in the same frame (E.g.: L2R routing IE and </w:t>
      </w:r>
      <w:r w:rsidR="004F08BB">
        <w:rPr>
          <w:rFonts w:hint="eastAsia"/>
          <w:lang w:eastAsia="ja-JP"/>
        </w:rPr>
        <w:t xml:space="preserve">DAgg IE), they should use the </w:t>
      </w:r>
      <w:r w:rsidR="004F08BB">
        <w:rPr>
          <w:rFonts w:hint="eastAsia"/>
          <w:lang w:eastAsia="ja-JP"/>
        </w:rPr>
        <w:lastRenderedPageBreak/>
        <w:t xml:space="preserve">same SN. </w:t>
      </w:r>
    </w:p>
    <w:p w:rsidR="004F08BB" w:rsidRDefault="004F08BB" w:rsidP="004F08BB">
      <w:pPr>
        <w:pStyle w:val="ListParagraph"/>
        <w:widowControl w:val="0"/>
        <w:numPr>
          <w:ilvl w:val="0"/>
          <w:numId w:val="4"/>
        </w:numPr>
        <w:snapToGrid w:val="0"/>
        <w:spacing w:before="120" w:after="240" w:line="276" w:lineRule="auto"/>
        <w:ind w:left="1077" w:hanging="357"/>
        <w:rPr>
          <w:lang w:eastAsia="ja-JP"/>
        </w:rPr>
      </w:pPr>
      <w:r>
        <w:rPr>
          <w:rFonts w:hint="eastAsia"/>
          <w:lang w:eastAsia="ja-JP"/>
        </w:rPr>
        <w:t>Option 2: A SN for each L</w:t>
      </w:r>
      <w:r>
        <w:rPr>
          <w:lang w:eastAsia="ja-JP"/>
        </w:rPr>
        <w:t xml:space="preserve">2R per device. </w:t>
      </w:r>
      <w:r>
        <w:rPr>
          <w:rFonts w:hint="eastAsia"/>
          <w:lang w:eastAsia="ja-JP"/>
        </w:rPr>
        <w:t>I.e. RA IE/SRA IE SN, Data SN, DAgg SN, etc.</w:t>
      </w:r>
    </w:p>
    <w:p w:rsidR="002E4D9D" w:rsidRDefault="002E4D9D" w:rsidP="002E4D9D">
      <w:pPr>
        <w:widowControl w:val="0"/>
        <w:snapToGrid w:val="0"/>
        <w:spacing w:before="120" w:after="240" w:line="276" w:lineRule="auto"/>
        <w:rPr>
          <w:lang w:eastAsia="ja-JP"/>
        </w:rPr>
      </w:pPr>
      <w:r>
        <w:rPr>
          <w:rFonts w:hint="eastAsia"/>
          <w:lang w:eastAsia="ja-JP"/>
        </w:rPr>
        <w:t>FYI: In [15.4], there is the BSN for beacons and a DSN for data, commands and ACKs.</w:t>
      </w:r>
    </w:p>
    <w:p w:rsidR="004F08BB" w:rsidRPr="00F121FE" w:rsidRDefault="004F08BB" w:rsidP="004F08BB">
      <w:pPr>
        <w:pStyle w:val="ListParagraph"/>
        <w:widowControl w:val="0"/>
        <w:snapToGrid w:val="0"/>
        <w:spacing w:before="120" w:after="240" w:line="276" w:lineRule="auto"/>
        <w:ind w:left="1077"/>
        <w:rPr>
          <w:lang w:eastAsia="ja-JP"/>
        </w:rPr>
      </w:pPr>
    </w:p>
    <w:p w:rsidR="00DE1CB8" w:rsidRPr="00F121FE" w:rsidRDefault="00DE1CB8" w:rsidP="004F08BB">
      <w:pPr>
        <w:pStyle w:val="ListParagraph"/>
        <w:widowControl w:val="0"/>
        <w:numPr>
          <w:ilvl w:val="0"/>
          <w:numId w:val="3"/>
        </w:numPr>
        <w:spacing w:before="120" w:after="120" w:line="276" w:lineRule="auto"/>
        <w:ind w:left="714" w:hanging="357"/>
        <w:rPr>
          <w:b/>
          <w:sz w:val="28"/>
          <w:u w:val="single"/>
          <w:lang w:eastAsia="ja-JP"/>
        </w:rPr>
      </w:pPr>
      <w:r w:rsidRPr="00F121FE">
        <w:rPr>
          <w:rFonts w:hint="eastAsia"/>
          <w:b/>
          <w:sz w:val="28"/>
          <w:u w:val="single"/>
          <w:lang w:eastAsia="ja-JP"/>
        </w:rPr>
        <w:t xml:space="preserve">SN </w:t>
      </w:r>
      <w:proofErr w:type="spellStart"/>
      <w:r w:rsidRPr="00F121FE">
        <w:rPr>
          <w:rFonts w:hint="eastAsia"/>
          <w:b/>
          <w:sz w:val="28"/>
          <w:u w:val="single"/>
          <w:lang w:eastAsia="ja-JP"/>
        </w:rPr>
        <w:t>incrementation</w:t>
      </w:r>
      <w:proofErr w:type="spellEnd"/>
      <w:r w:rsidRPr="00F121FE">
        <w:rPr>
          <w:rFonts w:hint="eastAsia"/>
          <w:b/>
          <w:sz w:val="28"/>
          <w:u w:val="single"/>
          <w:lang w:eastAsia="ja-JP"/>
        </w:rPr>
        <w:t xml:space="preserve"> definition</w:t>
      </w:r>
      <w:r w:rsidRPr="00F121FE">
        <w:rPr>
          <w:b/>
          <w:sz w:val="28"/>
          <w:u w:val="single"/>
          <w:lang w:eastAsia="ja-JP"/>
        </w:rPr>
        <w:t> :</w:t>
      </w:r>
      <w:r w:rsidRPr="00F121FE">
        <w:rPr>
          <w:rFonts w:hint="eastAsia"/>
          <w:b/>
          <w:sz w:val="28"/>
          <w:u w:val="single"/>
          <w:lang w:eastAsia="ja-JP"/>
        </w:rPr>
        <w:t xml:space="preserve"> CID 257</w:t>
      </w:r>
    </w:p>
    <w:p w:rsidR="00A43417" w:rsidRPr="00F121FE" w:rsidRDefault="00A43417" w:rsidP="00F121FE">
      <w:pPr>
        <w:widowControl w:val="0"/>
        <w:spacing w:before="120" w:after="120" w:line="276" w:lineRule="auto"/>
        <w:rPr>
          <w:u w:val="single"/>
          <w:lang w:eastAsia="ja-JP"/>
        </w:rPr>
      </w:pPr>
    </w:p>
    <w:tbl>
      <w:tblPr>
        <w:tblStyle w:val="TableGrid"/>
        <w:tblW w:w="0" w:type="auto"/>
        <w:tblLook w:val="04A0" w:firstRow="1" w:lastRow="0" w:firstColumn="1" w:lastColumn="0" w:noHBand="0" w:noVBand="1"/>
      </w:tblPr>
      <w:tblGrid>
        <w:gridCol w:w="737"/>
        <w:gridCol w:w="1443"/>
        <w:gridCol w:w="710"/>
        <w:gridCol w:w="910"/>
        <w:gridCol w:w="683"/>
        <w:gridCol w:w="3151"/>
        <w:gridCol w:w="1942"/>
      </w:tblGrid>
      <w:tr w:rsidR="003F1C53" w:rsidRPr="00A43417" w:rsidTr="003F1C53">
        <w:trPr>
          <w:trHeight w:val="491"/>
        </w:trPr>
        <w:tc>
          <w:tcPr>
            <w:tcW w:w="737" w:type="dxa"/>
          </w:tcPr>
          <w:p w:rsidR="003F1C53" w:rsidRDefault="003F1C53" w:rsidP="00F121FE">
            <w:pPr>
              <w:widowControl w:val="0"/>
              <w:spacing w:before="120" w:after="120" w:line="276" w:lineRule="auto"/>
              <w:rPr>
                <w:b/>
                <w:lang w:eastAsia="ja-JP"/>
              </w:rPr>
            </w:pPr>
            <w:r>
              <w:rPr>
                <w:rFonts w:hint="eastAsia"/>
                <w:b/>
                <w:lang w:eastAsia="ja-JP"/>
              </w:rPr>
              <w:t>CID</w:t>
            </w:r>
          </w:p>
        </w:tc>
        <w:tc>
          <w:tcPr>
            <w:tcW w:w="1443" w:type="dxa"/>
          </w:tcPr>
          <w:p w:rsidR="003F1C53" w:rsidRPr="00A43417" w:rsidRDefault="003F1C53" w:rsidP="00F121FE">
            <w:pPr>
              <w:widowControl w:val="0"/>
              <w:spacing w:before="120" w:after="120" w:line="276" w:lineRule="auto"/>
              <w:rPr>
                <w:b/>
                <w:lang w:eastAsia="ja-JP"/>
              </w:rPr>
            </w:pPr>
            <w:r>
              <w:rPr>
                <w:rFonts w:hint="eastAsia"/>
                <w:b/>
                <w:lang w:eastAsia="ja-JP"/>
              </w:rPr>
              <w:t>Commenter</w:t>
            </w:r>
          </w:p>
        </w:tc>
        <w:tc>
          <w:tcPr>
            <w:tcW w:w="710" w:type="dxa"/>
            <w:noWrap/>
          </w:tcPr>
          <w:p w:rsidR="003F1C53" w:rsidRPr="00A43417" w:rsidRDefault="003F1C53" w:rsidP="00F121FE">
            <w:pPr>
              <w:widowControl w:val="0"/>
              <w:spacing w:before="120" w:after="120" w:line="276" w:lineRule="auto"/>
              <w:rPr>
                <w:b/>
                <w:lang w:eastAsia="ja-JP"/>
              </w:rPr>
            </w:pPr>
            <w:r w:rsidRPr="00A43417">
              <w:rPr>
                <w:rFonts w:hint="eastAsia"/>
                <w:b/>
                <w:lang w:eastAsia="ja-JP"/>
              </w:rPr>
              <w:t>Page</w:t>
            </w:r>
          </w:p>
        </w:tc>
        <w:tc>
          <w:tcPr>
            <w:tcW w:w="910" w:type="dxa"/>
            <w:noWrap/>
          </w:tcPr>
          <w:p w:rsidR="003F1C53" w:rsidRPr="00A43417" w:rsidRDefault="003F1C53" w:rsidP="00F121FE">
            <w:pPr>
              <w:widowControl w:val="0"/>
              <w:spacing w:before="120" w:after="120" w:line="276" w:lineRule="auto"/>
              <w:rPr>
                <w:b/>
                <w:lang w:eastAsia="ja-JP"/>
              </w:rPr>
            </w:pPr>
            <w:r w:rsidRPr="00A43417">
              <w:rPr>
                <w:rFonts w:hint="eastAsia"/>
                <w:b/>
                <w:lang w:eastAsia="ja-JP"/>
              </w:rPr>
              <w:t>Clause</w:t>
            </w:r>
          </w:p>
        </w:tc>
        <w:tc>
          <w:tcPr>
            <w:tcW w:w="683" w:type="dxa"/>
            <w:noWrap/>
          </w:tcPr>
          <w:p w:rsidR="003F1C53" w:rsidRPr="00A43417" w:rsidRDefault="003F1C53" w:rsidP="00F121FE">
            <w:pPr>
              <w:widowControl w:val="0"/>
              <w:spacing w:before="120" w:after="120" w:line="276" w:lineRule="auto"/>
              <w:rPr>
                <w:b/>
                <w:lang w:eastAsia="ja-JP"/>
              </w:rPr>
            </w:pPr>
            <w:r w:rsidRPr="00A43417">
              <w:rPr>
                <w:rFonts w:hint="eastAsia"/>
                <w:b/>
                <w:lang w:eastAsia="ja-JP"/>
              </w:rPr>
              <w:t>Line</w:t>
            </w:r>
          </w:p>
        </w:tc>
        <w:tc>
          <w:tcPr>
            <w:tcW w:w="3151" w:type="dxa"/>
          </w:tcPr>
          <w:p w:rsidR="003F1C53" w:rsidRPr="00A43417" w:rsidRDefault="003F1C53" w:rsidP="00F121FE">
            <w:pPr>
              <w:widowControl w:val="0"/>
              <w:spacing w:before="120" w:after="120" w:line="276" w:lineRule="auto"/>
              <w:rPr>
                <w:b/>
                <w:lang w:eastAsia="ja-JP"/>
              </w:rPr>
            </w:pPr>
            <w:r w:rsidRPr="00A43417">
              <w:rPr>
                <w:rFonts w:hint="eastAsia"/>
                <w:b/>
                <w:lang w:eastAsia="ja-JP"/>
              </w:rPr>
              <w:t>Comment</w:t>
            </w:r>
          </w:p>
        </w:tc>
        <w:tc>
          <w:tcPr>
            <w:tcW w:w="1942" w:type="dxa"/>
          </w:tcPr>
          <w:p w:rsidR="003F1C53" w:rsidRPr="00A43417" w:rsidRDefault="003F1C53" w:rsidP="00F121FE">
            <w:pPr>
              <w:widowControl w:val="0"/>
              <w:spacing w:before="120" w:after="120" w:line="276" w:lineRule="auto"/>
              <w:rPr>
                <w:b/>
                <w:lang w:eastAsia="ja-JP"/>
              </w:rPr>
            </w:pPr>
            <w:r w:rsidRPr="00A43417">
              <w:rPr>
                <w:rFonts w:hint="eastAsia"/>
                <w:b/>
                <w:lang w:eastAsia="ja-JP"/>
              </w:rPr>
              <w:t>Proposed change</w:t>
            </w:r>
          </w:p>
        </w:tc>
      </w:tr>
      <w:tr w:rsidR="003F1C53" w:rsidRPr="00A43417" w:rsidTr="00DE1CB8">
        <w:trPr>
          <w:trHeight w:val="649"/>
        </w:trPr>
        <w:tc>
          <w:tcPr>
            <w:tcW w:w="737" w:type="dxa"/>
          </w:tcPr>
          <w:p w:rsidR="003F1C53" w:rsidRDefault="003F1C53" w:rsidP="00F121FE">
            <w:pPr>
              <w:spacing w:after="120" w:line="276" w:lineRule="auto"/>
              <w:rPr>
                <w:lang w:eastAsia="ja-JP"/>
              </w:rPr>
            </w:pPr>
            <w:r>
              <w:rPr>
                <w:rFonts w:hint="eastAsia"/>
                <w:lang w:eastAsia="ja-JP"/>
              </w:rPr>
              <w:t>257</w:t>
            </w:r>
          </w:p>
        </w:tc>
        <w:tc>
          <w:tcPr>
            <w:tcW w:w="1443" w:type="dxa"/>
          </w:tcPr>
          <w:p w:rsidR="003F1C53" w:rsidRPr="0015415D" w:rsidRDefault="003F1C53" w:rsidP="00F121FE">
            <w:pPr>
              <w:spacing w:after="120" w:line="276" w:lineRule="auto"/>
              <w:rPr>
                <w:lang w:eastAsia="ja-JP"/>
              </w:rPr>
            </w:pPr>
            <w:r>
              <w:rPr>
                <w:rFonts w:hint="eastAsia"/>
                <w:lang w:eastAsia="ja-JP"/>
              </w:rPr>
              <w:t xml:space="preserve">Tero </w:t>
            </w:r>
            <w:proofErr w:type="spellStart"/>
            <w:r>
              <w:rPr>
                <w:rFonts w:hint="eastAsia"/>
                <w:lang w:eastAsia="ja-JP"/>
              </w:rPr>
              <w:t>Kivinien</w:t>
            </w:r>
            <w:proofErr w:type="spellEnd"/>
          </w:p>
        </w:tc>
        <w:tc>
          <w:tcPr>
            <w:tcW w:w="710" w:type="dxa"/>
            <w:noWrap/>
            <w:hideMark/>
          </w:tcPr>
          <w:p w:rsidR="003F1C53" w:rsidRPr="00DD618C" w:rsidRDefault="003F1C53" w:rsidP="00F121FE">
            <w:pPr>
              <w:spacing w:after="120" w:line="276" w:lineRule="auto"/>
            </w:pPr>
            <w:r w:rsidRPr="00DD618C">
              <w:t>33</w:t>
            </w:r>
          </w:p>
        </w:tc>
        <w:tc>
          <w:tcPr>
            <w:tcW w:w="910" w:type="dxa"/>
            <w:noWrap/>
            <w:hideMark/>
          </w:tcPr>
          <w:p w:rsidR="003F1C53" w:rsidRPr="00DD618C" w:rsidRDefault="003F1C53" w:rsidP="00F121FE">
            <w:pPr>
              <w:spacing w:after="120" w:line="276" w:lineRule="auto"/>
            </w:pPr>
            <w:r w:rsidRPr="00DD618C">
              <w:t>5.3.1</w:t>
            </w:r>
          </w:p>
        </w:tc>
        <w:tc>
          <w:tcPr>
            <w:tcW w:w="683" w:type="dxa"/>
            <w:noWrap/>
            <w:hideMark/>
          </w:tcPr>
          <w:p w:rsidR="003F1C53" w:rsidRPr="00DD618C" w:rsidRDefault="003F1C53" w:rsidP="00F121FE">
            <w:pPr>
              <w:spacing w:after="120" w:line="276" w:lineRule="auto"/>
            </w:pPr>
            <w:r w:rsidRPr="00DD618C">
              <w:t>16</w:t>
            </w:r>
          </w:p>
        </w:tc>
        <w:tc>
          <w:tcPr>
            <w:tcW w:w="3151" w:type="dxa"/>
            <w:hideMark/>
          </w:tcPr>
          <w:p w:rsidR="003F1C53" w:rsidRPr="00DD618C" w:rsidRDefault="003F1C53" w:rsidP="00F121FE">
            <w:pPr>
              <w:spacing w:after="120" w:line="276" w:lineRule="auto"/>
            </w:pPr>
            <w:r w:rsidRPr="00DD618C">
              <w:t xml:space="preserve">I would have assumed the SN here would use some kind of sequence number </w:t>
            </w:r>
            <w:proofErr w:type="spellStart"/>
            <w:r w:rsidRPr="00DD618C">
              <w:t>arithmetics</w:t>
            </w:r>
            <w:proofErr w:type="spellEnd"/>
            <w:r w:rsidRPr="00DD618C">
              <w:t>, to detect whether it wraps around, From this it seems that when SN reaches 0xff, then no more updates can be done, and devices needs to be reset and L2R mesh needs to be recreated (or do you need to throw the devices away, and buy new ones :-)</w:t>
            </w:r>
          </w:p>
        </w:tc>
        <w:tc>
          <w:tcPr>
            <w:tcW w:w="1942" w:type="dxa"/>
            <w:hideMark/>
          </w:tcPr>
          <w:p w:rsidR="003F1C53" w:rsidRDefault="003F1C53" w:rsidP="00F121FE">
            <w:pPr>
              <w:spacing w:after="120" w:line="276" w:lineRule="auto"/>
            </w:pPr>
            <w:r w:rsidRPr="00DD618C">
              <w:t>Define how SN is incremented, and how it can wrap around (i.e. most likely if new SN &lt; old SN, and old SN &gt; 0x80, then you accept new SN even when it is lower.</w:t>
            </w:r>
          </w:p>
        </w:tc>
      </w:tr>
    </w:tbl>
    <w:p w:rsidR="00F121FE" w:rsidRDefault="00F121FE" w:rsidP="00F121FE">
      <w:pPr>
        <w:widowControl w:val="0"/>
        <w:spacing w:before="120" w:after="120" w:line="276" w:lineRule="auto"/>
        <w:rPr>
          <w:b/>
          <w:sz w:val="28"/>
          <w:u w:val="single"/>
          <w:lang w:eastAsia="ja-JP"/>
        </w:rPr>
      </w:pPr>
    </w:p>
    <w:p w:rsidR="00A43417" w:rsidRPr="00A43417" w:rsidRDefault="00A43417" w:rsidP="00F121FE">
      <w:pPr>
        <w:widowControl w:val="0"/>
        <w:spacing w:before="120" w:after="120" w:line="276" w:lineRule="auto"/>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AB79D2" w:rsidRPr="002E4D9D" w:rsidRDefault="00AB51B9" w:rsidP="00AB51B9">
      <w:pPr>
        <w:widowControl w:val="0"/>
        <w:spacing w:before="120" w:after="120" w:line="276" w:lineRule="auto"/>
        <w:rPr>
          <w:u w:val="single"/>
          <w:lang w:eastAsia="ja-JP"/>
        </w:rPr>
      </w:pPr>
      <w:r w:rsidRPr="002E4D9D">
        <w:rPr>
          <w:rFonts w:hint="eastAsia"/>
          <w:u w:val="single"/>
          <w:lang w:eastAsia="ja-JP"/>
        </w:rPr>
        <w:t>From 6.7.1 in [15.4-REVc]:</w:t>
      </w:r>
    </w:p>
    <w:p w:rsidR="00AB51B9" w:rsidRDefault="002E4D9D" w:rsidP="002E4D9D">
      <w:pPr>
        <w:widowControl w:val="0"/>
        <w:spacing w:before="120" w:after="120" w:line="276" w:lineRule="auto"/>
        <w:rPr>
          <w:lang w:eastAsia="ja-JP"/>
        </w:rPr>
      </w:pPr>
      <w:r>
        <w:rPr>
          <w:lang w:eastAsia="ja-JP"/>
        </w:rPr>
        <w:t>Each device shall</w:t>
      </w:r>
      <w:r>
        <w:rPr>
          <w:rFonts w:hint="eastAsia"/>
          <w:lang w:eastAsia="ja-JP"/>
        </w:rPr>
        <w:t xml:space="preserve"> </w:t>
      </w:r>
      <w:r>
        <w:rPr>
          <w:lang w:eastAsia="ja-JP"/>
        </w:rPr>
        <w:t>generate exactly one data sequence number (DSN) regardless of the number of unique devices with which it</w:t>
      </w:r>
      <w:r>
        <w:rPr>
          <w:rFonts w:hint="eastAsia"/>
          <w:lang w:eastAsia="ja-JP"/>
        </w:rPr>
        <w:t xml:space="preserve"> </w:t>
      </w:r>
      <w:r>
        <w:rPr>
          <w:lang w:eastAsia="ja-JP"/>
        </w:rPr>
        <w:t xml:space="preserve">wishes to communicate. </w:t>
      </w:r>
      <w:r w:rsidRPr="002E4D9D">
        <w:rPr>
          <w:u w:val="single"/>
          <w:lang w:eastAsia="ja-JP"/>
        </w:rPr>
        <w:t xml:space="preserve">The value of </w:t>
      </w:r>
      <w:proofErr w:type="spellStart"/>
      <w:r w:rsidRPr="002E4D9D">
        <w:rPr>
          <w:i/>
          <w:u w:val="single"/>
          <w:lang w:eastAsia="ja-JP"/>
        </w:rPr>
        <w:t>macDSN</w:t>
      </w:r>
      <w:proofErr w:type="spellEnd"/>
      <w:r w:rsidRPr="002E4D9D">
        <w:rPr>
          <w:i/>
          <w:u w:val="single"/>
          <w:lang w:eastAsia="ja-JP"/>
        </w:rPr>
        <w:t xml:space="preserve"> </w:t>
      </w:r>
      <w:r w:rsidRPr="002E4D9D">
        <w:rPr>
          <w:u w:val="single"/>
          <w:lang w:eastAsia="ja-JP"/>
        </w:rPr>
        <w:t>shall be permitted to roll over</w:t>
      </w:r>
      <w:r>
        <w:rPr>
          <w:lang w:eastAsia="ja-JP"/>
        </w:rPr>
        <w:t>.</w:t>
      </w:r>
    </w:p>
    <w:p w:rsidR="002E4D9D" w:rsidRDefault="002E4D9D" w:rsidP="002E4D9D">
      <w:pPr>
        <w:widowControl w:val="0"/>
        <w:spacing w:before="120" w:after="120" w:line="276" w:lineRule="auto"/>
        <w:rPr>
          <w:lang w:eastAsia="ja-JP"/>
        </w:rPr>
      </w:pPr>
      <w:r>
        <w:rPr>
          <w:lang w:eastAsia="ja-JP"/>
        </w:rPr>
        <w:t>Each coordinator shall store its current beacon sequence number (BSN) value in the MAC PIB attribute</w:t>
      </w:r>
      <w:r>
        <w:rPr>
          <w:rFonts w:hint="eastAsia"/>
          <w:lang w:eastAsia="ja-JP"/>
        </w:rPr>
        <w:t xml:space="preserve"> </w:t>
      </w:r>
      <w:proofErr w:type="spellStart"/>
      <w:r w:rsidRPr="002E4D9D">
        <w:rPr>
          <w:i/>
          <w:lang w:eastAsia="ja-JP"/>
        </w:rPr>
        <w:t>macBSN</w:t>
      </w:r>
      <w:proofErr w:type="spellEnd"/>
      <w:r>
        <w:rPr>
          <w:lang w:eastAsia="ja-JP"/>
        </w:rPr>
        <w:t xml:space="preserve"> and initialize it to a random value; the algorithm for choosing a random number is outside the scope</w:t>
      </w:r>
      <w:r>
        <w:rPr>
          <w:rFonts w:hint="eastAsia"/>
          <w:lang w:eastAsia="ja-JP"/>
        </w:rPr>
        <w:t xml:space="preserve"> </w:t>
      </w:r>
      <w:r>
        <w:rPr>
          <w:lang w:eastAsia="ja-JP"/>
        </w:rPr>
        <w:t>of this standard. …</w:t>
      </w:r>
      <w:r w:rsidRPr="002E4D9D">
        <w:rPr>
          <w:u w:val="single"/>
          <w:lang w:eastAsia="ja-JP"/>
        </w:rPr>
        <w:t>The value</w:t>
      </w:r>
      <w:r w:rsidRPr="002E4D9D">
        <w:rPr>
          <w:rFonts w:hint="eastAsia"/>
          <w:u w:val="single"/>
          <w:lang w:eastAsia="ja-JP"/>
        </w:rPr>
        <w:t xml:space="preserve"> </w:t>
      </w:r>
      <w:r w:rsidRPr="002E4D9D">
        <w:rPr>
          <w:u w:val="single"/>
          <w:lang w:eastAsia="ja-JP"/>
        </w:rPr>
        <w:t xml:space="preserve">of </w:t>
      </w:r>
      <w:proofErr w:type="spellStart"/>
      <w:r w:rsidRPr="002E4D9D">
        <w:rPr>
          <w:i/>
          <w:u w:val="single"/>
          <w:lang w:eastAsia="ja-JP"/>
        </w:rPr>
        <w:t>macBSN</w:t>
      </w:r>
      <w:proofErr w:type="spellEnd"/>
      <w:r w:rsidRPr="002E4D9D">
        <w:rPr>
          <w:u w:val="single"/>
          <w:lang w:eastAsia="ja-JP"/>
        </w:rPr>
        <w:t xml:space="preserve"> shall be permitted to roll over</w:t>
      </w:r>
      <w:r w:rsidRPr="002E4D9D">
        <w:rPr>
          <w:lang w:eastAsia="ja-JP"/>
        </w:rPr>
        <w:t>.</w:t>
      </w:r>
    </w:p>
    <w:p w:rsidR="002E4D9D" w:rsidRDefault="002E4D9D" w:rsidP="002E4D9D">
      <w:pPr>
        <w:widowControl w:val="0"/>
        <w:spacing w:before="120" w:after="120" w:line="276" w:lineRule="auto"/>
        <w:rPr>
          <w:u w:val="single"/>
          <w:lang w:eastAsia="ja-JP"/>
        </w:rPr>
      </w:pPr>
      <w:r w:rsidRPr="002E4D9D">
        <w:rPr>
          <w:rFonts w:hint="eastAsia"/>
          <w:u w:val="single"/>
          <w:lang w:eastAsia="ja-JP"/>
        </w:rPr>
        <w:lastRenderedPageBreak/>
        <w:t>From 7.4.2.2 (DA IE) in [15.4-REVc]</w:t>
      </w:r>
    </w:p>
    <w:p w:rsidR="002E4D9D" w:rsidRPr="002E4D9D" w:rsidRDefault="00466D29" w:rsidP="00466D29">
      <w:pPr>
        <w:widowControl w:val="0"/>
        <w:spacing w:before="120" w:after="120" w:line="276" w:lineRule="auto"/>
        <w:rPr>
          <w:lang w:eastAsia="ja-JP"/>
        </w:rPr>
      </w:pPr>
      <w:r>
        <w:rPr>
          <w:lang w:eastAsia="ja-JP"/>
        </w:rPr>
        <w:t>The Sequence Number field shall be set to a value identifying the set of addresses to be announced. An</w:t>
      </w:r>
      <w:r>
        <w:rPr>
          <w:rFonts w:hint="eastAsia"/>
          <w:lang w:eastAsia="ja-JP"/>
        </w:rPr>
        <w:t xml:space="preserve"> </w:t>
      </w:r>
      <w:r>
        <w:rPr>
          <w:lang w:eastAsia="ja-JP"/>
        </w:rPr>
        <w:t>increment in the Sequence Number indicates that a new set of neighbor addresses is being announced.</w:t>
      </w:r>
      <w:r>
        <w:rPr>
          <w:rFonts w:hint="eastAsia"/>
          <w:lang w:eastAsia="ja-JP"/>
        </w:rPr>
        <w:t xml:space="preserve"> </w:t>
      </w:r>
      <w:r w:rsidR="002E4D9D">
        <w:rPr>
          <w:lang w:eastAsia="ja-JP"/>
        </w:rPr>
        <w:t>The</w:t>
      </w:r>
      <w:r w:rsidR="002E4D9D">
        <w:rPr>
          <w:rFonts w:hint="eastAsia"/>
          <w:lang w:eastAsia="ja-JP"/>
        </w:rPr>
        <w:t xml:space="preserve"> </w:t>
      </w:r>
      <w:r w:rsidR="002E4D9D">
        <w:rPr>
          <w:lang w:eastAsia="ja-JP"/>
        </w:rPr>
        <w:t>Sequence Number shall be incremented when any address in the set of neighbor addresses has been</w:t>
      </w:r>
      <w:r w:rsidR="002E4D9D">
        <w:rPr>
          <w:rFonts w:hint="eastAsia"/>
          <w:lang w:eastAsia="ja-JP"/>
        </w:rPr>
        <w:t xml:space="preserve"> </w:t>
      </w:r>
      <w:r w:rsidR="002E4D9D">
        <w:rPr>
          <w:lang w:eastAsia="ja-JP"/>
        </w:rPr>
        <w:t>changed.</w:t>
      </w:r>
    </w:p>
    <w:sectPr w:rsidR="002E4D9D" w:rsidRPr="002E4D9D">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EDC" w:rsidRDefault="00CF7EDC">
      <w:r>
        <w:separator/>
      </w:r>
    </w:p>
  </w:endnote>
  <w:endnote w:type="continuationSeparator" w:id="0">
    <w:p w:rsidR="00CF7EDC" w:rsidRDefault="00CF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EDC" w:rsidRDefault="00CF7EDC">
      <w:r>
        <w:separator/>
      </w:r>
    </w:p>
  </w:footnote>
  <w:footnote w:type="continuationSeparator" w:id="0">
    <w:p w:rsidR="00CF7EDC" w:rsidRDefault="00CF7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FA60F2">
      <w:rPr>
        <w:b/>
        <w:noProof/>
        <w:sz w:val="28"/>
      </w:rPr>
      <w:t>June,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211AF4" w:rsidRPr="00211AF4">
      <w:rPr>
        <w:b/>
        <w:sz w:val="28"/>
        <w:szCs w:val="28"/>
        <w:lang w:eastAsia="ja-JP"/>
      </w:rPr>
      <w:t>0</w:t>
    </w:r>
    <w:r w:rsidR="00FA60F2">
      <w:rPr>
        <w:rFonts w:hint="eastAsia"/>
        <w:b/>
        <w:sz w:val="28"/>
        <w:szCs w:val="28"/>
        <w:lang w:eastAsia="ja-JP"/>
      </w:rPr>
      <w:t>459</w:t>
    </w:r>
    <w:r w:rsidR="00211AF4" w:rsidRPr="00211AF4">
      <w:rPr>
        <w:b/>
        <w:sz w:val="28"/>
        <w:szCs w:val="28"/>
        <w:lang w:eastAsia="ja-JP"/>
      </w:rPr>
      <w:t>-0</w:t>
    </w:r>
    <w:r w:rsidR="00FA60F2">
      <w:rPr>
        <w:rFonts w:hint="eastAsia"/>
        <w:b/>
        <w:sz w:val="28"/>
        <w:szCs w:val="28"/>
        <w:lang w:eastAsia="ja-JP"/>
      </w:rPr>
      <w:t>0</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67849"/>
    <w:rsid w:val="0007057C"/>
    <w:rsid w:val="000918D5"/>
    <w:rsid w:val="00173552"/>
    <w:rsid w:val="001F04CE"/>
    <w:rsid w:val="00211AF4"/>
    <w:rsid w:val="002A59F2"/>
    <w:rsid w:val="002B34B2"/>
    <w:rsid w:val="002E4D9D"/>
    <w:rsid w:val="00387E30"/>
    <w:rsid w:val="0039262F"/>
    <w:rsid w:val="003948AC"/>
    <w:rsid w:val="003B1E21"/>
    <w:rsid w:val="003F1C53"/>
    <w:rsid w:val="00420166"/>
    <w:rsid w:val="00426282"/>
    <w:rsid w:val="00466D29"/>
    <w:rsid w:val="004F08BB"/>
    <w:rsid w:val="005002BB"/>
    <w:rsid w:val="005F42D6"/>
    <w:rsid w:val="00626D04"/>
    <w:rsid w:val="00664800"/>
    <w:rsid w:val="006F252F"/>
    <w:rsid w:val="00742AC8"/>
    <w:rsid w:val="00851914"/>
    <w:rsid w:val="0094127E"/>
    <w:rsid w:val="00A14601"/>
    <w:rsid w:val="00A36CC2"/>
    <w:rsid w:val="00A43417"/>
    <w:rsid w:val="00AB2668"/>
    <w:rsid w:val="00AB4FF0"/>
    <w:rsid w:val="00AB51B9"/>
    <w:rsid w:val="00AB79D2"/>
    <w:rsid w:val="00AF4495"/>
    <w:rsid w:val="00B30B52"/>
    <w:rsid w:val="00B4124D"/>
    <w:rsid w:val="00B977D7"/>
    <w:rsid w:val="00BB2CEF"/>
    <w:rsid w:val="00C20ACD"/>
    <w:rsid w:val="00C877AE"/>
    <w:rsid w:val="00CD4788"/>
    <w:rsid w:val="00CF7EDC"/>
    <w:rsid w:val="00D8397E"/>
    <w:rsid w:val="00D87D7A"/>
    <w:rsid w:val="00DE1CB8"/>
    <w:rsid w:val="00DF5ED4"/>
    <w:rsid w:val="00EC1005"/>
    <w:rsid w:val="00F121FE"/>
    <w:rsid w:val="00FA6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75</TotalTime>
  <Pages>4</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5</cp:revision>
  <cp:lastPrinted>1900-12-31T15:00:00Z</cp:lastPrinted>
  <dcterms:created xsi:type="dcterms:W3CDTF">2015-05-26T08:02:00Z</dcterms:created>
  <dcterms:modified xsi:type="dcterms:W3CDTF">2015-06-02T01:01:00Z</dcterms:modified>
  <cp:category>&lt;doc#&gt;</cp:category>
</cp:coreProperties>
</file>