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3CE" w:rsidRDefault="00764CD9">
      <w:pPr>
        <w:rPr>
          <w:b/>
          <w:sz w:val="28"/>
        </w:rPr>
      </w:pPr>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360" w:type="dxa"/>
        <w:tblInd w:w="108" w:type="dxa"/>
        <w:tblLayout w:type="fixed"/>
        <w:tblLook w:val="0000"/>
      </w:tblPr>
      <w:tblGrid>
        <w:gridCol w:w="1260"/>
        <w:gridCol w:w="4050"/>
        <w:gridCol w:w="4050"/>
      </w:tblGrid>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Project</w:t>
            </w:r>
          </w:p>
        </w:tc>
        <w:tc>
          <w:tcPr>
            <w:tcW w:w="810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66392D" w:rsidTr="00082FB2">
        <w:tc>
          <w:tcPr>
            <w:tcW w:w="1260" w:type="dxa"/>
            <w:tcBorders>
              <w:top w:val="single" w:sz="6" w:space="0" w:color="auto"/>
            </w:tcBorders>
          </w:tcPr>
          <w:p w:rsidR="00764CD9" w:rsidRPr="00E766E5" w:rsidRDefault="00764CD9" w:rsidP="00A8548D">
            <w:pPr>
              <w:pStyle w:val="covertext"/>
              <w:jc w:val="both"/>
            </w:pPr>
            <w:r w:rsidRPr="00E766E5">
              <w:t>Title</w:t>
            </w:r>
          </w:p>
        </w:tc>
        <w:tc>
          <w:tcPr>
            <w:tcW w:w="8100" w:type="dxa"/>
            <w:gridSpan w:val="2"/>
            <w:tcBorders>
              <w:top w:val="single" w:sz="6" w:space="0" w:color="auto"/>
            </w:tcBorders>
          </w:tcPr>
          <w:p w:rsidR="00764CD9" w:rsidRPr="0066392D" w:rsidRDefault="00976FB8" w:rsidP="00710009">
            <w:pPr>
              <w:pStyle w:val="covertext"/>
              <w:jc w:val="both"/>
              <w:rPr>
                <w:lang w:val="fr-FR"/>
              </w:rPr>
            </w:pPr>
            <w:proofErr w:type="spellStart"/>
            <w:r w:rsidRPr="00976FB8">
              <w:rPr>
                <w:lang w:val="fr-FR"/>
              </w:rPr>
              <w:t>Contributuion</w:t>
            </w:r>
            <w:proofErr w:type="spellEnd"/>
            <w:r w:rsidRPr="00976FB8">
              <w:rPr>
                <w:lang w:val="fr-FR"/>
              </w:rPr>
              <w:t xml:space="preserve"> to section 7 in ARD</w:t>
            </w:r>
          </w:p>
        </w:tc>
      </w:tr>
      <w:tr w:rsidR="00764CD9" w:rsidRPr="00E766E5" w:rsidTr="00082FB2">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rsidR="00764CD9" w:rsidRPr="000F6813" w:rsidRDefault="00976FB8" w:rsidP="00FA534C">
            <w:pPr>
              <w:pStyle w:val="covertext"/>
              <w:jc w:val="both"/>
              <w:rPr>
                <w:szCs w:val="24"/>
              </w:rPr>
            </w:pPr>
            <w:r>
              <w:rPr>
                <w:rFonts w:hint="eastAsia"/>
                <w:szCs w:val="24"/>
              </w:rPr>
              <w:t>[</w:t>
            </w:r>
            <w:r>
              <w:rPr>
                <w:szCs w:val="24"/>
              </w:rPr>
              <w:t>March 9</w:t>
            </w:r>
            <w:r w:rsidR="000F6813" w:rsidRPr="000F6813">
              <w:rPr>
                <w:rFonts w:hint="eastAsia"/>
                <w:szCs w:val="24"/>
              </w:rPr>
              <w:t>, 2015]</w:t>
            </w:r>
          </w:p>
        </w:tc>
      </w:tr>
      <w:tr w:rsidR="00764CD9" w:rsidRPr="00D74E76" w:rsidTr="00082FB2">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rsidR="00764CD9" w:rsidRPr="0021105E" w:rsidRDefault="00CA3DE7" w:rsidP="00061BE9">
            <w:pPr>
              <w:pStyle w:val="covertext"/>
              <w:spacing w:before="0" w:after="0"/>
              <w:rPr>
                <w:szCs w:val="24"/>
                <w:lang w:val="fr-FR"/>
              </w:rPr>
            </w:pPr>
            <w:r>
              <w:rPr>
                <w:szCs w:val="24"/>
                <w:lang w:val="fr-FR"/>
              </w:rPr>
              <w:t>Thomas Kürner</w:t>
            </w:r>
          </w:p>
        </w:tc>
        <w:tc>
          <w:tcPr>
            <w:tcW w:w="4050" w:type="dxa"/>
            <w:tcBorders>
              <w:top w:val="single" w:sz="4" w:space="0" w:color="auto"/>
              <w:bottom w:val="single" w:sz="4" w:space="0" w:color="auto"/>
            </w:tcBorders>
          </w:tcPr>
          <w:p w:rsidR="00764CD9" w:rsidRPr="0021105E" w:rsidRDefault="006332F3" w:rsidP="00CA3DE7">
            <w:pPr>
              <w:pStyle w:val="covertext"/>
              <w:tabs>
                <w:tab w:val="left" w:pos="1152"/>
              </w:tabs>
              <w:spacing w:before="0" w:after="0"/>
              <w:jc w:val="both"/>
              <w:rPr>
                <w:szCs w:val="24"/>
                <w:lang w:val="fr-FR"/>
              </w:rPr>
            </w:pPr>
            <w:r w:rsidRPr="0021105E">
              <w:rPr>
                <w:szCs w:val="24"/>
                <w:lang w:val="fr-FR"/>
              </w:rPr>
              <w:t>E-mail:</w:t>
            </w:r>
            <w:r w:rsidR="002771F8">
              <w:rPr>
                <w:szCs w:val="24"/>
                <w:lang w:val="fr-FR"/>
              </w:rPr>
              <w:t xml:space="preserve"> </w:t>
            </w:r>
            <w:r w:rsidR="00CA3DE7">
              <w:rPr>
                <w:szCs w:val="24"/>
                <w:lang w:val="fr-FR"/>
              </w:rPr>
              <w:t>t.kuerner@tu-bs.de</w:t>
            </w:r>
          </w:p>
        </w:tc>
      </w:tr>
      <w:tr w:rsidR="00764CD9" w:rsidRPr="00E766E5" w:rsidTr="00082FB2">
        <w:tc>
          <w:tcPr>
            <w:tcW w:w="1260" w:type="dxa"/>
            <w:tcBorders>
              <w:top w:val="single" w:sz="4" w:space="0" w:color="auto"/>
            </w:tcBorders>
          </w:tcPr>
          <w:p w:rsidR="00764CD9" w:rsidRPr="00E766E5" w:rsidRDefault="00764CD9" w:rsidP="00A8548D">
            <w:pPr>
              <w:pStyle w:val="covertext"/>
              <w:jc w:val="both"/>
            </w:pPr>
            <w:r w:rsidRPr="00E766E5">
              <w:t>Re:</w:t>
            </w:r>
          </w:p>
        </w:tc>
        <w:tc>
          <w:tcPr>
            <w:tcW w:w="8100" w:type="dxa"/>
            <w:gridSpan w:val="2"/>
            <w:tcBorders>
              <w:top w:val="single" w:sz="4" w:space="0" w:color="auto"/>
            </w:tcBorders>
          </w:tcPr>
          <w:p w:rsidR="00764CD9" w:rsidRPr="0021105E" w:rsidRDefault="00764CD9" w:rsidP="00A8548D">
            <w:pPr>
              <w:pStyle w:val="covertext"/>
              <w:jc w:val="both"/>
            </w:pP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Abstract</w:t>
            </w:r>
          </w:p>
        </w:tc>
        <w:tc>
          <w:tcPr>
            <w:tcW w:w="8100" w:type="dxa"/>
            <w:gridSpan w:val="2"/>
            <w:tcBorders>
              <w:top w:val="single" w:sz="6" w:space="0" w:color="auto"/>
            </w:tcBorders>
          </w:tcPr>
          <w:p w:rsidR="00764CD9" w:rsidRPr="00E766E5" w:rsidRDefault="00976FB8" w:rsidP="00976FB8">
            <w:pPr>
              <w:pStyle w:val="covertext"/>
              <w:jc w:val="both"/>
            </w:pPr>
            <w:r>
              <w:t xml:space="preserve">This contribution contains a </w:t>
            </w:r>
            <w:proofErr w:type="spellStart"/>
            <w:r>
              <w:t>decription</w:t>
            </w:r>
            <w:proofErr w:type="spellEnd"/>
            <w:r>
              <w:t xml:space="preserve"> on the backhauling use case for TG3d's </w:t>
            </w:r>
            <w:proofErr w:type="spellStart"/>
            <w:r>
              <w:t>Applicaton</w:t>
            </w:r>
            <w:proofErr w:type="spellEnd"/>
            <w:r>
              <w:t xml:space="preserve"> Requirements Document </w:t>
            </w: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Purpose</w:t>
            </w:r>
          </w:p>
        </w:tc>
        <w:tc>
          <w:tcPr>
            <w:tcW w:w="8100" w:type="dxa"/>
            <w:gridSpan w:val="2"/>
            <w:tcBorders>
              <w:top w:val="single" w:sz="6" w:space="0" w:color="auto"/>
            </w:tcBorders>
          </w:tcPr>
          <w:p w:rsidR="00764CD9" w:rsidRPr="00E766E5" w:rsidRDefault="00CA3DE7" w:rsidP="00A8548D">
            <w:pPr>
              <w:pStyle w:val="covertext"/>
              <w:jc w:val="both"/>
            </w:pPr>
            <w:r>
              <w:t>Supporting document for the development of the amendment 3d of IEEE 802.15.3</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rsidR="00764CD9" w:rsidRPr="00E766E5" w:rsidRDefault="00764CD9" w:rsidP="00A8548D">
            <w:pPr>
              <w:pStyle w:val="covertext"/>
              <w:jc w:val="both"/>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rsidR="00764CD9" w:rsidRPr="00E766E5" w:rsidRDefault="00764CD9" w:rsidP="00A8548D">
            <w:pPr>
              <w:pStyle w:val="covertext"/>
              <w:jc w:val="both"/>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AC05BE" w:rsidRPr="006A51DC" w:rsidRDefault="00A062C8" w:rsidP="00976FB8">
      <w:pPr>
        <w:pStyle w:val="berschrift1"/>
      </w:pPr>
      <w:r>
        <w:br w:type="page"/>
      </w:r>
      <w:r w:rsidR="00306268" w:rsidRPr="00593ED1" w:rsidDel="00306268">
        <w:rPr>
          <w:u w:val="single"/>
        </w:rPr>
        <w:lastRenderedPageBreak/>
        <w:t xml:space="preserve"> </w:t>
      </w:r>
      <w:bookmarkStart w:id="0" w:name="_GoBack"/>
      <w:bookmarkStart w:id="1" w:name="_Toc408921959"/>
      <w:bookmarkEnd w:id="0"/>
      <w:r w:rsidR="00AC05BE" w:rsidRPr="006A51DC">
        <w:t>Backhauling</w:t>
      </w:r>
      <w:bookmarkEnd w:id="1"/>
    </w:p>
    <w:p w:rsidR="00AC05BE" w:rsidRDefault="00AC05BE" w:rsidP="00AC05BE">
      <w:pPr>
        <w:autoSpaceDE w:val="0"/>
        <w:autoSpaceDN w:val="0"/>
        <w:adjustRightInd w:val="0"/>
        <w:ind w:left="720"/>
        <w:jc w:val="both"/>
      </w:pPr>
    </w:p>
    <w:p w:rsidR="00AC05BE" w:rsidRPr="006A51DC" w:rsidRDefault="00AC05BE" w:rsidP="006A51DC">
      <w:pPr>
        <w:pStyle w:val="berschrift2"/>
      </w:pPr>
      <w:bookmarkStart w:id="2" w:name="_Toc408921960"/>
      <w:r w:rsidRPr="006A51DC">
        <w:t>Description of the operational environment</w:t>
      </w:r>
      <w:bookmarkEnd w:id="2"/>
      <w:r w:rsidRPr="006A51DC">
        <w:t xml:space="preserve"> </w:t>
      </w:r>
    </w:p>
    <w:p w:rsidR="00184873" w:rsidRDefault="00306268" w:rsidP="00976FB8">
      <w:pPr>
        <w:jc w:val="both"/>
      </w:pPr>
      <w:r>
        <w:t xml:space="preserve">A backhaul link in a cellular network is a connection between the base station and a more centralized network element, see Fig. </w:t>
      </w:r>
      <w:r w:rsidR="00976FB8">
        <w:t>7.1</w:t>
      </w:r>
      <w:r>
        <w:t xml:space="preserve">. Backhauling in </w:t>
      </w:r>
      <w:proofErr w:type="spellStart"/>
      <w:r>
        <w:t>todays</w:t>
      </w:r>
      <w:proofErr w:type="spellEnd"/>
      <w:r>
        <w:t xml:space="preserve"> cellul</w:t>
      </w:r>
      <w:r w:rsidR="00184873">
        <w:t>a</w:t>
      </w:r>
      <w:r>
        <w:t xml:space="preserve">r networks is done either by </w:t>
      </w:r>
      <w:proofErr w:type="spellStart"/>
      <w:r>
        <w:t>fibre</w:t>
      </w:r>
      <w:proofErr w:type="spellEnd"/>
      <w:r>
        <w:t xml:space="preserve"> or microwave links. </w:t>
      </w:r>
      <w:r w:rsidR="00031ACF">
        <w:t xml:space="preserve">Various drivers exist, which require high-capacity backhaul links. One driver is the </w:t>
      </w:r>
      <w:proofErr w:type="spellStart"/>
      <w:r w:rsidR="00031ACF">
        <w:t>enourmous</w:t>
      </w:r>
      <w:proofErr w:type="spellEnd"/>
      <w:r w:rsidR="00031ACF">
        <w:t xml:space="preserve"> increase of traffic in cellular networks, which may be </w:t>
      </w:r>
      <w:proofErr w:type="spellStart"/>
      <w:r w:rsidR="00031ACF">
        <w:t>adressed</w:t>
      </w:r>
      <w:proofErr w:type="spellEnd"/>
      <w:r w:rsidR="00031ACF">
        <w:t xml:space="preserve"> by the deployment of ultra-dense networks. Another driver is the </w:t>
      </w:r>
      <w:proofErr w:type="spellStart"/>
      <w:r w:rsidR="00031ACF">
        <w:t>introdcution</w:t>
      </w:r>
      <w:proofErr w:type="spellEnd"/>
      <w:r w:rsidR="00031ACF">
        <w:t xml:space="preserve"> of so-called cooperative multi-point </w:t>
      </w:r>
      <w:proofErr w:type="spellStart"/>
      <w:r w:rsidR="00031ACF">
        <w:t>trasnmission</w:t>
      </w:r>
      <w:proofErr w:type="spellEnd"/>
      <w:r w:rsidR="006A19D2">
        <w:t xml:space="preserve"> (</w:t>
      </w:r>
      <w:proofErr w:type="spellStart"/>
      <w:r w:rsidR="006A19D2">
        <w:t>CoMP</w:t>
      </w:r>
      <w:proofErr w:type="spellEnd"/>
      <w:r w:rsidR="006A19D2">
        <w:t>)</w:t>
      </w:r>
      <w:r w:rsidR="00031ACF">
        <w:t>. Both aspects are described in section 7.1.1 and 7.1.2, respectively.</w:t>
      </w:r>
    </w:p>
    <w:p w:rsidR="00184873" w:rsidRDefault="00184873" w:rsidP="00AC05BE"/>
    <w:p w:rsidR="00071C8B" w:rsidRDefault="00071C8B" w:rsidP="00AC05BE">
      <w:r>
        <w:rPr>
          <w:noProof/>
          <w:lang w:val="de-DE" w:eastAsia="de-DE"/>
        </w:rPr>
        <w:drawing>
          <wp:inline distT="0" distB="0" distL="0" distR="0">
            <wp:extent cx="5817207" cy="2819596"/>
            <wp:effectExtent l="19050" t="0" r="0" b="0"/>
            <wp:docPr id="439" name="Bild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8" cstate="print"/>
                    <a:srcRect/>
                    <a:stretch>
                      <a:fillRect/>
                    </a:stretch>
                  </pic:blipFill>
                  <pic:spPr bwMode="auto">
                    <a:xfrm>
                      <a:off x="0" y="0"/>
                      <a:ext cx="5818674" cy="2820307"/>
                    </a:xfrm>
                    <a:prstGeom prst="rect">
                      <a:avLst/>
                    </a:prstGeom>
                    <a:noFill/>
                  </pic:spPr>
                </pic:pic>
              </a:graphicData>
            </a:graphic>
          </wp:inline>
        </w:drawing>
      </w:r>
    </w:p>
    <w:p w:rsidR="00184873" w:rsidRDefault="00184873" w:rsidP="00031ACF">
      <w:pPr>
        <w:jc w:val="center"/>
      </w:pPr>
      <w:r>
        <w:t xml:space="preserve">Fig. </w:t>
      </w:r>
      <w:r w:rsidR="00976FB8">
        <w:t>7.1 Backhaul links in a cellular  network [1]</w:t>
      </w:r>
    </w:p>
    <w:p w:rsidR="00184873" w:rsidRDefault="00184873" w:rsidP="00AC05BE"/>
    <w:p w:rsidR="006A19D2" w:rsidRDefault="006A19D2" w:rsidP="006A19D2">
      <w:pPr>
        <w:pStyle w:val="berschrift3"/>
      </w:pPr>
      <w:r>
        <w:t>Backhauling for ultra-dense Network Deployments</w:t>
      </w:r>
    </w:p>
    <w:p w:rsidR="006A19D2" w:rsidRDefault="006A19D2" w:rsidP="00976FB8">
      <w:pPr>
        <w:jc w:val="both"/>
      </w:pPr>
    </w:p>
    <w:p w:rsidR="00976FB8" w:rsidRDefault="00306268" w:rsidP="00976FB8">
      <w:pPr>
        <w:jc w:val="both"/>
      </w:pPr>
      <w:r>
        <w:t>With the foreseen implementa</w:t>
      </w:r>
      <w:r w:rsidR="00976FB8">
        <w:t>ti</w:t>
      </w:r>
      <w:r>
        <w:t>on of indoor ultra-high br</w:t>
      </w:r>
      <w:r w:rsidR="00976FB8">
        <w:t>oa</w:t>
      </w:r>
      <w:r>
        <w:t>dband access in f</w:t>
      </w:r>
      <w:r w:rsidR="00976FB8">
        <w:t>if</w:t>
      </w:r>
      <w:r>
        <w:t xml:space="preserve">th generation </w:t>
      </w:r>
      <w:r w:rsidR="00976FB8">
        <w:t xml:space="preserve">(5G) </w:t>
      </w:r>
      <w:r>
        <w:t xml:space="preserve">systems the backhauling  capacity </w:t>
      </w:r>
      <w:r w:rsidR="00976FB8">
        <w:t>may b</w:t>
      </w:r>
      <w:r w:rsidR="00D74E76">
        <w:t>ecome critical. For example [3]</w:t>
      </w:r>
      <w:r w:rsidR="00976FB8">
        <w:t xml:space="preserve"> mentions that t</w:t>
      </w:r>
      <w:r w:rsidR="00031ACF">
        <w:t>raditiona</w:t>
      </w:r>
      <w:r w:rsidR="00976FB8">
        <w:t xml:space="preserve">l backhaul that </w:t>
      </w:r>
      <w:proofErr w:type="spellStart"/>
      <w:r w:rsidR="00976FB8">
        <w:t>utilzes</w:t>
      </w:r>
      <w:proofErr w:type="spellEnd"/>
      <w:r w:rsidR="00976FB8">
        <w:t xml:space="preserve"> narrow bandwidth is regarded as a potential </w:t>
      </w:r>
      <w:proofErr w:type="spellStart"/>
      <w:r w:rsidR="00976FB8">
        <w:t>bottelneck</w:t>
      </w:r>
      <w:proofErr w:type="spellEnd"/>
      <w:r w:rsidR="00976FB8">
        <w:t xml:space="preserve"> for the overall </w:t>
      </w:r>
      <w:proofErr w:type="spellStart"/>
      <w:r w:rsidR="00976FB8">
        <w:t>cellulra</w:t>
      </w:r>
      <w:proofErr w:type="spellEnd"/>
      <w:r w:rsidR="00976FB8">
        <w:t xml:space="preserve"> network.  This view is also supported by figures reported in t</w:t>
      </w:r>
      <w:r>
        <w:t xml:space="preserve">he </w:t>
      </w:r>
      <w:r w:rsidR="00031ACF">
        <w:t xml:space="preserve">recently published </w:t>
      </w:r>
      <w:r>
        <w:t>NGMN 5G White Paper [</w:t>
      </w:r>
      <w:r w:rsidR="00976FB8">
        <w:t xml:space="preserve">2], which </w:t>
      </w:r>
      <w:r>
        <w:t>for</w:t>
      </w:r>
      <w:r w:rsidR="00976FB8">
        <w:t>e</w:t>
      </w:r>
      <w:r>
        <w:t xml:space="preserve">casts an aggregated traffic density of </w:t>
      </w:r>
      <w:r w:rsidR="00976FB8">
        <w:t xml:space="preserve">15 </w:t>
      </w:r>
      <w:proofErr w:type="spellStart"/>
      <w:r w:rsidR="00976FB8">
        <w:t>Tbps</w:t>
      </w:r>
      <w:proofErr w:type="spellEnd"/>
      <w:r w:rsidR="00976FB8">
        <w:t>/km</w:t>
      </w:r>
      <w:r w:rsidR="00976FB8" w:rsidRPr="00976FB8">
        <w:rPr>
          <w:vertAlign w:val="superscript"/>
        </w:rPr>
        <w:t>2</w:t>
      </w:r>
      <w:r>
        <w:t xml:space="preserve"> for the downlink and 2 </w:t>
      </w:r>
      <w:proofErr w:type="spellStart"/>
      <w:r>
        <w:t>Tbps</w:t>
      </w:r>
      <w:proofErr w:type="spellEnd"/>
      <w:r>
        <w:t>/km</w:t>
      </w:r>
      <w:r w:rsidR="00976FB8" w:rsidRPr="00976FB8">
        <w:rPr>
          <w:vertAlign w:val="superscript"/>
        </w:rPr>
        <w:t>2</w:t>
      </w:r>
      <w:r>
        <w:t xml:space="preserve"> in the Uplink for </w:t>
      </w:r>
      <w:r w:rsidR="00976FB8">
        <w:t>indoor ultra-high broadband access</w:t>
      </w:r>
      <w:r>
        <w:t>. Another application with</w:t>
      </w:r>
      <w:r w:rsidR="00976FB8">
        <w:t xml:space="preserve"> similar aggregated traffic is b</w:t>
      </w:r>
      <w:r>
        <w:t>r</w:t>
      </w:r>
      <w:r w:rsidR="00976FB8">
        <w:t>oadband access in c</w:t>
      </w:r>
      <w:r>
        <w:t xml:space="preserve">rowd (e. g. in a </w:t>
      </w:r>
      <w:r w:rsidR="00976FB8">
        <w:t>stadium), where the NGMN Wh</w:t>
      </w:r>
      <w:r>
        <w:t xml:space="preserve">ite Paper predicts 0,75 </w:t>
      </w:r>
      <w:proofErr w:type="spellStart"/>
      <w:r>
        <w:t>Tbps</w:t>
      </w:r>
      <w:proofErr w:type="spellEnd"/>
      <w:r>
        <w:t xml:space="preserve">/stadium in the DL and 1.5 </w:t>
      </w:r>
      <w:proofErr w:type="spellStart"/>
      <w:r>
        <w:t>Tbps</w:t>
      </w:r>
      <w:proofErr w:type="spellEnd"/>
      <w:r>
        <w:t>/stadium in the UL</w:t>
      </w:r>
      <w:r w:rsidR="00976FB8">
        <w:t>.</w:t>
      </w:r>
      <w:r>
        <w:t xml:space="preserve"> </w:t>
      </w:r>
      <w:r w:rsidR="00976FB8">
        <w:t>Such high dem</w:t>
      </w:r>
      <w:r w:rsidR="00031ACF">
        <w:t>an</w:t>
      </w:r>
      <w:r w:rsidR="00976FB8">
        <w:t>d of traffic at loc</w:t>
      </w:r>
      <w:r w:rsidR="00031ACF">
        <w:t>a</w:t>
      </w:r>
      <w:r w:rsidR="00976FB8">
        <w:t>l hot spots may require aggregated backhauling, see Fig. 7.2 [1].</w:t>
      </w:r>
    </w:p>
    <w:p w:rsidR="00976FB8" w:rsidRDefault="00976FB8" w:rsidP="00976FB8">
      <w:pPr>
        <w:jc w:val="both"/>
      </w:pPr>
    </w:p>
    <w:p w:rsidR="00031ACF" w:rsidRDefault="00031ACF" w:rsidP="00976FB8">
      <w:pPr>
        <w:jc w:val="both"/>
      </w:pPr>
    </w:p>
    <w:p w:rsidR="00031ACF" w:rsidRDefault="00031ACF" w:rsidP="00031ACF">
      <w:pPr>
        <w:jc w:val="center"/>
      </w:pPr>
      <w:r>
        <w:rPr>
          <w:noProof/>
          <w:lang w:val="de-DE" w:eastAsia="de-DE"/>
        </w:rPr>
        <w:drawing>
          <wp:inline distT="0" distB="0" distL="0" distR="0">
            <wp:extent cx="2993390" cy="1932305"/>
            <wp:effectExtent l="1905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993390" cy="1932305"/>
                    </a:xfrm>
                    <a:prstGeom prst="rect">
                      <a:avLst/>
                    </a:prstGeom>
                    <a:noFill/>
                  </pic:spPr>
                </pic:pic>
              </a:graphicData>
            </a:graphic>
          </wp:inline>
        </w:drawing>
      </w:r>
    </w:p>
    <w:p w:rsidR="00031ACF" w:rsidRDefault="00031ACF" w:rsidP="00031ACF">
      <w:pPr>
        <w:jc w:val="center"/>
      </w:pPr>
      <w:r>
        <w:t xml:space="preserve">Fig. 7.2 </w:t>
      </w:r>
      <w:proofErr w:type="spellStart"/>
      <w:r>
        <w:t>Aggegration</w:t>
      </w:r>
      <w:proofErr w:type="spellEnd"/>
      <w:r>
        <w:t xml:space="preserve"> of Backhaul links [1]</w:t>
      </w:r>
    </w:p>
    <w:p w:rsidR="00031ACF" w:rsidRDefault="00031ACF" w:rsidP="00031ACF">
      <w:pPr>
        <w:jc w:val="center"/>
      </w:pPr>
    </w:p>
    <w:p w:rsidR="00AC05BE" w:rsidRDefault="00306268" w:rsidP="00976FB8">
      <w:pPr>
        <w:jc w:val="both"/>
      </w:pPr>
      <w:r>
        <w:t>Since not all network operator</w:t>
      </w:r>
      <w:r w:rsidR="00976FB8">
        <w:t>s</w:t>
      </w:r>
      <w:r>
        <w:t xml:space="preserve"> have access </w:t>
      </w:r>
      <w:r w:rsidR="00976FB8">
        <w:t xml:space="preserve">to </w:t>
      </w:r>
      <w:proofErr w:type="spellStart"/>
      <w:r w:rsidR="00976FB8">
        <w:t>fibre</w:t>
      </w:r>
      <w:proofErr w:type="spellEnd"/>
      <w:r w:rsidR="00976FB8">
        <w:t xml:space="preserve"> netwo</w:t>
      </w:r>
      <w:r>
        <w:t>rks</w:t>
      </w:r>
      <w:r w:rsidR="00184873">
        <w:t>,</w:t>
      </w:r>
      <w:r>
        <w:t xml:space="preserve"> wirele</w:t>
      </w:r>
      <w:r w:rsidR="00976FB8">
        <w:t xml:space="preserve">ss backhauling is an </w:t>
      </w:r>
      <w:proofErr w:type="spellStart"/>
      <w:r w:rsidR="00976FB8">
        <w:t>obviuos</w:t>
      </w:r>
      <w:proofErr w:type="spellEnd"/>
      <w:r w:rsidR="00976FB8">
        <w:t xml:space="preserve"> alternative</w:t>
      </w:r>
      <w:r w:rsidR="00184873">
        <w:t>.</w:t>
      </w:r>
      <w:r w:rsidR="00976FB8">
        <w:t xml:space="preserve"> </w:t>
      </w:r>
      <w:r w:rsidR="006A19D2">
        <w:t xml:space="preserve"> Since also backhaul n</w:t>
      </w:r>
      <w:r w:rsidR="006A19D2" w:rsidRPr="006A19D2">
        <w:t>etworking flexibility is critical to successful deployments [</w:t>
      </w:r>
      <w:r w:rsidR="006A19D2">
        <w:t>4</w:t>
      </w:r>
      <w:r w:rsidR="006A19D2" w:rsidRPr="006A19D2">
        <w:t>]</w:t>
      </w:r>
      <w:r w:rsidR="006A19D2">
        <w:t xml:space="preserve">, wireless backhaul may be advantageous over </w:t>
      </w:r>
      <w:proofErr w:type="spellStart"/>
      <w:r w:rsidR="006A19D2">
        <w:t>fibre</w:t>
      </w:r>
      <w:proofErr w:type="spellEnd"/>
      <w:r w:rsidR="006A19D2">
        <w:t>-based backhauling.</w:t>
      </w:r>
    </w:p>
    <w:p w:rsidR="00184873" w:rsidRDefault="00184873" w:rsidP="00AC05BE"/>
    <w:p w:rsidR="006A19D2" w:rsidRDefault="006A19D2" w:rsidP="006A19D2">
      <w:pPr>
        <w:pStyle w:val="berschrift3"/>
      </w:pPr>
      <w:r>
        <w:t>Backhauling for the Deployment of Cooperative Multipoint Transmission</w:t>
      </w:r>
    </w:p>
    <w:p w:rsidR="006A19D2" w:rsidRDefault="006A19D2" w:rsidP="006A19D2">
      <w:pPr>
        <w:ind w:left="720"/>
      </w:pPr>
    </w:p>
    <w:p w:rsidR="00FA7C49" w:rsidRPr="00071C8B" w:rsidRDefault="006A19D2" w:rsidP="006A19D2">
      <w:pPr>
        <w:jc w:val="both"/>
      </w:pPr>
      <w:r>
        <w:t>The t</w:t>
      </w:r>
      <w:r w:rsidR="00906AD2" w:rsidRPr="00071C8B">
        <w:t>ight coordination of transmitted signals by several base stations will reduce interference</w:t>
      </w:r>
      <w:r>
        <w:t xml:space="preserve">, which in turn will increase the capacity of the network. Such concepts have been subject to </w:t>
      </w:r>
      <w:proofErr w:type="spellStart"/>
      <w:r>
        <w:t>standardistaion</w:t>
      </w:r>
      <w:proofErr w:type="spellEnd"/>
      <w:r>
        <w:t xml:space="preserve"> in 3GPP [5]. In order to apply this concept</w:t>
      </w:r>
      <w:r w:rsidR="00906AD2" w:rsidRPr="00071C8B">
        <w:t xml:space="preserve"> </w:t>
      </w:r>
      <w:r>
        <w:t>e</w:t>
      </w:r>
      <w:r w:rsidR="00906AD2" w:rsidRPr="00071C8B">
        <w:t xml:space="preserve">ach base station </w:t>
      </w:r>
      <w:r>
        <w:t xml:space="preserve">requires information about the </w:t>
      </w:r>
      <w:r w:rsidR="00906AD2" w:rsidRPr="00071C8B">
        <w:t>transmis</w:t>
      </w:r>
      <w:r>
        <w:t>s</w:t>
      </w:r>
      <w:r w:rsidR="00906AD2" w:rsidRPr="00071C8B">
        <w:t>ion of all other base stations received within a cell</w:t>
      </w:r>
      <w:r w:rsidR="009244AE">
        <w:t>, see Fig. 7.3</w:t>
      </w:r>
      <w:r>
        <w:t>.</w:t>
      </w:r>
      <w:r w:rsidR="00906AD2" w:rsidRPr="00071C8B">
        <w:t xml:space="preserve"> </w:t>
      </w:r>
      <w:r>
        <w:t xml:space="preserve"> This requires </w:t>
      </w:r>
      <w:r w:rsidR="009244AE">
        <w:t xml:space="preserve">high-capacity </w:t>
      </w:r>
      <w:r>
        <w:t xml:space="preserve">backhaul connections </w:t>
      </w:r>
      <w:proofErr w:type="spellStart"/>
      <w:r>
        <w:t>betweeen</w:t>
      </w:r>
      <w:proofErr w:type="spellEnd"/>
      <w:r>
        <w:t xml:space="preserve"> all inv</w:t>
      </w:r>
      <w:r w:rsidR="009244AE">
        <w:t>ol</w:t>
      </w:r>
      <w:r>
        <w:t>ved cells. The r</w:t>
      </w:r>
      <w:r w:rsidR="00906AD2" w:rsidRPr="00071C8B">
        <w:t>equirement for high backhaul ca</w:t>
      </w:r>
      <w:r>
        <w:t xml:space="preserve">pacity currently restricts deployment of </w:t>
      </w:r>
      <w:proofErr w:type="spellStart"/>
      <w:r>
        <w:t>CoMP.</w:t>
      </w:r>
      <w:proofErr w:type="spellEnd"/>
      <w:r>
        <w:t xml:space="preserve"> </w:t>
      </w:r>
      <w:r w:rsidR="009244AE">
        <w:t>P</w:t>
      </w:r>
      <w:r>
        <w:t>roviding sufficient backhauling capacity</w:t>
      </w:r>
      <w:r w:rsidR="009244AE">
        <w:t xml:space="preserve"> will be a key enabler for the </w:t>
      </w:r>
      <w:proofErr w:type="spellStart"/>
      <w:r w:rsidR="009244AE">
        <w:t>introdcution</w:t>
      </w:r>
      <w:proofErr w:type="spellEnd"/>
      <w:r w:rsidR="009244AE">
        <w:t xml:space="preserve"> of </w:t>
      </w:r>
      <w:proofErr w:type="spellStart"/>
      <w:r w:rsidR="009244AE">
        <w:t>CoMP.</w:t>
      </w:r>
      <w:proofErr w:type="spellEnd"/>
    </w:p>
    <w:p w:rsidR="00071C8B" w:rsidRDefault="00071C8B" w:rsidP="006A19D2">
      <w:pPr>
        <w:jc w:val="both"/>
      </w:pPr>
    </w:p>
    <w:p w:rsidR="00071C8B" w:rsidRDefault="00071C8B" w:rsidP="009244AE">
      <w:pPr>
        <w:jc w:val="center"/>
      </w:pPr>
      <w:r>
        <w:rPr>
          <w:noProof/>
          <w:lang w:val="de-DE" w:eastAsia="de-DE"/>
        </w:rPr>
        <w:drawing>
          <wp:inline distT="0" distB="0" distL="0" distR="0">
            <wp:extent cx="2993390" cy="1932305"/>
            <wp:effectExtent l="19050" t="0" r="0" b="0"/>
            <wp:docPr id="438" name="Bild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0" cstate="print"/>
                    <a:srcRect/>
                    <a:stretch>
                      <a:fillRect/>
                    </a:stretch>
                  </pic:blipFill>
                  <pic:spPr bwMode="auto">
                    <a:xfrm>
                      <a:off x="0" y="0"/>
                      <a:ext cx="2993390" cy="1932305"/>
                    </a:xfrm>
                    <a:prstGeom prst="rect">
                      <a:avLst/>
                    </a:prstGeom>
                    <a:noFill/>
                  </pic:spPr>
                </pic:pic>
              </a:graphicData>
            </a:graphic>
          </wp:inline>
        </w:drawing>
      </w:r>
    </w:p>
    <w:p w:rsidR="00310EC0" w:rsidRPr="009F2548" w:rsidRDefault="009244AE" w:rsidP="009244AE">
      <w:pPr>
        <w:jc w:val="center"/>
      </w:pPr>
      <w:r>
        <w:t xml:space="preserve">Fig. 7.3 Backhauling between base stations when </w:t>
      </w:r>
      <w:proofErr w:type="spellStart"/>
      <w:r>
        <w:t>CoMP</w:t>
      </w:r>
      <w:proofErr w:type="spellEnd"/>
      <w:r>
        <w:t xml:space="preserve"> is applied [1]</w:t>
      </w:r>
    </w:p>
    <w:p w:rsidR="00AC05BE" w:rsidRPr="009F2548" w:rsidRDefault="00AC05BE" w:rsidP="006A51DC">
      <w:pPr>
        <w:pStyle w:val="berschrift2"/>
      </w:pPr>
      <w:bookmarkStart w:id="3" w:name="_Toc408921961"/>
      <w:r w:rsidRPr="009F2548">
        <w:lastRenderedPageBreak/>
        <w:t>Definition of a typical transmission range</w:t>
      </w:r>
      <w:bookmarkEnd w:id="3"/>
    </w:p>
    <w:p w:rsidR="0020036A" w:rsidRDefault="0020036A" w:rsidP="0020036A">
      <w:pPr>
        <w:ind w:left="360"/>
      </w:pPr>
    </w:p>
    <w:p w:rsidR="00AC05BE" w:rsidRPr="009F2548" w:rsidRDefault="0035407B" w:rsidP="0020036A">
      <w:r>
        <w:t xml:space="preserve">The typical range for this application is in the order of a </w:t>
      </w:r>
      <w:r w:rsidR="0020036A">
        <w:t>few hundred meters up to several kilometers</w:t>
      </w:r>
      <w:r>
        <w:t xml:space="preserve">. </w:t>
      </w:r>
    </w:p>
    <w:p w:rsidR="00AC05BE" w:rsidRPr="009F2548" w:rsidRDefault="00AC05BE" w:rsidP="006A51DC">
      <w:pPr>
        <w:pStyle w:val="berschrift2"/>
      </w:pPr>
      <w:bookmarkStart w:id="4" w:name="_Toc408921962"/>
      <w:r w:rsidRPr="009F2548">
        <w:t>Description of the conditions to achi</w:t>
      </w:r>
      <w:r w:rsidR="000C6D60">
        <w:rPr>
          <w:rFonts w:hint="eastAsia"/>
        </w:rPr>
        <w:t>e</w:t>
      </w:r>
      <w:r w:rsidRPr="009F2548">
        <w:t>ve the Target data rate</w:t>
      </w:r>
      <w:bookmarkEnd w:id="4"/>
      <w:r w:rsidRPr="009F2548">
        <w:t xml:space="preserve"> </w:t>
      </w:r>
    </w:p>
    <w:p w:rsidR="00FC1FE4" w:rsidRDefault="00FC1FE4" w:rsidP="00FC1FE4">
      <w:pPr>
        <w:jc w:val="both"/>
      </w:pPr>
    </w:p>
    <w:p w:rsidR="00FC1FE4" w:rsidRDefault="00FC1FE4" w:rsidP="00FC1FE4">
      <w:pPr>
        <w:jc w:val="both"/>
      </w:pPr>
      <w:r>
        <w:t xml:space="preserve">Due to the high attenuation caused by diffraction a line-of-sight condition is required. In addition to the high free-space loss the </w:t>
      </w:r>
      <w:proofErr w:type="spellStart"/>
      <w:r>
        <w:t>atmpspheric</w:t>
      </w:r>
      <w:proofErr w:type="spellEnd"/>
      <w:r>
        <w:t xml:space="preserve"> attenuation [9] becomes important. The attenuation of electromagnetic waves in the atmosphere occurs due to interactions and resonances with the molecules of the atmosphere[9,10]. Especially the water </w:t>
      </w:r>
      <w:proofErr w:type="spellStart"/>
      <w:r>
        <w:t>vapour</w:t>
      </w:r>
      <w:proofErr w:type="spellEnd"/>
      <w:r>
        <w:t xml:space="preserve"> has an important influence on THz-waves. The specific attenuation can be calculated with the ITU-R [11] and </w:t>
      </w:r>
      <w:r w:rsidRPr="00E519CA">
        <w:rPr>
          <w:i/>
          <w:iCs/>
        </w:rPr>
        <w:t>am</w:t>
      </w:r>
      <w:r>
        <w:t xml:space="preserve"> [12] models. However, fog and especially rain can lead to a scattering of the THz-waves at the water droplets, which reduces the power at the receiver [13,14]. In most cases the atmospheric attenuation adds to the attenuation of either the fog or the rain, but not both together.  If it is assumed that the maximum allowed attenuation for a given application amounts to 100 dB/km, 5 different transmission windows can be allocated in the frequency range between 300 and 900 GHz. The center frequencies and bandwidths of these transmission windows are given in Table 7.1 [9,10].</w:t>
      </w:r>
    </w:p>
    <w:p w:rsidR="0092797E" w:rsidRPr="00776DF2" w:rsidRDefault="0092797E" w:rsidP="00FC1FE4">
      <w:pPr>
        <w:jc w:val="both"/>
      </w:pPr>
    </w:p>
    <w:p w:rsidR="00FC1FE4" w:rsidRDefault="00FC1FE4" w:rsidP="00FC1FE4">
      <w:pPr>
        <w:jc w:val="center"/>
      </w:pPr>
      <w:r>
        <w:rPr>
          <w:noProof/>
          <w:lang w:val="de-DE" w:eastAsia="de-DE"/>
        </w:rPr>
        <w:drawing>
          <wp:inline distT="0" distB="0" distL="0" distR="0">
            <wp:extent cx="3808730" cy="1645920"/>
            <wp:effectExtent l="19050" t="0" r="1270" b="0"/>
            <wp:docPr id="12"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3808730" cy="1645920"/>
                    </a:xfrm>
                    <a:prstGeom prst="rect">
                      <a:avLst/>
                    </a:prstGeom>
                    <a:noFill/>
                    <a:ln w="9525">
                      <a:noFill/>
                      <a:miter lim="800000"/>
                      <a:headEnd/>
                      <a:tailEnd/>
                    </a:ln>
                  </pic:spPr>
                </pic:pic>
              </a:graphicData>
            </a:graphic>
          </wp:inline>
        </w:drawing>
      </w:r>
    </w:p>
    <w:p w:rsidR="00FC1FE4" w:rsidRDefault="00E555E2" w:rsidP="00FC1FE4">
      <w:pPr>
        <w:jc w:val="center"/>
      </w:pPr>
      <w:r w:rsidRPr="00E555E2">
        <w:rPr>
          <w:noProof/>
        </w:rPr>
        <w:pict>
          <v:shapetype id="_x0000_t202" coordsize="21600,21600" o:spt="202" path="m,l,21600r21600,l21600,xe">
            <v:stroke joinstyle="miter"/>
            <v:path gradientshapeok="t" o:connecttype="rect"/>
          </v:shapetype>
          <v:shape id="_x0000_s1035" type="#_x0000_t202" style="position:absolute;left:0;text-align:left;margin-left:7.7pt;margin-top:1.1pt;width:464.05pt;height:38.55pt;z-index:251660288" stroked="f">
            <v:textbox style="mso-next-textbox:#_x0000_s1035" inset="0,0,0,0">
              <w:txbxContent>
                <w:p w:rsidR="00FC1FE4" w:rsidRPr="004F7CE6" w:rsidRDefault="00FC1FE4" w:rsidP="00FC1FE4">
                  <w:pPr>
                    <w:pStyle w:val="Beschriftung"/>
                    <w:jc w:val="center"/>
                    <w:rPr>
                      <w:rFonts w:eastAsia="MS Mincho"/>
                      <w:noProof/>
                      <w:sz w:val="24"/>
                    </w:rPr>
                  </w:pPr>
                  <w:r>
                    <w:t>Table 7.</w:t>
                  </w:r>
                  <w:r w:rsidR="00E555E2">
                    <w:fldChar w:fldCharType="begin"/>
                  </w:r>
                  <w:r>
                    <w:instrText xml:space="preserve"> SEQ Table \* ARABIC </w:instrText>
                  </w:r>
                  <w:r w:rsidR="00E555E2">
                    <w:fldChar w:fldCharType="separate"/>
                  </w:r>
                  <w:r>
                    <w:rPr>
                      <w:noProof/>
                    </w:rPr>
                    <w:t>1</w:t>
                  </w:r>
                  <w:r w:rsidR="00E555E2">
                    <w:fldChar w:fldCharType="end"/>
                  </w:r>
                  <w:r>
                    <w:tab/>
                    <w:t xml:space="preserve">Bandwidths and </w:t>
                  </w:r>
                  <w:proofErr w:type="spellStart"/>
                  <w:r>
                    <w:t>center</w:t>
                  </w:r>
                  <w:proofErr w:type="spellEnd"/>
                  <w:r>
                    <w:t xml:space="preserve"> frequencies of the transmission windows in the frequency range of 330 GHz and 900 GHz with an overall attenuation below 100 dB/km in the worst case</w:t>
                  </w:r>
                </w:p>
              </w:txbxContent>
            </v:textbox>
          </v:shape>
        </w:pict>
      </w:r>
    </w:p>
    <w:p w:rsidR="00FC1FE4" w:rsidRDefault="00FC1FE4" w:rsidP="00FC1FE4"/>
    <w:p w:rsidR="00FC1FE4" w:rsidRDefault="00FC1FE4" w:rsidP="00FC1FE4"/>
    <w:p w:rsidR="0078727A" w:rsidRDefault="0078727A" w:rsidP="0078727A">
      <w:pPr>
        <w:jc w:val="both"/>
      </w:pPr>
      <w:r>
        <w:t xml:space="preserve">Due to the very high path loss accompanied with THz transmission, for outdoor applications high antenna gains are required. The antenna gain depends on the distance, transmitted data rate, carrier frequency and application. However, an example for a fixed wireless link with a distance of 1 km under worst environmental conditions of a rain rate of 50 mm/h is given in Figure 7. For shorter distances, or better atmospheric conditions, antennas with lower gain can be used. If a transmit power of 10 </w:t>
      </w:r>
      <w:proofErr w:type="spellStart"/>
      <w:r>
        <w:t>dBm</w:t>
      </w:r>
      <w:proofErr w:type="spellEnd"/>
      <w:r>
        <w:t>, a noise figure of 10 dB, and an ambient temperature of 300 K is assumed, the maximum transmittable data rates per GHz bandwidth in a 1 km link are shown in Figure 7.4 [10].</w:t>
      </w:r>
    </w:p>
    <w:p w:rsidR="0078727A" w:rsidRDefault="0078727A" w:rsidP="0078727A"/>
    <w:p w:rsidR="0078727A" w:rsidRDefault="0078727A" w:rsidP="0078727A">
      <w:pPr>
        <w:jc w:val="center"/>
      </w:pPr>
      <w:r>
        <w:rPr>
          <w:noProof/>
          <w:lang w:val="de-DE" w:eastAsia="de-DE"/>
        </w:rPr>
        <w:lastRenderedPageBreak/>
        <w:drawing>
          <wp:inline distT="0" distB="0" distL="0" distR="0">
            <wp:extent cx="4420870" cy="3172460"/>
            <wp:effectExtent l="19050" t="0" r="0" b="0"/>
            <wp:docPr id="94" name="Bild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2" cstate="print"/>
                    <a:srcRect/>
                    <a:stretch>
                      <a:fillRect/>
                    </a:stretch>
                  </pic:blipFill>
                  <pic:spPr bwMode="auto">
                    <a:xfrm>
                      <a:off x="0" y="0"/>
                      <a:ext cx="4420870" cy="3172460"/>
                    </a:xfrm>
                    <a:prstGeom prst="rect">
                      <a:avLst/>
                    </a:prstGeom>
                    <a:noFill/>
                    <a:ln w="9525">
                      <a:noFill/>
                      <a:miter lim="800000"/>
                      <a:headEnd/>
                      <a:tailEnd/>
                    </a:ln>
                  </pic:spPr>
                </pic:pic>
              </a:graphicData>
            </a:graphic>
          </wp:inline>
        </w:drawing>
      </w:r>
    </w:p>
    <w:p w:rsidR="0078727A" w:rsidRPr="009F2548" w:rsidRDefault="0078727A" w:rsidP="0078727A">
      <w:pPr>
        <w:jc w:val="center"/>
      </w:pPr>
      <w:r>
        <w:t xml:space="preserve">Fig. 7.4 </w:t>
      </w:r>
      <w:r w:rsidR="00D74E76">
        <w:t>Maximum data rate per GHz as a function of antenna gains and carrier frequency</w:t>
      </w:r>
    </w:p>
    <w:p w:rsidR="0078727A" w:rsidRDefault="0078727A" w:rsidP="0078727A">
      <w:pPr>
        <w:jc w:val="center"/>
      </w:pPr>
    </w:p>
    <w:p w:rsidR="0078727A" w:rsidRDefault="0078727A" w:rsidP="0078727A"/>
    <w:p w:rsidR="0078727A" w:rsidRDefault="0078727A" w:rsidP="0078727A">
      <w:r>
        <w:t xml:space="preserve">From Figure 7.4, very high data rates can only be transmitted if the antenna gains are respectively high. For an antenna gain of 50 </w:t>
      </w:r>
      <w:proofErr w:type="spellStart"/>
      <w:r>
        <w:t>dBi</w:t>
      </w:r>
      <w:proofErr w:type="spellEnd"/>
      <w:r>
        <w:t xml:space="preserve"> for the transmitter and receiver antennas a maximum data rate of 25 </w:t>
      </w:r>
      <w:proofErr w:type="spellStart"/>
      <w:r>
        <w:t>Gbps</w:t>
      </w:r>
      <w:proofErr w:type="spellEnd"/>
      <w:r>
        <w:t xml:space="preserve"> can be transmitted in the 76 GHz bandwidth available in the first window. However, if the antenna gain is increased to 70 </w:t>
      </w:r>
      <w:proofErr w:type="spellStart"/>
      <w:r>
        <w:t>dBi</w:t>
      </w:r>
      <w:proofErr w:type="spellEnd"/>
      <w:r>
        <w:t xml:space="preserve">, the maximum data rate can be increased to about 860 </w:t>
      </w:r>
      <w:proofErr w:type="spellStart"/>
      <w:r>
        <w:t>Gbps</w:t>
      </w:r>
      <w:proofErr w:type="spellEnd"/>
      <w:r>
        <w:t xml:space="preserve"> in the first transmission window. </w:t>
      </w:r>
    </w:p>
    <w:p w:rsidR="0078727A" w:rsidRDefault="0078727A" w:rsidP="0078727A"/>
    <w:p w:rsidR="0078727A" w:rsidRDefault="0078727A" w:rsidP="0078727A">
      <w:r>
        <w:t xml:space="preserve">For 70 </w:t>
      </w:r>
      <w:proofErr w:type="spellStart"/>
      <w:r>
        <w:t>dBi</w:t>
      </w:r>
      <w:proofErr w:type="spellEnd"/>
      <w:r>
        <w:t xml:space="preserve"> antenna gain the angle for loss of connectivity due to fluctuation of the pole and the pole twist is just 0.13°. The requirement for adaptive antenna alignments or control mechanisms to compensate for pole sway/twist depends on the grade of sway/twist impairments, given by the antenna installations, e.g. type of pole or building.</w:t>
      </w:r>
    </w:p>
    <w:p w:rsidR="00AC05BE" w:rsidRPr="009F2548" w:rsidRDefault="00FC1FE4" w:rsidP="00FC1FE4">
      <w:r>
        <w:t xml:space="preserve"> </w:t>
      </w:r>
    </w:p>
    <w:p w:rsidR="00AC05BE" w:rsidRPr="009F2548" w:rsidRDefault="00AC05BE" w:rsidP="006A51DC">
      <w:pPr>
        <w:pStyle w:val="berschrift2"/>
      </w:pPr>
      <w:bookmarkStart w:id="5" w:name="_Toc408921963"/>
      <w:r w:rsidRPr="009F2548">
        <w:t>Specific issues with respect to regulation</w:t>
      </w:r>
      <w:r w:rsidR="000C6D60">
        <w:rPr>
          <w:rFonts w:hint="eastAsia"/>
        </w:rPr>
        <w:t>s</w:t>
      </w:r>
      <w:bookmarkEnd w:id="5"/>
    </w:p>
    <w:p w:rsidR="00AC05BE" w:rsidRPr="009F2548" w:rsidRDefault="00D74E76" w:rsidP="00AC05BE">
      <w:r>
        <w:t>Due to he operation in outdoor environments measures to avoid interference of passive services operating in the same band has to be avoided. Results on investigations of potential interference for fixed wireless links are reported in</w:t>
      </w:r>
      <w:r w:rsidR="00FC1FE4">
        <w:t xml:space="preserve"> [15,16]</w:t>
      </w:r>
      <w:r>
        <w:t>.</w:t>
      </w:r>
    </w:p>
    <w:p w:rsidR="00AC05BE" w:rsidRDefault="00AC05BE" w:rsidP="006A51DC">
      <w:pPr>
        <w:pStyle w:val="berschrift2"/>
      </w:pPr>
      <w:bookmarkStart w:id="6" w:name="_Toc408921964"/>
      <w:r w:rsidRPr="009F2548">
        <w:t>Specific requirements with respect to the MAC</w:t>
      </w:r>
      <w:bookmarkEnd w:id="6"/>
      <w:r w:rsidRPr="009F2548">
        <w:t xml:space="preserve"> </w:t>
      </w:r>
    </w:p>
    <w:p w:rsidR="00D74E76" w:rsidRDefault="00D74E76" w:rsidP="00D74E76">
      <w:pPr>
        <w:jc w:val="both"/>
      </w:pPr>
      <w:r>
        <w:t xml:space="preserve">The application </w:t>
      </w:r>
      <w:r w:rsidR="00071C8B">
        <w:t>highly-directed antennas</w:t>
      </w:r>
      <w:r>
        <w:t xml:space="preserve"> used in fixed point-to-point links yields to low interference and low </w:t>
      </w:r>
      <w:proofErr w:type="spellStart"/>
      <w:r>
        <w:t>porbability</w:t>
      </w:r>
      <w:proofErr w:type="spellEnd"/>
      <w:r w:rsidR="00071C8B">
        <w:t xml:space="preserve"> of collision. </w:t>
      </w:r>
      <w:r>
        <w:t xml:space="preserve">This may yield in simplified solutions for the MAC. </w:t>
      </w:r>
      <w:bookmarkStart w:id="7" w:name="_Toc408921965"/>
    </w:p>
    <w:p w:rsidR="00D74E76" w:rsidRDefault="00D74E76" w:rsidP="00D74E76">
      <w:pPr>
        <w:jc w:val="both"/>
      </w:pPr>
    </w:p>
    <w:p w:rsidR="00310EC0" w:rsidRPr="00310EC0" w:rsidRDefault="00AC05BE" w:rsidP="00D74E76">
      <w:pPr>
        <w:pStyle w:val="berschrift2"/>
      </w:pPr>
      <w:r w:rsidRPr="009F2548">
        <w:lastRenderedPageBreak/>
        <w:t>Other issues</w:t>
      </w:r>
      <w:bookmarkEnd w:id="7"/>
    </w:p>
    <w:p w:rsidR="00D74E76" w:rsidRPr="00A179D7" w:rsidRDefault="00D74E76" w:rsidP="00D74E76">
      <w:pPr>
        <w:jc w:val="both"/>
      </w:pPr>
      <w:r w:rsidRPr="00310EC0">
        <w:t>There is a trend that IP/Ethernet gets more importance as a transport technology for backhauling in mobile networks [</w:t>
      </w:r>
      <w:r>
        <w:t xml:space="preserve">4,6,7,8]. The standard </w:t>
      </w:r>
      <w:proofErr w:type="spellStart"/>
      <w:r>
        <w:t>shpuld</w:t>
      </w:r>
      <w:proofErr w:type="spellEnd"/>
      <w:r>
        <w:t xml:space="preserve"> foresee the Capability to carry carrier </w:t>
      </w:r>
      <w:proofErr w:type="spellStart"/>
      <w:r>
        <w:t>Etherent</w:t>
      </w:r>
      <w:proofErr w:type="spellEnd"/>
      <w:r>
        <w:t xml:space="preserve"> packets as </w:t>
      </w:r>
      <w:proofErr w:type="spellStart"/>
      <w:r>
        <w:t>paylaod</w:t>
      </w:r>
      <w:proofErr w:type="spellEnd"/>
      <w:r>
        <w:t>.</w:t>
      </w:r>
    </w:p>
    <w:p w:rsidR="00310EC0" w:rsidRDefault="00310EC0" w:rsidP="006A51DC"/>
    <w:p w:rsidR="00310EC0" w:rsidRDefault="009244AE" w:rsidP="009244AE">
      <w:pPr>
        <w:pStyle w:val="berschrift2"/>
      </w:pPr>
      <w:r>
        <w:t>References</w:t>
      </w:r>
    </w:p>
    <w:p w:rsidR="00310EC0" w:rsidRDefault="00310EC0" w:rsidP="006A51DC"/>
    <w:p w:rsidR="00976FB8" w:rsidRDefault="00976FB8" w:rsidP="00310EC0">
      <w:r>
        <w:t>[1]</w:t>
      </w:r>
      <w:r>
        <w:tab/>
      </w:r>
      <w:r w:rsidR="00D74E76">
        <w:t>T. Kürner, "</w:t>
      </w:r>
      <w:r w:rsidR="00D74E76" w:rsidRPr="00D74E76">
        <w:t>Requirements on Wireless Backhauling/</w:t>
      </w:r>
      <w:proofErr w:type="spellStart"/>
      <w:r w:rsidR="00D74E76" w:rsidRPr="00D74E76">
        <w:t>Fronthauling</w:t>
      </w:r>
      <w:proofErr w:type="spellEnd"/>
      <w:r w:rsidR="00D74E76" w:rsidRPr="00D74E76">
        <w:t xml:space="preserve"> </w:t>
      </w:r>
      <w:r w:rsidR="00D74E76">
        <w:t>", IEEE 802.15-13-</w:t>
      </w:r>
      <w:r w:rsidR="00D74E76">
        <w:tab/>
        <w:t>0636-01-0thz, Dallas, November 2013.</w:t>
      </w:r>
    </w:p>
    <w:p w:rsidR="00976FB8" w:rsidRDefault="00976FB8" w:rsidP="00310EC0">
      <w:r>
        <w:t>[2]</w:t>
      </w:r>
      <w:r>
        <w:tab/>
      </w:r>
      <w:r w:rsidR="0092797E">
        <w:t>NGMN Alliance: "</w:t>
      </w:r>
      <w:r>
        <w:t xml:space="preserve">NGMN </w:t>
      </w:r>
      <w:r w:rsidR="0092797E">
        <w:t xml:space="preserve">5G </w:t>
      </w:r>
      <w:r>
        <w:t>White Paper</w:t>
      </w:r>
      <w:r w:rsidR="0092797E">
        <w:t>" , www.ngmn.org, 17.2.2015</w:t>
      </w:r>
    </w:p>
    <w:p w:rsidR="00976FB8" w:rsidRDefault="009244AE" w:rsidP="00310EC0">
      <w:r>
        <w:t>[3]</w:t>
      </w:r>
      <w:r>
        <w:tab/>
      </w:r>
      <w:proofErr w:type="spellStart"/>
      <w:r w:rsidR="0092797E">
        <w:t>P.Wang</w:t>
      </w:r>
      <w:proofErr w:type="spellEnd"/>
      <w:r w:rsidR="0092797E">
        <w:t xml:space="preserve">, Y. Li, L. Song, B. </w:t>
      </w:r>
      <w:proofErr w:type="spellStart"/>
      <w:r w:rsidR="0092797E">
        <w:t>Vucetic</w:t>
      </w:r>
      <w:proofErr w:type="spellEnd"/>
      <w:r w:rsidR="0092797E">
        <w:t xml:space="preserve">, "Multi-Gigabit Millimeter Wave Wireless </w:t>
      </w:r>
      <w:r w:rsidR="0092797E">
        <w:tab/>
      </w:r>
      <w:r w:rsidR="0092797E">
        <w:tab/>
      </w:r>
      <w:proofErr w:type="spellStart"/>
      <w:r w:rsidR="0092797E">
        <w:t>Communictions</w:t>
      </w:r>
      <w:proofErr w:type="spellEnd"/>
      <w:r w:rsidR="0092797E">
        <w:t xml:space="preserve"> for 5G: From Fixed Wireless Fixed Access to Cellular Networks, IEEE </w:t>
      </w:r>
      <w:r w:rsidR="0092797E">
        <w:tab/>
      </w:r>
      <w:proofErr w:type="spellStart"/>
      <w:r>
        <w:t>Communca</w:t>
      </w:r>
      <w:r w:rsidR="00976FB8">
        <w:t>tions</w:t>
      </w:r>
      <w:proofErr w:type="spellEnd"/>
      <w:r w:rsidR="00976FB8">
        <w:t xml:space="preserve"> Magazine, </w:t>
      </w:r>
      <w:r w:rsidR="0092797E">
        <w:t xml:space="preserve">pp. 168-178, Vol. 53, No. 1, </w:t>
      </w:r>
      <w:r w:rsidR="00976FB8">
        <w:t>January 2015</w:t>
      </w:r>
    </w:p>
    <w:p w:rsidR="00310EC0" w:rsidRDefault="00310EC0" w:rsidP="00310EC0">
      <w:r w:rsidRPr="00310EC0">
        <w:t>[</w:t>
      </w:r>
      <w:r w:rsidR="006A19D2">
        <w:t xml:space="preserve">4] </w:t>
      </w:r>
      <w:r w:rsidR="006A19D2">
        <w:tab/>
      </w:r>
      <w:r w:rsidRPr="00310EC0">
        <w:t xml:space="preserve">Alcatel Lucent Application Note; A New Era of Mobile Backhaul; </w:t>
      </w:r>
      <w:r w:rsidR="006A19D2">
        <w:tab/>
      </w:r>
      <w:r w:rsidRPr="00310EC0">
        <w:t>http://resources.alcatel-lucent.com/?cid=163517</w:t>
      </w:r>
    </w:p>
    <w:p w:rsidR="006A19D2" w:rsidRPr="009244AE" w:rsidRDefault="006A19D2" w:rsidP="00310EC0">
      <w:pPr>
        <w:rPr>
          <w:lang w:val="de-DE"/>
        </w:rPr>
      </w:pPr>
      <w:r w:rsidRPr="0092797E">
        <w:t>[5]</w:t>
      </w:r>
      <w:r w:rsidRPr="0092797E">
        <w:tab/>
      </w:r>
      <w:r w:rsidRPr="009244AE">
        <w:rPr>
          <w:lang w:val="de-DE"/>
        </w:rPr>
        <w:t xml:space="preserve">Quelle für </w:t>
      </w:r>
      <w:proofErr w:type="spellStart"/>
      <w:r w:rsidRPr="009244AE">
        <w:rPr>
          <w:lang w:val="de-DE"/>
        </w:rPr>
        <w:t>CoMP</w:t>
      </w:r>
      <w:proofErr w:type="spellEnd"/>
    </w:p>
    <w:p w:rsidR="00310EC0" w:rsidRPr="009244AE" w:rsidRDefault="00310EC0" w:rsidP="00310EC0">
      <w:pPr>
        <w:rPr>
          <w:lang w:val="de-DE"/>
        </w:rPr>
      </w:pPr>
      <w:r w:rsidRPr="009244AE">
        <w:rPr>
          <w:lang w:val="de-DE"/>
        </w:rPr>
        <w:t>[</w:t>
      </w:r>
      <w:r w:rsidR="009244AE" w:rsidRPr="009244AE">
        <w:rPr>
          <w:lang w:val="de-DE"/>
        </w:rPr>
        <w:t>6</w:t>
      </w:r>
      <w:r w:rsidRPr="009244AE">
        <w:rPr>
          <w:lang w:val="de-DE"/>
        </w:rPr>
        <w:t xml:space="preserve">] </w:t>
      </w:r>
      <w:r w:rsidRPr="009244AE">
        <w:rPr>
          <w:lang w:val="de-DE"/>
        </w:rPr>
        <w:tab/>
        <w:t>http://www.ericsson.com/ourportfolio/telecom-operators/mobile-backhaul</w:t>
      </w:r>
    </w:p>
    <w:p w:rsidR="00310EC0" w:rsidRPr="00310EC0" w:rsidRDefault="00310EC0" w:rsidP="00310EC0">
      <w:r w:rsidRPr="00310EC0">
        <w:t>[</w:t>
      </w:r>
      <w:r w:rsidR="009244AE">
        <w:t>7</w:t>
      </w:r>
      <w:r w:rsidRPr="00310EC0">
        <w:t xml:space="preserve">] </w:t>
      </w:r>
      <w:r w:rsidRPr="00310EC0">
        <w:tab/>
      </w:r>
      <w:proofErr w:type="spellStart"/>
      <w:r w:rsidRPr="00310EC0">
        <w:t>Transmode</w:t>
      </w:r>
      <w:proofErr w:type="spellEnd"/>
      <w:r w:rsidRPr="00310EC0">
        <w:t xml:space="preserve"> Application Note; Ethernet mobile backhaul delivers new services with </w:t>
      </w:r>
      <w:r w:rsidR="009244AE">
        <w:tab/>
      </w:r>
      <w:r w:rsidRPr="00310EC0">
        <w:t>higher performance and lower costs; http://www.transmode.com/en/resource/application-</w:t>
      </w:r>
      <w:r w:rsidR="009244AE">
        <w:tab/>
      </w:r>
      <w:proofErr w:type="spellStart"/>
      <w:r w:rsidRPr="00310EC0">
        <w:t>notes?task</w:t>
      </w:r>
      <w:proofErr w:type="spellEnd"/>
      <w:r w:rsidRPr="00310EC0">
        <w:t>=</w:t>
      </w:r>
      <w:proofErr w:type="spellStart"/>
      <w:r w:rsidRPr="00310EC0">
        <w:t>document.download&amp;id</w:t>
      </w:r>
      <w:proofErr w:type="spellEnd"/>
      <w:r w:rsidRPr="00310EC0">
        <w:t>=15</w:t>
      </w:r>
    </w:p>
    <w:p w:rsidR="00310EC0" w:rsidRDefault="00310EC0" w:rsidP="00310EC0">
      <w:r w:rsidRPr="00310EC0">
        <w:t>[</w:t>
      </w:r>
      <w:r w:rsidR="009244AE">
        <w:t>8</w:t>
      </w:r>
      <w:r w:rsidRPr="00310EC0">
        <w:t xml:space="preserve">] </w:t>
      </w:r>
      <w:r w:rsidR="009244AE">
        <w:tab/>
      </w:r>
      <w:r w:rsidRPr="00310EC0">
        <w:t xml:space="preserve">Alcatel Lucent Application Note; IP/MPLS Mobile Backhauls for </w:t>
      </w:r>
      <w:proofErr w:type="spellStart"/>
      <w:r w:rsidRPr="00310EC0">
        <w:t>Heterogenous</w:t>
      </w:r>
      <w:proofErr w:type="spellEnd"/>
      <w:r w:rsidRPr="00310EC0">
        <w:t xml:space="preserve"> </w:t>
      </w:r>
      <w:r w:rsidR="009244AE">
        <w:tab/>
        <w:t xml:space="preserve">Networks; </w:t>
      </w:r>
      <w:r w:rsidRPr="00310EC0">
        <w:t>http://resources.alcatel-lucent.com/?cid=162070</w:t>
      </w:r>
    </w:p>
    <w:p w:rsidR="0035407B" w:rsidRDefault="0035407B" w:rsidP="0035407B">
      <w:pPr>
        <w:ind w:right="864"/>
        <w:jc w:val="both"/>
        <w:rPr>
          <w:rStyle w:val="highlight"/>
          <w:szCs w:val="24"/>
        </w:rPr>
      </w:pPr>
      <w:r>
        <w:rPr>
          <w:rStyle w:val="highlight"/>
          <w:szCs w:val="24"/>
        </w:rPr>
        <w:t xml:space="preserve">[9] </w:t>
      </w:r>
      <w:r>
        <w:rPr>
          <w:rStyle w:val="highlight"/>
          <w:szCs w:val="24"/>
        </w:rPr>
        <w:tab/>
      </w:r>
      <w:r w:rsidRPr="003927B5">
        <w:rPr>
          <w:rStyle w:val="highlight"/>
          <w:szCs w:val="24"/>
        </w:rPr>
        <w:t>M</w:t>
      </w:r>
      <w:r>
        <w:rPr>
          <w:rStyle w:val="highlight"/>
          <w:szCs w:val="24"/>
        </w:rPr>
        <w:t>.</w:t>
      </w:r>
      <w:r w:rsidRPr="003927B5">
        <w:rPr>
          <w:rStyle w:val="highlight"/>
          <w:szCs w:val="24"/>
        </w:rPr>
        <w:t xml:space="preserve"> </w:t>
      </w:r>
      <w:proofErr w:type="spellStart"/>
      <w:r w:rsidRPr="003927B5">
        <w:rPr>
          <w:rStyle w:val="highlight"/>
          <w:szCs w:val="24"/>
        </w:rPr>
        <w:t>Grigat</w:t>
      </w:r>
      <w:proofErr w:type="spellEnd"/>
      <w:r w:rsidRPr="003927B5">
        <w:rPr>
          <w:rStyle w:val="highlight"/>
          <w:szCs w:val="24"/>
        </w:rPr>
        <w:t>, T</w:t>
      </w:r>
      <w:r>
        <w:rPr>
          <w:rStyle w:val="highlight"/>
          <w:szCs w:val="24"/>
        </w:rPr>
        <w:t>.</w:t>
      </w:r>
      <w:r w:rsidRPr="003927B5">
        <w:rPr>
          <w:rStyle w:val="highlight"/>
          <w:szCs w:val="24"/>
        </w:rPr>
        <w:t xml:space="preserve"> Schneider,</w:t>
      </w:r>
      <w:r>
        <w:rPr>
          <w:rStyle w:val="highlight"/>
          <w:szCs w:val="24"/>
        </w:rPr>
        <w:t xml:space="preserve"> </w:t>
      </w:r>
      <w:r w:rsidRPr="003927B5">
        <w:rPr>
          <w:rStyle w:val="highlight"/>
          <w:szCs w:val="24"/>
        </w:rPr>
        <w:t>S</w:t>
      </w:r>
      <w:r>
        <w:rPr>
          <w:rStyle w:val="highlight"/>
          <w:szCs w:val="24"/>
        </w:rPr>
        <w:t>.</w:t>
      </w:r>
      <w:r w:rsidRPr="003927B5">
        <w:rPr>
          <w:rStyle w:val="highlight"/>
          <w:szCs w:val="24"/>
        </w:rPr>
        <w:t xml:space="preserve"> </w:t>
      </w:r>
      <w:proofErr w:type="spellStart"/>
      <w:r w:rsidRPr="003927B5">
        <w:rPr>
          <w:rStyle w:val="highlight"/>
          <w:szCs w:val="24"/>
        </w:rPr>
        <w:t>Preußler</w:t>
      </w:r>
      <w:proofErr w:type="spellEnd"/>
      <w:r w:rsidRPr="003927B5">
        <w:rPr>
          <w:rStyle w:val="highlight"/>
          <w:szCs w:val="24"/>
        </w:rPr>
        <w:t>, R</w:t>
      </w:r>
      <w:r>
        <w:rPr>
          <w:rStyle w:val="highlight"/>
          <w:szCs w:val="24"/>
        </w:rPr>
        <w:t>.</w:t>
      </w:r>
      <w:r w:rsidRPr="003927B5">
        <w:rPr>
          <w:rStyle w:val="highlight"/>
          <w:szCs w:val="24"/>
        </w:rPr>
        <w:t xml:space="preserve"> P</w:t>
      </w:r>
      <w:r>
        <w:rPr>
          <w:rStyle w:val="highlight"/>
          <w:szCs w:val="24"/>
        </w:rPr>
        <w:t>.</w:t>
      </w:r>
      <w:r w:rsidRPr="003927B5">
        <w:rPr>
          <w:rStyle w:val="highlight"/>
          <w:szCs w:val="24"/>
        </w:rPr>
        <w:t xml:space="preserve"> Braun</w:t>
      </w:r>
      <w:r>
        <w:rPr>
          <w:rStyle w:val="highlight"/>
          <w:szCs w:val="24"/>
        </w:rPr>
        <w:t xml:space="preserve">: </w:t>
      </w:r>
      <w:r w:rsidRPr="00EB1FB6">
        <w:rPr>
          <w:rStyle w:val="highlight"/>
          <w:szCs w:val="24"/>
        </w:rPr>
        <w:t xml:space="preserve">Link Budget Considerations </w:t>
      </w:r>
      <w:r>
        <w:rPr>
          <w:rStyle w:val="highlight"/>
          <w:szCs w:val="24"/>
        </w:rPr>
        <w:tab/>
      </w:r>
      <w:r w:rsidRPr="00EB1FB6">
        <w:rPr>
          <w:rStyle w:val="highlight"/>
          <w:szCs w:val="24"/>
        </w:rPr>
        <w:t>for THz</w:t>
      </w:r>
      <w:r>
        <w:rPr>
          <w:rStyle w:val="highlight"/>
          <w:szCs w:val="24"/>
        </w:rPr>
        <w:t xml:space="preserve"> </w:t>
      </w:r>
      <w:r w:rsidRPr="00EB1FB6">
        <w:rPr>
          <w:rStyle w:val="highlight"/>
          <w:szCs w:val="24"/>
        </w:rPr>
        <w:t>Fixed Wireless Links</w:t>
      </w:r>
      <w:r>
        <w:rPr>
          <w:rStyle w:val="highlight"/>
          <w:szCs w:val="24"/>
        </w:rPr>
        <w:t xml:space="preserve">, </w:t>
      </w:r>
      <w:r w:rsidRPr="00EB1FB6">
        <w:rPr>
          <w:rStyle w:val="highlight"/>
          <w:szCs w:val="24"/>
        </w:rPr>
        <w:t>IEEE 802.15-12-0582-01-0thz</w:t>
      </w:r>
      <w:r>
        <w:rPr>
          <w:rStyle w:val="highlight"/>
          <w:szCs w:val="24"/>
        </w:rPr>
        <w:t xml:space="preserve">, San Antonio, </w:t>
      </w:r>
      <w:r>
        <w:rPr>
          <w:rStyle w:val="highlight"/>
          <w:szCs w:val="24"/>
        </w:rPr>
        <w:tab/>
        <w:t>November 2012</w:t>
      </w:r>
    </w:p>
    <w:p w:rsidR="0035407B" w:rsidRDefault="0035407B" w:rsidP="0035407B">
      <w:pPr>
        <w:ind w:right="864"/>
        <w:jc w:val="both"/>
        <w:rPr>
          <w:rStyle w:val="highlight"/>
          <w:szCs w:val="24"/>
        </w:rPr>
      </w:pPr>
      <w:r>
        <w:rPr>
          <w:rStyle w:val="highlight"/>
          <w:szCs w:val="24"/>
        </w:rPr>
        <w:t xml:space="preserve">[10] </w:t>
      </w:r>
      <w:r>
        <w:rPr>
          <w:rStyle w:val="highlight"/>
          <w:szCs w:val="24"/>
        </w:rPr>
        <w:tab/>
        <w:t xml:space="preserve">T. Schneider, A. </w:t>
      </w:r>
      <w:proofErr w:type="spellStart"/>
      <w:r>
        <w:rPr>
          <w:rStyle w:val="highlight"/>
          <w:szCs w:val="24"/>
        </w:rPr>
        <w:t>Wiatrek</w:t>
      </w:r>
      <w:proofErr w:type="spellEnd"/>
      <w:r>
        <w:rPr>
          <w:rStyle w:val="highlight"/>
          <w:szCs w:val="24"/>
        </w:rPr>
        <w:t xml:space="preserve">, S. </w:t>
      </w:r>
      <w:proofErr w:type="spellStart"/>
      <w:r>
        <w:rPr>
          <w:rStyle w:val="highlight"/>
          <w:szCs w:val="24"/>
        </w:rPr>
        <w:t>Preußler</w:t>
      </w:r>
      <w:proofErr w:type="spellEnd"/>
      <w:r>
        <w:rPr>
          <w:rStyle w:val="highlight"/>
          <w:szCs w:val="24"/>
        </w:rPr>
        <w:t xml:space="preserve">, M. </w:t>
      </w:r>
      <w:proofErr w:type="spellStart"/>
      <w:r>
        <w:rPr>
          <w:rStyle w:val="highlight"/>
          <w:szCs w:val="24"/>
        </w:rPr>
        <w:t>Grigat</w:t>
      </w:r>
      <w:proofErr w:type="spellEnd"/>
      <w:r>
        <w:rPr>
          <w:rStyle w:val="highlight"/>
          <w:szCs w:val="24"/>
        </w:rPr>
        <w:t xml:space="preserve">, R. P. Braun: Link Budget </w:t>
      </w:r>
      <w:r>
        <w:rPr>
          <w:rStyle w:val="highlight"/>
          <w:szCs w:val="24"/>
        </w:rPr>
        <w:tab/>
        <w:t xml:space="preserve">Analysis for Terahertz Fixed Wireless Links, </w:t>
      </w:r>
      <w:r w:rsidRPr="000D50F0">
        <w:rPr>
          <w:rStyle w:val="highlight"/>
          <w:szCs w:val="24"/>
        </w:rPr>
        <w:t xml:space="preserve">IEEE Transactions on THz </w:t>
      </w:r>
      <w:r>
        <w:rPr>
          <w:rStyle w:val="highlight"/>
          <w:szCs w:val="24"/>
        </w:rPr>
        <w:tab/>
      </w:r>
      <w:r w:rsidRPr="000D50F0">
        <w:rPr>
          <w:rStyle w:val="highlight"/>
          <w:szCs w:val="24"/>
        </w:rPr>
        <w:t>Science and Technology</w:t>
      </w:r>
      <w:r>
        <w:rPr>
          <w:rStyle w:val="highlight"/>
          <w:szCs w:val="24"/>
        </w:rPr>
        <w:t xml:space="preserve"> 2, 250 – 256 (2012)</w:t>
      </w:r>
    </w:p>
    <w:p w:rsidR="0035407B" w:rsidRDefault="0035407B" w:rsidP="0035407B">
      <w:pPr>
        <w:ind w:right="864"/>
        <w:jc w:val="both"/>
        <w:rPr>
          <w:rStyle w:val="highlight"/>
          <w:szCs w:val="24"/>
        </w:rPr>
      </w:pPr>
      <w:r>
        <w:rPr>
          <w:rStyle w:val="highlight"/>
          <w:szCs w:val="24"/>
        </w:rPr>
        <w:t xml:space="preserve">[11] </w:t>
      </w:r>
      <w:r>
        <w:rPr>
          <w:rStyle w:val="highlight"/>
          <w:szCs w:val="24"/>
        </w:rPr>
        <w:tab/>
        <w:t xml:space="preserve">Attenuation by Atmospheric Gases, ITU Rec. ITU-R P.676-8, ITU, Oct. 2009 </w:t>
      </w:r>
    </w:p>
    <w:p w:rsidR="0035407B" w:rsidRDefault="0035407B" w:rsidP="0035407B">
      <w:pPr>
        <w:ind w:right="864"/>
        <w:jc w:val="both"/>
        <w:rPr>
          <w:rStyle w:val="highlight"/>
          <w:szCs w:val="24"/>
        </w:rPr>
      </w:pPr>
      <w:r>
        <w:rPr>
          <w:rStyle w:val="highlight"/>
          <w:szCs w:val="24"/>
        </w:rPr>
        <w:t xml:space="preserve">[12] </w:t>
      </w:r>
      <w:r>
        <w:rPr>
          <w:rStyle w:val="highlight"/>
          <w:szCs w:val="24"/>
        </w:rPr>
        <w:tab/>
        <w:t xml:space="preserve">“The </w:t>
      </w:r>
      <w:r w:rsidRPr="00097C48">
        <w:rPr>
          <w:rStyle w:val="highlight"/>
          <w:i/>
          <w:szCs w:val="24"/>
        </w:rPr>
        <w:t>am</w:t>
      </w:r>
      <w:r>
        <w:rPr>
          <w:rStyle w:val="highlight"/>
          <w:szCs w:val="24"/>
        </w:rPr>
        <w:t xml:space="preserve"> atmospheric model, </w:t>
      </w:r>
      <w:proofErr w:type="spellStart"/>
      <w:r>
        <w:rPr>
          <w:rStyle w:val="highlight"/>
          <w:szCs w:val="24"/>
        </w:rPr>
        <w:t>submillimeter</w:t>
      </w:r>
      <w:proofErr w:type="spellEnd"/>
      <w:r>
        <w:rPr>
          <w:rStyle w:val="highlight"/>
          <w:szCs w:val="24"/>
        </w:rPr>
        <w:t xml:space="preserve"> array,” Tech. Memo #152 </w:t>
      </w:r>
      <w:r>
        <w:rPr>
          <w:rStyle w:val="highlight"/>
          <w:szCs w:val="24"/>
        </w:rPr>
        <w:tab/>
      </w:r>
      <w:hyperlink r:id="rId13" w:history="1">
        <w:r w:rsidRPr="00BE4718">
          <w:rPr>
            <w:rStyle w:val="Hyperlink"/>
            <w:szCs w:val="24"/>
          </w:rPr>
          <w:t>https://www.cfa.harvard</w:t>
        </w:r>
        <w:r w:rsidRPr="000274D0">
          <w:rPr>
            <w:rStyle w:val="Hyperlink"/>
            <w:szCs w:val="24"/>
          </w:rPr>
          <w:t>.edu/~spaine/am/</w:t>
        </w:r>
      </w:hyperlink>
    </w:p>
    <w:p w:rsidR="0035407B" w:rsidRDefault="0035407B" w:rsidP="0035407B">
      <w:pPr>
        <w:ind w:right="864"/>
        <w:jc w:val="both"/>
        <w:rPr>
          <w:rStyle w:val="highlight"/>
          <w:szCs w:val="24"/>
        </w:rPr>
      </w:pPr>
      <w:r>
        <w:rPr>
          <w:rStyle w:val="highlight"/>
          <w:szCs w:val="24"/>
        </w:rPr>
        <w:t xml:space="preserve">[13] </w:t>
      </w:r>
      <w:r>
        <w:rPr>
          <w:rStyle w:val="highlight"/>
          <w:szCs w:val="24"/>
        </w:rPr>
        <w:tab/>
        <w:t>“Attenuation due to clouds and fog”, ITU Rec. ITU-R P.840-4, ITU, Oct. 2009</w:t>
      </w:r>
    </w:p>
    <w:p w:rsidR="0035407B" w:rsidRDefault="0035407B" w:rsidP="0035407B">
      <w:pPr>
        <w:ind w:right="864"/>
        <w:jc w:val="both"/>
        <w:rPr>
          <w:rStyle w:val="highlight"/>
          <w:szCs w:val="24"/>
        </w:rPr>
      </w:pPr>
      <w:r>
        <w:rPr>
          <w:rStyle w:val="highlight"/>
          <w:szCs w:val="24"/>
        </w:rPr>
        <w:t>[14]</w:t>
      </w:r>
      <w:r>
        <w:rPr>
          <w:rStyle w:val="highlight"/>
          <w:szCs w:val="24"/>
        </w:rPr>
        <w:tab/>
        <w:t xml:space="preserve">“Specific attenuation model for rain, for use in prediction methods”, ITU Rec. </w:t>
      </w:r>
      <w:r>
        <w:rPr>
          <w:rStyle w:val="highlight"/>
          <w:szCs w:val="24"/>
        </w:rPr>
        <w:tab/>
        <w:t>ITU-R P.838-3, ITU, 2005</w:t>
      </w:r>
    </w:p>
    <w:p w:rsidR="00FC1FE4" w:rsidRDefault="00FC1FE4" w:rsidP="00FC1FE4">
      <w:pPr>
        <w:ind w:right="864"/>
        <w:jc w:val="both"/>
        <w:rPr>
          <w:rStyle w:val="highlight"/>
          <w:szCs w:val="24"/>
        </w:rPr>
      </w:pPr>
      <w:r>
        <w:rPr>
          <w:rStyle w:val="highlight"/>
          <w:szCs w:val="24"/>
        </w:rPr>
        <w:t>[15</w:t>
      </w:r>
      <w:r w:rsidRPr="000D50F0">
        <w:rPr>
          <w:rStyle w:val="highlight"/>
          <w:szCs w:val="24"/>
        </w:rPr>
        <w:t xml:space="preserve">] </w:t>
      </w:r>
      <w:r>
        <w:rPr>
          <w:rStyle w:val="highlight"/>
          <w:szCs w:val="24"/>
        </w:rPr>
        <w:tab/>
      </w:r>
      <w:r w:rsidRPr="000D50F0">
        <w:rPr>
          <w:rStyle w:val="highlight"/>
          <w:szCs w:val="24"/>
        </w:rPr>
        <w:t xml:space="preserve">S. Priebe, D. M. Britz, M. Jacob, S. </w:t>
      </w:r>
      <w:proofErr w:type="spellStart"/>
      <w:r w:rsidRPr="000D50F0">
        <w:rPr>
          <w:rStyle w:val="highlight"/>
          <w:szCs w:val="24"/>
        </w:rPr>
        <w:t>Sarkozy</w:t>
      </w:r>
      <w:proofErr w:type="spellEnd"/>
      <w:r w:rsidRPr="000D50F0">
        <w:rPr>
          <w:rStyle w:val="highlight"/>
          <w:szCs w:val="24"/>
        </w:rPr>
        <w:t xml:space="preserve">, K. M. K. H. Leong, J. E. Logan, B. </w:t>
      </w:r>
      <w:r>
        <w:rPr>
          <w:rStyle w:val="highlight"/>
          <w:szCs w:val="24"/>
        </w:rPr>
        <w:tab/>
      </w:r>
      <w:r w:rsidRPr="000D50F0">
        <w:rPr>
          <w:rStyle w:val="highlight"/>
          <w:szCs w:val="24"/>
        </w:rPr>
        <w:t xml:space="preserve">S. </w:t>
      </w:r>
      <w:proofErr w:type="spellStart"/>
      <w:r w:rsidRPr="000D50F0">
        <w:rPr>
          <w:rStyle w:val="highlight"/>
          <w:szCs w:val="24"/>
        </w:rPr>
        <w:t>Gorospe</w:t>
      </w:r>
      <w:proofErr w:type="spellEnd"/>
      <w:r w:rsidRPr="000D50F0">
        <w:rPr>
          <w:rStyle w:val="highlight"/>
          <w:szCs w:val="24"/>
        </w:rPr>
        <w:t xml:space="preserve">, T. Kürner: Interference Investigations of Active Communications </w:t>
      </w:r>
      <w:r>
        <w:rPr>
          <w:rStyle w:val="highlight"/>
          <w:szCs w:val="24"/>
        </w:rPr>
        <w:tab/>
      </w:r>
      <w:r w:rsidRPr="000D50F0">
        <w:rPr>
          <w:rStyle w:val="highlight"/>
          <w:szCs w:val="24"/>
        </w:rPr>
        <w:t xml:space="preserve">and Passive Earth Exploration Services in the THz Frequency Range“, accepted </w:t>
      </w:r>
      <w:r>
        <w:rPr>
          <w:rStyle w:val="highlight"/>
          <w:szCs w:val="24"/>
        </w:rPr>
        <w:tab/>
      </w:r>
      <w:r w:rsidRPr="000D50F0">
        <w:rPr>
          <w:rStyle w:val="highlight"/>
          <w:szCs w:val="24"/>
        </w:rPr>
        <w:t xml:space="preserve">for publication in IEEE Transactions on THz Science and Technology, 14 pages, </w:t>
      </w:r>
      <w:r>
        <w:rPr>
          <w:rStyle w:val="highlight"/>
          <w:szCs w:val="24"/>
        </w:rPr>
        <w:tab/>
      </w:r>
      <w:r w:rsidRPr="000D50F0">
        <w:rPr>
          <w:rStyle w:val="highlight"/>
          <w:szCs w:val="24"/>
        </w:rPr>
        <w:t>2012</w:t>
      </w:r>
    </w:p>
    <w:p w:rsidR="00FC1FE4" w:rsidRDefault="00FC1FE4" w:rsidP="00FC1FE4">
      <w:pPr>
        <w:ind w:right="864"/>
        <w:jc w:val="both"/>
        <w:rPr>
          <w:rStyle w:val="highlight"/>
          <w:szCs w:val="24"/>
        </w:rPr>
      </w:pPr>
      <w:r>
        <w:rPr>
          <w:rStyle w:val="highlight"/>
          <w:szCs w:val="24"/>
        </w:rPr>
        <w:t xml:space="preserve">[16] </w:t>
      </w:r>
      <w:r>
        <w:rPr>
          <w:rStyle w:val="highlight"/>
          <w:szCs w:val="24"/>
        </w:rPr>
        <w:tab/>
      </w:r>
      <w:r w:rsidRPr="00A73F57">
        <w:rPr>
          <w:rStyle w:val="highlight"/>
          <w:szCs w:val="24"/>
        </w:rPr>
        <w:t>S. Priebe</w:t>
      </w:r>
      <w:r>
        <w:rPr>
          <w:rStyle w:val="highlight"/>
          <w:szCs w:val="24"/>
        </w:rPr>
        <w:t xml:space="preserve">: </w:t>
      </w:r>
      <w:r w:rsidRPr="000D50F0">
        <w:rPr>
          <w:rStyle w:val="highlight"/>
          <w:szCs w:val="24"/>
        </w:rPr>
        <w:t xml:space="preserve">Interference between THz Communications and </w:t>
      </w:r>
      <w:proofErr w:type="spellStart"/>
      <w:r w:rsidRPr="000D50F0">
        <w:rPr>
          <w:rStyle w:val="highlight"/>
          <w:szCs w:val="24"/>
        </w:rPr>
        <w:t>Spaceborne</w:t>
      </w:r>
      <w:proofErr w:type="spellEnd"/>
      <w:r w:rsidRPr="000D50F0">
        <w:rPr>
          <w:rStyle w:val="highlight"/>
          <w:szCs w:val="24"/>
        </w:rPr>
        <w:t xml:space="preserve"> Earth </w:t>
      </w:r>
      <w:r>
        <w:rPr>
          <w:rStyle w:val="highlight"/>
          <w:szCs w:val="24"/>
        </w:rPr>
        <w:tab/>
      </w:r>
      <w:r w:rsidRPr="000D50F0">
        <w:rPr>
          <w:rStyle w:val="highlight"/>
          <w:szCs w:val="24"/>
        </w:rPr>
        <w:t>Exploration Services</w:t>
      </w:r>
      <w:r>
        <w:rPr>
          <w:rStyle w:val="highlight"/>
          <w:szCs w:val="24"/>
        </w:rPr>
        <w:t>, IEEE 802.15-</w:t>
      </w:r>
      <w:r w:rsidRPr="00626CAF">
        <w:rPr>
          <w:rStyle w:val="highlight"/>
          <w:szCs w:val="24"/>
        </w:rPr>
        <w:t>12-0324-00-0thz</w:t>
      </w:r>
      <w:r>
        <w:rPr>
          <w:rStyle w:val="highlight"/>
          <w:szCs w:val="24"/>
        </w:rPr>
        <w:t>, San Diego, July 2012</w:t>
      </w:r>
    </w:p>
    <w:p w:rsidR="00FC1FE4" w:rsidRDefault="00FC1FE4" w:rsidP="0035407B">
      <w:pPr>
        <w:ind w:right="864"/>
        <w:jc w:val="both"/>
        <w:rPr>
          <w:rStyle w:val="highlight"/>
          <w:szCs w:val="24"/>
        </w:rPr>
      </w:pPr>
    </w:p>
    <w:p w:rsidR="0035407B" w:rsidRDefault="0035407B" w:rsidP="0035407B">
      <w:pPr>
        <w:ind w:right="864"/>
        <w:jc w:val="both"/>
        <w:rPr>
          <w:rStyle w:val="highlight"/>
          <w:szCs w:val="24"/>
        </w:rPr>
      </w:pPr>
    </w:p>
    <w:sectPr w:rsidR="0035407B" w:rsidSect="00261CA8">
      <w:headerReference w:type="default" r:id="rId14"/>
      <w:footerReference w:type="default" r:id="rId15"/>
      <w:headerReference w:type="first" r:id="rId16"/>
      <w:footerReference w:type="first" r:id="rId17"/>
      <w:pgSz w:w="12240" w:h="15840" w:code="1"/>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BA6" w:rsidRDefault="00072BA6" w:rsidP="00764CD9">
      <w:r>
        <w:separator/>
      </w:r>
    </w:p>
  </w:endnote>
  <w:endnote w:type="continuationSeparator" w:id="0">
    <w:p w:rsidR="00072BA6" w:rsidRDefault="00072BA6" w:rsidP="00764CD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712" w:rsidRPr="00F77D7B" w:rsidRDefault="00433712" w:rsidP="00E85796">
    <w:pPr>
      <w:pStyle w:val="Fuzeile"/>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Thomas Kürner (TU Braunschweig)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712" w:rsidRDefault="00433712">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BA6" w:rsidRDefault="00072BA6" w:rsidP="00764CD9">
      <w:r>
        <w:separator/>
      </w:r>
    </w:p>
  </w:footnote>
  <w:footnote w:type="continuationSeparator" w:id="0">
    <w:p w:rsidR="00072BA6" w:rsidRDefault="00072BA6" w:rsidP="00764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712" w:rsidRPr="000336A6" w:rsidRDefault="00976FB8" w:rsidP="006B1B0C">
    <w:pPr>
      <w:pStyle w:val="Kopfzeile"/>
      <w:widowControl w:val="0"/>
      <w:pBdr>
        <w:bottom w:val="single" w:sz="6" w:space="0" w:color="auto"/>
        <w:between w:val="single" w:sz="6" w:space="0" w:color="auto"/>
      </w:pBdr>
      <w:tabs>
        <w:tab w:val="clear" w:pos="4320"/>
        <w:tab w:val="clear" w:pos="8640"/>
        <w:tab w:val="right" w:pos="8460"/>
      </w:tabs>
      <w:spacing w:after="360"/>
      <w:ind w:right="-90"/>
      <w:rPr>
        <w:b/>
        <w:sz w:val="28"/>
      </w:rPr>
    </w:pPr>
    <w:r>
      <w:rPr>
        <w:b/>
        <w:sz w:val="28"/>
      </w:rPr>
      <w:t>March</w:t>
    </w:r>
    <w:r w:rsidR="00433712">
      <w:rPr>
        <w:rFonts w:hint="eastAsia"/>
        <w:b/>
        <w:sz w:val="28"/>
      </w:rPr>
      <w:t xml:space="preserve"> 2015</w:t>
    </w:r>
    <w:r w:rsidR="00433712">
      <w:rPr>
        <w:b/>
        <w:sz w:val="28"/>
      </w:rPr>
      <w:t xml:space="preserve">                                        </w:t>
    </w:r>
    <w:r>
      <w:rPr>
        <w:b/>
        <w:sz w:val="28"/>
      </w:rPr>
      <w:t xml:space="preserve">  IEEE 802.15 Doc Number 15/0160</w:t>
    </w:r>
  </w:p>
  <w:p w:rsidR="00433712" w:rsidRDefault="00433712" w:rsidP="006B1B0C">
    <w:pPr>
      <w:pStyle w:val="Kopfzeile"/>
      <w:jc w:val="center"/>
    </w:pPr>
  </w:p>
  <w:p w:rsidR="00433712" w:rsidRDefault="00433712">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712" w:rsidRDefault="00433712">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6.25pt;height:14.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1C45B52"/>
    <w:multiLevelType w:val="hybridMultilevel"/>
    <w:tmpl w:val="C6FC33DA"/>
    <w:lvl w:ilvl="0" w:tplc="E4288E20">
      <w:start w:val="1"/>
      <w:numFmt w:val="decimal"/>
      <w:lvlText w:val="[%1]"/>
      <w:lvlJc w:val="left"/>
      <w:pPr>
        <w:tabs>
          <w:tab w:val="num" w:pos="760"/>
        </w:tabs>
        <w:ind w:left="760" w:hanging="360"/>
      </w:pPr>
      <w:rPr>
        <w:rFonts w:hint="default"/>
      </w:rPr>
    </w:lvl>
    <w:lvl w:ilvl="1" w:tplc="A816DC24">
      <w:start w:val="1"/>
      <w:numFmt w:val="decimal"/>
      <w:lvlText w:val="%2-"/>
      <w:lvlJc w:val="left"/>
      <w:pPr>
        <w:tabs>
          <w:tab w:val="num" w:pos="1360"/>
        </w:tabs>
        <w:ind w:left="1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AB401F"/>
    <w:multiLevelType w:val="hybridMultilevel"/>
    <w:tmpl w:val="2DB85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2A16B6E"/>
    <w:multiLevelType w:val="hybridMultilevel"/>
    <w:tmpl w:val="4AD09634"/>
    <w:lvl w:ilvl="0" w:tplc="AF500A14">
      <w:start w:val="1"/>
      <w:numFmt w:val="bullet"/>
      <w:lvlText w:val="•"/>
      <w:lvlJc w:val="left"/>
      <w:pPr>
        <w:tabs>
          <w:tab w:val="num" w:pos="720"/>
        </w:tabs>
        <w:ind w:left="720" w:hanging="360"/>
      </w:pPr>
      <w:rPr>
        <w:rFonts w:ascii="Times New Roman" w:hAnsi="Times New Roman" w:hint="default"/>
      </w:rPr>
    </w:lvl>
    <w:lvl w:ilvl="1" w:tplc="1EA4BDA8" w:tentative="1">
      <w:start w:val="1"/>
      <w:numFmt w:val="bullet"/>
      <w:lvlText w:val="•"/>
      <w:lvlJc w:val="left"/>
      <w:pPr>
        <w:tabs>
          <w:tab w:val="num" w:pos="1440"/>
        </w:tabs>
        <w:ind w:left="1440" w:hanging="360"/>
      </w:pPr>
      <w:rPr>
        <w:rFonts w:ascii="Times New Roman" w:hAnsi="Times New Roman" w:hint="default"/>
      </w:rPr>
    </w:lvl>
    <w:lvl w:ilvl="2" w:tplc="5290F238" w:tentative="1">
      <w:start w:val="1"/>
      <w:numFmt w:val="bullet"/>
      <w:lvlText w:val="•"/>
      <w:lvlJc w:val="left"/>
      <w:pPr>
        <w:tabs>
          <w:tab w:val="num" w:pos="2160"/>
        </w:tabs>
        <w:ind w:left="2160" w:hanging="360"/>
      </w:pPr>
      <w:rPr>
        <w:rFonts w:ascii="Times New Roman" w:hAnsi="Times New Roman" w:hint="default"/>
      </w:rPr>
    </w:lvl>
    <w:lvl w:ilvl="3" w:tplc="E6A014CC" w:tentative="1">
      <w:start w:val="1"/>
      <w:numFmt w:val="bullet"/>
      <w:lvlText w:val="•"/>
      <w:lvlJc w:val="left"/>
      <w:pPr>
        <w:tabs>
          <w:tab w:val="num" w:pos="2880"/>
        </w:tabs>
        <w:ind w:left="2880" w:hanging="360"/>
      </w:pPr>
      <w:rPr>
        <w:rFonts w:ascii="Times New Roman" w:hAnsi="Times New Roman" w:hint="default"/>
      </w:rPr>
    </w:lvl>
    <w:lvl w:ilvl="4" w:tplc="2F4A8BB4" w:tentative="1">
      <w:start w:val="1"/>
      <w:numFmt w:val="bullet"/>
      <w:lvlText w:val="•"/>
      <w:lvlJc w:val="left"/>
      <w:pPr>
        <w:tabs>
          <w:tab w:val="num" w:pos="3600"/>
        </w:tabs>
        <w:ind w:left="3600" w:hanging="360"/>
      </w:pPr>
      <w:rPr>
        <w:rFonts w:ascii="Times New Roman" w:hAnsi="Times New Roman" w:hint="default"/>
      </w:rPr>
    </w:lvl>
    <w:lvl w:ilvl="5" w:tplc="F454BD1A" w:tentative="1">
      <w:start w:val="1"/>
      <w:numFmt w:val="bullet"/>
      <w:lvlText w:val="•"/>
      <w:lvlJc w:val="left"/>
      <w:pPr>
        <w:tabs>
          <w:tab w:val="num" w:pos="4320"/>
        </w:tabs>
        <w:ind w:left="4320" w:hanging="360"/>
      </w:pPr>
      <w:rPr>
        <w:rFonts w:ascii="Times New Roman" w:hAnsi="Times New Roman" w:hint="default"/>
      </w:rPr>
    </w:lvl>
    <w:lvl w:ilvl="6" w:tplc="0EF8B510" w:tentative="1">
      <w:start w:val="1"/>
      <w:numFmt w:val="bullet"/>
      <w:lvlText w:val="•"/>
      <w:lvlJc w:val="left"/>
      <w:pPr>
        <w:tabs>
          <w:tab w:val="num" w:pos="5040"/>
        </w:tabs>
        <w:ind w:left="5040" w:hanging="360"/>
      </w:pPr>
      <w:rPr>
        <w:rFonts w:ascii="Times New Roman" w:hAnsi="Times New Roman" w:hint="default"/>
      </w:rPr>
    </w:lvl>
    <w:lvl w:ilvl="7" w:tplc="9F701A8C" w:tentative="1">
      <w:start w:val="1"/>
      <w:numFmt w:val="bullet"/>
      <w:lvlText w:val="•"/>
      <w:lvlJc w:val="left"/>
      <w:pPr>
        <w:tabs>
          <w:tab w:val="num" w:pos="5760"/>
        </w:tabs>
        <w:ind w:left="5760" w:hanging="360"/>
      </w:pPr>
      <w:rPr>
        <w:rFonts w:ascii="Times New Roman" w:hAnsi="Times New Roman" w:hint="default"/>
      </w:rPr>
    </w:lvl>
    <w:lvl w:ilvl="8" w:tplc="F0E66034" w:tentative="1">
      <w:start w:val="1"/>
      <w:numFmt w:val="bullet"/>
      <w:lvlText w:val="•"/>
      <w:lvlJc w:val="left"/>
      <w:pPr>
        <w:tabs>
          <w:tab w:val="num" w:pos="6480"/>
        </w:tabs>
        <w:ind w:left="6480" w:hanging="360"/>
      </w:pPr>
      <w:rPr>
        <w:rFonts w:ascii="Times New Roman" w:hAnsi="Times New Roman" w:hint="default"/>
      </w:rPr>
    </w:lvl>
  </w:abstractNum>
  <w:abstractNum w:abstractNumId="7">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CD61D2"/>
    <w:multiLevelType w:val="hybridMultilevel"/>
    <w:tmpl w:val="2E96BDB6"/>
    <w:lvl w:ilvl="0" w:tplc="5F28D998">
      <w:start w:val="1"/>
      <w:numFmt w:val="decimal"/>
      <w:lvlText w:val="%1)"/>
      <w:lvlJc w:val="left"/>
      <w:pPr>
        <w:ind w:left="480" w:hanging="360"/>
      </w:pPr>
      <w:rPr>
        <w:rFonts w:hint="default"/>
      </w:rPr>
    </w:lvl>
    <w:lvl w:ilvl="1" w:tplc="04090019">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10">
    <w:nsid w:val="357035D4"/>
    <w:multiLevelType w:val="multilevel"/>
    <w:tmpl w:val="3AB239EA"/>
    <w:lvl w:ilvl="0">
      <w:start w:val="7"/>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em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FDB4F8B"/>
    <w:multiLevelType w:val="hybridMultilevel"/>
    <w:tmpl w:val="B114C12A"/>
    <w:lvl w:ilvl="0" w:tplc="EA86BDDC">
      <w:start w:val="1"/>
      <w:numFmt w:val="bullet"/>
      <w:lvlText w:val="•"/>
      <w:lvlJc w:val="left"/>
      <w:pPr>
        <w:tabs>
          <w:tab w:val="num" w:pos="720"/>
        </w:tabs>
        <w:ind w:left="720" w:hanging="360"/>
      </w:pPr>
      <w:rPr>
        <w:rFonts w:ascii="Times New Roman" w:hAnsi="Times New Roman" w:hint="default"/>
      </w:rPr>
    </w:lvl>
    <w:lvl w:ilvl="1" w:tplc="510EF0D8" w:tentative="1">
      <w:start w:val="1"/>
      <w:numFmt w:val="bullet"/>
      <w:lvlText w:val="•"/>
      <w:lvlJc w:val="left"/>
      <w:pPr>
        <w:tabs>
          <w:tab w:val="num" w:pos="1440"/>
        </w:tabs>
        <w:ind w:left="1440" w:hanging="360"/>
      </w:pPr>
      <w:rPr>
        <w:rFonts w:ascii="Times New Roman" w:hAnsi="Times New Roman" w:hint="default"/>
      </w:rPr>
    </w:lvl>
    <w:lvl w:ilvl="2" w:tplc="2E8C187A" w:tentative="1">
      <w:start w:val="1"/>
      <w:numFmt w:val="bullet"/>
      <w:lvlText w:val="•"/>
      <w:lvlJc w:val="left"/>
      <w:pPr>
        <w:tabs>
          <w:tab w:val="num" w:pos="2160"/>
        </w:tabs>
        <w:ind w:left="2160" w:hanging="360"/>
      </w:pPr>
      <w:rPr>
        <w:rFonts w:ascii="Times New Roman" w:hAnsi="Times New Roman" w:hint="default"/>
      </w:rPr>
    </w:lvl>
    <w:lvl w:ilvl="3" w:tplc="3FD88E02" w:tentative="1">
      <w:start w:val="1"/>
      <w:numFmt w:val="bullet"/>
      <w:lvlText w:val="•"/>
      <w:lvlJc w:val="left"/>
      <w:pPr>
        <w:tabs>
          <w:tab w:val="num" w:pos="2880"/>
        </w:tabs>
        <w:ind w:left="2880" w:hanging="360"/>
      </w:pPr>
      <w:rPr>
        <w:rFonts w:ascii="Times New Roman" w:hAnsi="Times New Roman" w:hint="default"/>
      </w:rPr>
    </w:lvl>
    <w:lvl w:ilvl="4" w:tplc="86BC6364" w:tentative="1">
      <w:start w:val="1"/>
      <w:numFmt w:val="bullet"/>
      <w:lvlText w:val="•"/>
      <w:lvlJc w:val="left"/>
      <w:pPr>
        <w:tabs>
          <w:tab w:val="num" w:pos="3600"/>
        </w:tabs>
        <w:ind w:left="3600" w:hanging="360"/>
      </w:pPr>
      <w:rPr>
        <w:rFonts w:ascii="Times New Roman" w:hAnsi="Times New Roman" w:hint="default"/>
      </w:rPr>
    </w:lvl>
    <w:lvl w:ilvl="5" w:tplc="7B6A2910" w:tentative="1">
      <w:start w:val="1"/>
      <w:numFmt w:val="bullet"/>
      <w:lvlText w:val="•"/>
      <w:lvlJc w:val="left"/>
      <w:pPr>
        <w:tabs>
          <w:tab w:val="num" w:pos="4320"/>
        </w:tabs>
        <w:ind w:left="4320" w:hanging="360"/>
      </w:pPr>
      <w:rPr>
        <w:rFonts w:ascii="Times New Roman" w:hAnsi="Times New Roman" w:hint="default"/>
      </w:rPr>
    </w:lvl>
    <w:lvl w:ilvl="6" w:tplc="9050B8EC" w:tentative="1">
      <w:start w:val="1"/>
      <w:numFmt w:val="bullet"/>
      <w:lvlText w:val="•"/>
      <w:lvlJc w:val="left"/>
      <w:pPr>
        <w:tabs>
          <w:tab w:val="num" w:pos="5040"/>
        </w:tabs>
        <w:ind w:left="5040" w:hanging="360"/>
      </w:pPr>
      <w:rPr>
        <w:rFonts w:ascii="Times New Roman" w:hAnsi="Times New Roman" w:hint="default"/>
      </w:rPr>
    </w:lvl>
    <w:lvl w:ilvl="7" w:tplc="E5F0D49A" w:tentative="1">
      <w:start w:val="1"/>
      <w:numFmt w:val="bullet"/>
      <w:lvlText w:val="•"/>
      <w:lvlJc w:val="left"/>
      <w:pPr>
        <w:tabs>
          <w:tab w:val="num" w:pos="5760"/>
        </w:tabs>
        <w:ind w:left="5760" w:hanging="360"/>
      </w:pPr>
      <w:rPr>
        <w:rFonts w:ascii="Times New Roman" w:hAnsi="Times New Roman" w:hint="default"/>
      </w:rPr>
    </w:lvl>
    <w:lvl w:ilvl="8" w:tplc="AD982252"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3"/>
  </w:num>
  <w:num w:numId="3">
    <w:abstractNumId w:val="19"/>
  </w:num>
  <w:num w:numId="4">
    <w:abstractNumId w:val="11"/>
  </w:num>
  <w:num w:numId="5">
    <w:abstractNumId w:val="13"/>
  </w:num>
  <w:num w:numId="6">
    <w:abstractNumId w:val="12"/>
  </w:num>
  <w:num w:numId="7">
    <w:abstractNumId w:val="17"/>
  </w:num>
  <w:num w:numId="8">
    <w:abstractNumId w:val="15"/>
  </w:num>
  <w:num w:numId="9">
    <w:abstractNumId w:val="2"/>
  </w:num>
  <w:num w:numId="10">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8"/>
  </w:num>
  <w:num w:numId="14">
    <w:abstractNumId w:val="4"/>
  </w:num>
  <w:num w:numId="15">
    <w:abstractNumId w:val="1"/>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0"/>
  </w:num>
  <w:num w:numId="20">
    <w:abstractNumId w:val="9"/>
  </w:num>
  <w:num w:numId="21">
    <w:abstractNumId w:val="5"/>
  </w:num>
  <w:num w:numId="22">
    <w:abstractNumId w:val="20"/>
  </w:num>
  <w:num w:numId="23">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proofState w:spelling="clean"/>
  <w:defaultTabStop w:val="720"/>
  <w:hyphenationZone w:val="425"/>
  <w:drawingGridHorizontalSpacing w:val="120"/>
  <w:displayHorizontalDrawingGridEvery w:val="2"/>
  <w:characterSpacingControl w:val="doNotCompress"/>
  <w:hdrShapeDefaults>
    <o:shapedefaults v:ext="edit" spidmax="7170">
      <v:textbox inset="5.85pt,.7pt,5.85pt,.7pt"/>
    </o:shapedefaults>
  </w:hdrShapeDefaults>
  <w:footnotePr>
    <w:footnote w:id="-1"/>
    <w:footnote w:id="0"/>
  </w:footnotePr>
  <w:endnotePr>
    <w:endnote w:id="-1"/>
    <w:endnote w:id="0"/>
  </w:endnotePr>
  <w:compat>
    <w:useFELayout/>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DB3"/>
    <w:rsid w:val="000314EB"/>
    <w:rsid w:val="0003185B"/>
    <w:rsid w:val="00031ACF"/>
    <w:rsid w:val="00032A2B"/>
    <w:rsid w:val="000336A6"/>
    <w:rsid w:val="00033753"/>
    <w:rsid w:val="0003476A"/>
    <w:rsid w:val="00040623"/>
    <w:rsid w:val="00040649"/>
    <w:rsid w:val="00042AD2"/>
    <w:rsid w:val="00044C5D"/>
    <w:rsid w:val="00045114"/>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C8B"/>
    <w:rsid w:val="00071DB8"/>
    <w:rsid w:val="00072BA6"/>
    <w:rsid w:val="0007318F"/>
    <w:rsid w:val="0007395B"/>
    <w:rsid w:val="00075D5A"/>
    <w:rsid w:val="000811C4"/>
    <w:rsid w:val="00081B46"/>
    <w:rsid w:val="00082FB2"/>
    <w:rsid w:val="00085666"/>
    <w:rsid w:val="00087596"/>
    <w:rsid w:val="000875F4"/>
    <w:rsid w:val="00090D10"/>
    <w:rsid w:val="000922C2"/>
    <w:rsid w:val="00092B75"/>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6D60"/>
    <w:rsid w:val="000C76CC"/>
    <w:rsid w:val="000C7D89"/>
    <w:rsid w:val="000C7F9F"/>
    <w:rsid w:val="000D02E3"/>
    <w:rsid w:val="000D0368"/>
    <w:rsid w:val="000D2969"/>
    <w:rsid w:val="000D50F0"/>
    <w:rsid w:val="000D6BF7"/>
    <w:rsid w:val="000D6EA7"/>
    <w:rsid w:val="000D7CA6"/>
    <w:rsid w:val="000D7CC8"/>
    <w:rsid w:val="000D7E9B"/>
    <w:rsid w:val="000E01CA"/>
    <w:rsid w:val="000E0FD6"/>
    <w:rsid w:val="000E33DB"/>
    <w:rsid w:val="000E4178"/>
    <w:rsid w:val="000E43A8"/>
    <w:rsid w:val="000E5D3D"/>
    <w:rsid w:val="000F24BF"/>
    <w:rsid w:val="000F25C9"/>
    <w:rsid w:val="000F4927"/>
    <w:rsid w:val="000F4C4B"/>
    <w:rsid w:val="000F4D54"/>
    <w:rsid w:val="000F6813"/>
    <w:rsid w:val="000F6D2D"/>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2811"/>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259A"/>
    <w:rsid w:val="00173333"/>
    <w:rsid w:val="00173D94"/>
    <w:rsid w:val="001750D8"/>
    <w:rsid w:val="00175C90"/>
    <w:rsid w:val="0017757A"/>
    <w:rsid w:val="00180DE9"/>
    <w:rsid w:val="00182162"/>
    <w:rsid w:val="00184873"/>
    <w:rsid w:val="00186B1C"/>
    <w:rsid w:val="001929FE"/>
    <w:rsid w:val="00195404"/>
    <w:rsid w:val="00195C60"/>
    <w:rsid w:val="001A003F"/>
    <w:rsid w:val="001A2630"/>
    <w:rsid w:val="001A3DDC"/>
    <w:rsid w:val="001A4308"/>
    <w:rsid w:val="001A4E9F"/>
    <w:rsid w:val="001A54F5"/>
    <w:rsid w:val="001A5E3D"/>
    <w:rsid w:val="001B0537"/>
    <w:rsid w:val="001B2B66"/>
    <w:rsid w:val="001B2D94"/>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1AD3"/>
    <w:rsid w:val="001F38A3"/>
    <w:rsid w:val="001F4F59"/>
    <w:rsid w:val="001F6A36"/>
    <w:rsid w:val="0020036A"/>
    <w:rsid w:val="002013C1"/>
    <w:rsid w:val="002025C7"/>
    <w:rsid w:val="00204477"/>
    <w:rsid w:val="0021105E"/>
    <w:rsid w:val="00212475"/>
    <w:rsid w:val="002137D4"/>
    <w:rsid w:val="00213B7B"/>
    <w:rsid w:val="00214DDB"/>
    <w:rsid w:val="0021551E"/>
    <w:rsid w:val="00221564"/>
    <w:rsid w:val="00221D4D"/>
    <w:rsid w:val="00224849"/>
    <w:rsid w:val="00227D12"/>
    <w:rsid w:val="00230170"/>
    <w:rsid w:val="00230DBC"/>
    <w:rsid w:val="00232BA9"/>
    <w:rsid w:val="00233328"/>
    <w:rsid w:val="00234C21"/>
    <w:rsid w:val="00234D30"/>
    <w:rsid w:val="00237E8E"/>
    <w:rsid w:val="002407C7"/>
    <w:rsid w:val="00240B51"/>
    <w:rsid w:val="00242A74"/>
    <w:rsid w:val="00243800"/>
    <w:rsid w:val="00245B0B"/>
    <w:rsid w:val="002461F1"/>
    <w:rsid w:val="00246A17"/>
    <w:rsid w:val="00246FD8"/>
    <w:rsid w:val="0024736C"/>
    <w:rsid w:val="002501F2"/>
    <w:rsid w:val="00252385"/>
    <w:rsid w:val="00252566"/>
    <w:rsid w:val="002534F7"/>
    <w:rsid w:val="002541F0"/>
    <w:rsid w:val="00255D94"/>
    <w:rsid w:val="002567F8"/>
    <w:rsid w:val="00256F72"/>
    <w:rsid w:val="00261017"/>
    <w:rsid w:val="002611C3"/>
    <w:rsid w:val="0026193D"/>
    <w:rsid w:val="00261BA0"/>
    <w:rsid w:val="00261CA8"/>
    <w:rsid w:val="00263E35"/>
    <w:rsid w:val="002645ED"/>
    <w:rsid w:val="002653CA"/>
    <w:rsid w:val="002675A8"/>
    <w:rsid w:val="002707AA"/>
    <w:rsid w:val="002719F2"/>
    <w:rsid w:val="00272F7D"/>
    <w:rsid w:val="00275FDC"/>
    <w:rsid w:val="00276862"/>
    <w:rsid w:val="00276B33"/>
    <w:rsid w:val="002771F8"/>
    <w:rsid w:val="00284CBA"/>
    <w:rsid w:val="00285793"/>
    <w:rsid w:val="00286E27"/>
    <w:rsid w:val="0028739F"/>
    <w:rsid w:val="00287FC1"/>
    <w:rsid w:val="00290864"/>
    <w:rsid w:val="002911AA"/>
    <w:rsid w:val="00293F30"/>
    <w:rsid w:val="002A2BB1"/>
    <w:rsid w:val="002A3611"/>
    <w:rsid w:val="002A3873"/>
    <w:rsid w:val="002A4444"/>
    <w:rsid w:val="002A511E"/>
    <w:rsid w:val="002A62D3"/>
    <w:rsid w:val="002A6574"/>
    <w:rsid w:val="002A67D5"/>
    <w:rsid w:val="002A7DBC"/>
    <w:rsid w:val="002B004E"/>
    <w:rsid w:val="002B26FB"/>
    <w:rsid w:val="002B2CBE"/>
    <w:rsid w:val="002B2CEE"/>
    <w:rsid w:val="002B6548"/>
    <w:rsid w:val="002C0E2B"/>
    <w:rsid w:val="002C1229"/>
    <w:rsid w:val="002C3284"/>
    <w:rsid w:val="002C3812"/>
    <w:rsid w:val="002C50C0"/>
    <w:rsid w:val="002C5F9C"/>
    <w:rsid w:val="002D0332"/>
    <w:rsid w:val="002D2209"/>
    <w:rsid w:val="002D34AF"/>
    <w:rsid w:val="002D46E6"/>
    <w:rsid w:val="002D4A16"/>
    <w:rsid w:val="002D5F74"/>
    <w:rsid w:val="002D6659"/>
    <w:rsid w:val="002D6994"/>
    <w:rsid w:val="002D7E57"/>
    <w:rsid w:val="002E03B9"/>
    <w:rsid w:val="002E0DDA"/>
    <w:rsid w:val="002E16A5"/>
    <w:rsid w:val="002E33AA"/>
    <w:rsid w:val="002E55CD"/>
    <w:rsid w:val="002E5E60"/>
    <w:rsid w:val="002E6C6C"/>
    <w:rsid w:val="002F1B57"/>
    <w:rsid w:val="002F1D4F"/>
    <w:rsid w:val="002F6786"/>
    <w:rsid w:val="002F71C1"/>
    <w:rsid w:val="002F7495"/>
    <w:rsid w:val="00300550"/>
    <w:rsid w:val="00301840"/>
    <w:rsid w:val="00305538"/>
    <w:rsid w:val="00306268"/>
    <w:rsid w:val="0030665B"/>
    <w:rsid w:val="00307F09"/>
    <w:rsid w:val="00310EC0"/>
    <w:rsid w:val="003110F0"/>
    <w:rsid w:val="00311142"/>
    <w:rsid w:val="00311558"/>
    <w:rsid w:val="0031348B"/>
    <w:rsid w:val="00313D19"/>
    <w:rsid w:val="00320B25"/>
    <w:rsid w:val="003211E3"/>
    <w:rsid w:val="00322E4F"/>
    <w:rsid w:val="003236EA"/>
    <w:rsid w:val="003256A4"/>
    <w:rsid w:val="00325FD6"/>
    <w:rsid w:val="00330B27"/>
    <w:rsid w:val="00331C09"/>
    <w:rsid w:val="00335A94"/>
    <w:rsid w:val="003360B9"/>
    <w:rsid w:val="00340DA7"/>
    <w:rsid w:val="0034304A"/>
    <w:rsid w:val="0034446D"/>
    <w:rsid w:val="003446DD"/>
    <w:rsid w:val="003466D7"/>
    <w:rsid w:val="00347FAD"/>
    <w:rsid w:val="00350AD4"/>
    <w:rsid w:val="00350B9C"/>
    <w:rsid w:val="003517BB"/>
    <w:rsid w:val="0035407B"/>
    <w:rsid w:val="003548DC"/>
    <w:rsid w:val="00354D2D"/>
    <w:rsid w:val="00361968"/>
    <w:rsid w:val="003650A9"/>
    <w:rsid w:val="0036708D"/>
    <w:rsid w:val="0036765C"/>
    <w:rsid w:val="00367752"/>
    <w:rsid w:val="003730D6"/>
    <w:rsid w:val="00373D27"/>
    <w:rsid w:val="00376269"/>
    <w:rsid w:val="00382880"/>
    <w:rsid w:val="00383F97"/>
    <w:rsid w:val="00384076"/>
    <w:rsid w:val="003840B2"/>
    <w:rsid w:val="00384C4D"/>
    <w:rsid w:val="003850D5"/>
    <w:rsid w:val="00385651"/>
    <w:rsid w:val="00386C8B"/>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142A"/>
    <w:rsid w:val="003A43DE"/>
    <w:rsid w:val="003A7BA4"/>
    <w:rsid w:val="003A7F26"/>
    <w:rsid w:val="003B4015"/>
    <w:rsid w:val="003B4903"/>
    <w:rsid w:val="003B4DA3"/>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17089"/>
    <w:rsid w:val="00420472"/>
    <w:rsid w:val="004205F2"/>
    <w:rsid w:val="00424712"/>
    <w:rsid w:val="00430054"/>
    <w:rsid w:val="004303DF"/>
    <w:rsid w:val="004313A3"/>
    <w:rsid w:val="00432D67"/>
    <w:rsid w:val="00433712"/>
    <w:rsid w:val="0043561E"/>
    <w:rsid w:val="004461A4"/>
    <w:rsid w:val="00447778"/>
    <w:rsid w:val="00447F85"/>
    <w:rsid w:val="004500D1"/>
    <w:rsid w:val="004500F5"/>
    <w:rsid w:val="00450D91"/>
    <w:rsid w:val="00451219"/>
    <w:rsid w:val="00451D20"/>
    <w:rsid w:val="00454359"/>
    <w:rsid w:val="00454FC7"/>
    <w:rsid w:val="004550D9"/>
    <w:rsid w:val="004555AB"/>
    <w:rsid w:val="00456155"/>
    <w:rsid w:val="004600D7"/>
    <w:rsid w:val="00460C00"/>
    <w:rsid w:val="00464D83"/>
    <w:rsid w:val="00465B6B"/>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24A5"/>
    <w:rsid w:val="0049356B"/>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C6A94"/>
    <w:rsid w:val="004D08EC"/>
    <w:rsid w:val="004D0AF9"/>
    <w:rsid w:val="004D2BC2"/>
    <w:rsid w:val="004D36AD"/>
    <w:rsid w:val="004D4208"/>
    <w:rsid w:val="004D4786"/>
    <w:rsid w:val="004D50E2"/>
    <w:rsid w:val="004D6776"/>
    <w:rsid w:val="004E077E"/>
    <w:rsid w:val="004E0FEF"/>
    <w:rsid w:val="004E17D0"/>
    <w:rsid w:val="004E386C"/>
    <w:rsid w:val="004E55CE"/>
    <w:rsid w:val="004E5F03"/>
    <w:rsid w:val="004F2F4D"/>
    <w:rsid w:val="004F5609"/>
    <w:rsid w:val="004F74CD"/>
    <w:rsid w:val="00501F6C"/>
    <w:rsid w:val="00501FEF"/>
    <w:rsid w:val="005036D8"/>
    <w:rsid w:val="00510589"/>
    <w:rsid w:val="00510E97"/>
    <w:rsid w:val="005111A5"/>
    <w:rsid w:val="00516BC0"/>
    <w:rsid w:val="00523927"/>
    <w:rsid w:val="00524774"/>
    <w:rsid w:val="0052736E"/>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CBB"/>
    <w:rsid w:val="00585F3C"/>
    <w:rsid w:val="00590205"/>
    <w:rsid w:val="00592A07"/>
    <w:rsid w:val="00592A2D"/>
    <w:rsid w:val="0059353D"/>
    <w:rsid w:val="00593ED1"/>
    <w:rsid w:val="00594F1C"/>
    <w:rsid w:val="005A0502"/>
    <w:rsid w:val="005A20FD"/>
    <w:rsid w:val="005A3BB3"/>
    <w:rsid w:val="005A5C33"/>
    <w:rsid w:val="005A5F17"/>
    <w:rsid w:val="005A704D"/>
    <w:rsid w:val="005B02E8"/>
    <w:rsid w:val="005B0550"/>
    <w:rsid w:val="005B10C2"/>
    <w:rsid w:val="005B167F"/>
    <w:rsid w:val="005B220B"/>
    <w:rsid w:val="005B4B30"/>
    <w:rsid w:val="005B74FC"/>
    <w:rsid w:val="005C1005"/>
    <w:rsid w:val="005C17F5"/>
    <w:rsid w:val="005C3281"/>
    <w:rsid w:val="005C36C2"/>
    <w:rsid w:val="005C4E7D"/>
    <w:rsid w:val="005C791C"/>
    <w:rsid w:val="005D35B7"/>
    <w:rsid w:val="005E1C6C"/>
    <w:rsid w:val="005E1F73"/>
    <w:rsid w:val="005E2AB7"/>
    <w:rsid w:val="005E35FC"/>
    <w:rsid w:val="005E58CC"/>
    <w:rsid w:val="005E610F"/>
    <w:rsid w:val="005E766E"/>
    <w:rsid w:val="005F210D"/>
    <w:rsid w:val="005F47C7"/>
    <w:rsid w:val="005F6DC5"/>
    <w:rsid w:val="005F706E"/>
    <w:rsid w:val="005F7AF0"/>
    <w:rsid w:val="006010A3"/>
    <w:rsid w:val="00601CD3"/>
    <w:rsid w:val="00603AFF"/>
    <w:rsid w:val="00604BD5"/>
    <w:rsid w:val="006065F5"/>
    <w:rsid w:val="00606CBE"/>
    <w:rsid w:val="006072B9"/>
    <w:rsid w:val="00610C6F"/>
    <w:rsid w:val="006118AD"/>
    <w:rsid w:val="00612376"/>
    <w:rsid w:val="00613F30"/>
    <w:rsid w:val="00615AD3"/>
    <w:rsid w:val="00620C5D"/>
    <w:rsid w:val="0062128C"/>
    <w:rsid w:val="006258C2"/>
    <w:rsid w:val="00626CAF"/>
    <w:rsid w:val="00627C9E"/>
    <w:rsid w:val="00630B35"/>
    <w:rsid w:val="00632BA7"/>
    <w:rsid w:val="00632E62"/>
    <w:rsid w:val="006332F3"/>
    <w:rsid w:val="00633BB5"/>
    <w:rsid w:val="00634CC0"/>
    <w:rsid w:val="00635BED"/>
    <w:rsid w:val="00636F92"/>
    <w:rsid w:val="006376F7"/>
    <w:rsid w:val="00637CEF"/>
    <w:rsid w:val="00640DD1"/>
    <w:rsid w:val="00641835"/>
    <w:rsid w:val="00641B4E"/>
    <w:rsid w:val="00642479"/>
    <w:rsid w:val="00643B2F"/>
    <w:rsid w:val="006440F5"/>
    <w:rsid w:val="006626E3"/>
    <w:rsid w:val="006630A2"/>
    <w:rsid w:val="0066392D"/>
    <w:rsid w:val="00663FC5"/>
    <w:rsid w:val="006676FC"/>
    <w:rsid w:val="0066774E"/>
    <w:rsid w:val="00667F99"/>
    <w:rsid w:val="00672EE0"/>
    <w:rsid w:val="00673932"/>
    <w:rsid w:val="006739F5"/>
    <w:rsid w:val="00677066"/>
    <w:rsid w:val="00677F4A"/>
    <w:rsid w:val="00680163"/>
    <w:rsid w:val="006814C6"/>
    <w:rsid w:val="0068429E"/>
    <w:rsid w:val="0068531C"/>
    <w:rsid w:val="00685F3F"/>
    <w:rsid w:val="00690670"/>
    <w:rsid w:val="00696A3A"/>
    <w:rsid w:val="006A02A5"/>
    <w:rsid w:val="006A062E"/>
    <w:rsid w:val="006A0CC1"/>
    <w:rsid w:val="006A19D2"/>
    <w:rsid w:val="006A3711"/>
    <w:rsid w:val="006A3CB9"/>
    <w:rsid w:val="006A51DC"/>
    <w:rsid w:val="006A610D"/>
    <w:rsid w:val="006A6E15"/>
    <w:rsid w:val="006A7580"/>
    <w:rsid w:val="006A7905"/>
    <w:rsid w:val="006B1B0C"/>
    <w:rsid w:val="006B1ED0"/>
    <w:rsid w:val="006B1FAB"/>
    <w:rsid w:val="006B255C"/>
    <w:rsid w:val="006B4E4A"/>
    <w:rsid w:val="006B5452"/>
    <w:rsid w:val="006B64AE"/>
    <w:rsid w:val="006C0D5E"/>
    <w:rsid w:val="006C1E62"/>
    <w:rsid w:val="006C2828"/>
    <w:rsid w:val="006C4561"/>
    <w:rsid w:val="006C5535"/>
    <w:rsid w:val="006C6448"/>
    <w:rsid w:val="006C65EF"/>
    <w:rsid w:val="006C7140"/>
    <w:rsid w:val="006C76FD"/>
    <w:rsid w:val="006D2242"/>
    <w:rsid w:val="006D309B"/>
    <w:rsid w:val="006D39A0"/>
    <w:rsid w:val="006E0B9F"/>
    <w:rsid w:val="006E103F"/>
    <w:rsid w:val="006E2166"/>
    <w:rsid w:val="006E2244"/>
    <w:rsid w:val="006E270E"/>
    <w:rsid w:val="006E27B8"/>
    <w:rsid w:val="006E3798"/>
    <w:rsid w:val="006E3800"/>
    <w:rsid w:val="006E5F4B"/>
    <w:rsid w:val="006E6107"/>
    <w:rsid w:val="006F1C9A"/>
    <w:rsid w:val="006F4DE7"/>
    <w:rsid w:val="006F6ECE"/>
    <w:rsid w:val="007005E1"/>
    <w:rsid w:val="00701BA7"/>
    <w:rsid w:val="007057CE"/>
    <w:rsid w:val="00705C2C"/>
    <w:rsid w:val="0070699B"/>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0B70"/>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27A"/>
    <w:rsid w:val="0078753D"/>
    <w:rsid w:val="00790086"/>
    <w:rsid w:val="007916AB"/>
    <w:rsid w:val="00793692"/>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021"/>
    <w:rsid w:val="007D0EB8"/>
    <w:rsid w:val="007D10AF"/>
    <w:rsid w:val="007D19C5"/>
    <w:rsid w:val="007D555D"/>
    <w:rsid w:val="007D5C92"/>
    <w:rsid w:val="007D707C"/>
    <w:rsid w:val="007D7EF4"/>
    <w:rsid w:val="007E08E1"/>
    <w:rsid w:val="007E09E9"/>
    <w:rsid w:val="007E14ED"/>
    <w:rsid w:val="007E1996"/>
    <w:rsid w:val="007E1CD8"/>
    <w:rsid w:val="007E2516"/>
    <w:rsid w:val="007E325D"/>
    <w:rsid w:val="007E4D57"/>
    <w:rsid w:val="007E507B"/>
    <w:rsid w:val="007E563F"/>
    <w:rsid w:val="007E5681"/>
    <w:rsid w:val="007E610C"/>
    <w:rsid w:val="007E65FD"/>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01C6"/>
    <w:rsid w:val="00831358"/>
    <w:rsid w:val="0083148A"/>
    <w:rsid w:val="008320EC"/>
    <w:rsid w:val="00832D30"/>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43D"/>
    <w:rsid w:val="00874CF1"/>
    <w:rsid w:val="00875384"/>
    <w:rsid w:val="00875851"/>
    <w:rsid w:val="0087657B"/>
    <w:rsid w:val="0088131C"/>
    <w:rsid w:val="00881CCC"/>
    <w:rsid w:val="008835DF"/>
    <w:rsid w:val="008853C3"/>
    <w:rsid w:val="0088582D"/>
    <w:rsid w:val="00892AC3"/>
    <w:rsid w:val="00892D7C"/>
    <w:rsid w:val="00893457"/>
    <w:rsid w:val="00893DB1"/>
    <w:rsid w:val="00893DB6"/>
    <w:rsid w:val="00894BEB"/>
    <w:rsid w:val="00896092"/>
    <w:rsid w:val="008A00BD"/>
    <w:rsid w:val="008A0EFC"/>
    <w:rsid w:val="008A3C83"/>
    <w:rsid w:val="008A5817"/>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AE0"/>
    <w:rsid w:val="008D0BC2"/>
    <w:rsid w:val="008D2C45"/>
    <w:rsid w:val="008D2ECD"/>
    <w:rsid w:val="008D384C"/>
    <w:rsid w:val="008D72CA"/>
    <w:rsid w:val="008E16F5"/>
    <w:rsid w:val="008E4A8D"/>
    <w:rsid w:val="008E7230"/>
    <w:rsid w:val="008F34A3"/>
    <w:rsid w:val="008F4B63"/>
    <w:rsid w:val="008F619B"/>
    <w:rsid w:val="0090216D"/>
    <w:rsid w:val="00902C34"/>
    <w:rsid w:val="00904924"/>
    <w:rsid w:val="00906AD2"/>
    <w:rsid w:val="00921AF4"/>
    <w:rsid w:val="00922C19"/>
    <w:rsid w:val="0092352C"/>
    <w:rsid w:val="009244AE"/>
    <w:rsid w:val="00924553"/>
    <w:rsid w:val="0092653B"/>
    <w:rsid w:val="009271F6"/>
    <w:rsid w:val="0092797E"/>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5149"/>
    <w:rsid w:val="00957D76"/>
    <w:rsid w:val="009604AD"/>
    <w:rsid w:val="009614E7"/>
    <w:rsid w:val="009635B0"/>
    <w:rsid w:val="00963F0F"/>
    <w:rsid w:val="00971434"/>
    <w:rsid w:val="009727B2"/>
    <w:rsid w:val="009748F5"/>
    <w:rsid w:val="00974B0D"/>
    <w:rsid w:val="00975C85"/>
    <w:rsid w:val="00976FB8"/>
    <w:rsid w:val="00977D6F"/>
    <w:rsid w:val="00982E8F"/>
    <w:rsid w:val="00983179"/>
    <w:rsid w:val="00984D41"/>
    <w:rsid w:val="00987663"/>
    <w:rsid w:val="00987C23"/>
    <w:rsid w:val="0099045F"/>
    <w:rsid w:val="00990537"/>
    <w:rsid w:val="00993C03"/>
    <w:rsid w:val="00994F9F"/>
    <w:rsid w:val="009960F9"/>
    <w:rsid w:val="00997F9C"/>
    <w:rsid w:val="009A11FB"/>
    <w:rsid w:val="009A38AB"/>
    <w:rsid w:val="009A3909"/>
    <w:rsid w:val="009A3910"/>
    <w:rsid w:val="009A48C4"/>
    <w:rsid w:val="009A7EFF"/>
    <w:rsid w:val="009B0AA7"/>
    <w:rsid w:val="009B1347"/>
    <w:rsid w:val="009B2FDB"/>
    <w:rsid w:val="009B3724"/>
    <w:rsid w:val="009B56A2"/>
    <w:rsid w:val="009C0822"/>
    <w:rsid w:val="009C2F38"/>
    <w:rsid w:val="009C33DA"/>
    <w:rsid w:val="009D049A"/>
    <w:rsid w:val="009D1920"/>
    <w:rsid w:val="009D2ECD"/>
    <w:rsid w:val="009D5A10"/>
    <w:rsid w:val="009D67E9"/>
    <w:rsid w:val="009D68D0"/>
    <w:rsid w:val="009D719B"/>
    <w:rsid w:val="009D77DE"/>
    <w:rsid w:val="009E14D0"/>
    <w:rsid w:val="009E30E1"/>
    <w:rsid w:val="009E3E87"/>
    <w:rsid w:val="009E4CF4"/>
    <w:rsid w:val="009E4E96"/>
    <w:rsid w:val="009E5399"/>
    <w:rsid w:val="009E5E58"/>
    <w:rsid w:val="009E7E96"/>
    <w:rsid w:val="009F077D"/>
    <w:rsid w:val="009F24DF"/>
    <w:rsid w:val="009F2548"/>
    <w:rsid w:val="009F3669"/>
    <w:rsid w:val="009F46B5"/>
    <w:rsid w:val="009F6049"/>
    <w:rsid w:val="00A030B0"/>
    <w:rsid w:val="00A049D1"/>
    <w:rsid w:val="00A062A9"/>
    <w:rsid w:val="00A062C8"/>
    <w:rsid w:val="00A10823"/>
    <w:rsid w:val="00A111DF"/>
    <w:rsid w:val="00A119C7"/>
    <w:rsid w:val="00A12838"/>
    <w:rsid w:val="00A15286"/>
    <w:rsid w:val="00A15977"/>
    <w:rsid w:val="00A1659C"/>
    <w:rsid w:val="00A1798F"/>
    <w:rsid w:val="00A179D7"/>
    <w:rsid w:val="00A17CAE"/>
    <w:rsid w:val="00A17D87"/>
    <w:rsid w:val="00A17F91"/>
    <w:rsid w:val="00A21AE4"/>
    <w:rsid w:val="00A21B39"/>
    <w:rsid w:val="00A2250A"/>
    <w:rsid w:val="00A2281E"/>
    <w:rsid w:val="00A22A07"/>
    <w:rsid w:val="00A244E0"/>
    <w:rsid w:val="00A24DC0"/>
    <w:rsid w:val="00A2517E"/>
    <w:rsid w:val="00A25FD7"/>
    <w:rsid w:val="00A26485"/>
    <w:rsid w:val="00A30A23"/>
    <w:rsid w:val="00A31DCC"/>
    <w:rsid w:val="00A32536"/>
    <w:rsid w:val="00A33F41"/>
    <w:rsid w:val="00A34188"/>
    <w:rsid w:val="00A3640F"/>
    <w:rsid w:val="00A373DD"/>
    <w:rsid w:val="00A377E4"/>
    <w:rsid w:val="00A44601"/>
    <w:rsid w:val="00A44773"/>
    <w:rsid w:val="00A45BB5"/>
    <w:rsid w:val="00A461F9"/>
    <w:rsid w:val="00A4640C"/>
    <w:rsid w:val="00A47143"/>
    <w:rsid w:val="00A5196D"/>
    <w:rsid w:val="00A51E81"/>
    <w:rsid w:val="00A533BA"/>
    <w:rsid w:val="00A54F25"/>
    <w:rsid w:val="00A60A8D"/>
    <w:rsid w:val="00A61433"/>
    <w:rsid w:val="00A643E8"/>
    <w:rsid w:val="00A64819"/>
    <w:rsid w:val="00A648F6"/>
    <w:rsid w:val="00A66EC3"/>
    <w:rsid w:val="00A67336"/>
    <w:rsid w:val="00A7058F"/>
    <w:rsid w:val="00A72B1F"/>
    <w:rsid w:val="00A73F57"/>
    <w:rsid w:val="00A743A3"/>
    <w:rsid w:val="00A75988"/>
    <w:rsid w:val="00A76A75"/>
    <w:rsid w:val="00A77188"/>
    <w:rsid w:val="00A827B5"/>
    <w:rsid w:val="00A8548D"/>
    <w:rsid w:val="00A86635"/>
    <w:rsid w:val="00A874F5"/>
    <w:rsid w:val="00A877E2"/>
    <w:rsid w:val="00A87BE0"/>
    <w:rsid w:val="00A903B2"/>
    <w:rsid w:val="00A91DA3"/>
    <w:rsid w:val="00A93185"/>
    <w:rsid w:val="00A939ED"/>
    <w:rsid w:val="00A9442A"/>
    <w:rsid w:val="00A94ACA"/>
    <w:rsid w:val="00A95C17"/>
    <w:rsid w:val="00AA1254"/>
    <w:rsid w:val="00AA471C"/>
    <w:rsid w:val="00AA4986"/>
    <w:rsid w:val="00AA5888"/>
    <w:rsid w:val="00AA652F"/>
    <w:rsid w:val="00AA67F4"/>
    <w:rsid w:val="00AA72A0"/>
    <w:rsid w:val="00AA7C7A"/>
    <w:rsid w:val="00AB0EBE"/>
    <w:rsid w:val="00AB2E4C"/>
    <w:rsid w:val="00AB3779"/>
    <w:rsid w:val="00AB3ED0"/>
    <w:rsid w:val="00AB5254"/>
    <w:rsid w:val="00AB69C3"/>
    <w:rsid w:val="00AB7FEF"/>
    <w:rsid w:val="00AC05BE"/>
    <w:rsid w:val="00AC1547"/>
    <w:rsid w:val="00AC2697"/>
    <w:rsid w:val="00AC3955"/>
    <w:rsid w:val="00AC3FCD"/>
    <w:rsid w:val="00AC49CB"/>
    <w:rsid w:val="00AC5814"/>
    <w:rsid w:val="00AC668E"/>
    <w:rsid w:val="00AC7344"/>
    <w:rsid w:val="00AD3A7E"/>
    <w:rsid w:val="00AD41F0"/>
    <w:rsid w:val="00AD6363"/>
    <w:rsid w:val="00AE2839"/>
    <w:rsid w:val="00AE2F04"/>
    <w:rsid w:val="00AE6688"/>
    <w:rsid w:val="00AE7160"/>
    <w:rsid w:val="00AF0DA4"/>
    <w:rsid w:val="00AF283E"/>
    <w:rsid w:val="00AF3C22"/>
    <w:rsid w:val="00AF46F9"/>
    <w:rsid w:val="00AF4BFB"/>
    <w:rsid w:val="00AF4F21"/>
    <w:rsid w:val="00B001AE"/>
    <w:rsid w:val="00B01052"/>
    <w:rsid w:val="00B0125D"/>
    <w:rsid w:val="00B07562"/>
    <w:rsid w:val="00B07720"/>
    <w:rsid w:val="00B079A2"/>
    <w:rsid w:val="00B118D2"/>
    <w:rsid w:val="00B13717"/>
    <w:rsid w:val="00B14250"/>
    <w:rsid w:val="00B14DA0"/>
    <w:rsid w:val="00B16611"/>
    <w:rsid w:val="00B16BFD"/>
    <w:rsid w:val="00B224F2"/>
    <w:rsid w:val="00B22885"/>
    <w:rsid w:val="00B2596D"/>
    <w:rsid w:val="00B26ED0"/>
    <w:rsid w:val="00B27440"/>
    <w:rsid w:val="00B27EAD"/>
    <w:rsid w:val="00B322BB"/>
    <w:rsid w:val="00B32CD1"/>
    <w:rsid w:val="00B340F0"/>
    <w:rsid w:val="00B35E05"/>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9EF"/>
    <w:rsid w:val="00BA2A79"/>
    <w:rsid w:val="00BA44B6"/>
    <w:rsid w:val="00BA4B2A"/>
    <w:rsid w:val="00BA597C"/>
    <w:rsid w:val="00BA7AA8"/>
    <w:rsid w:val="00BB2E6A"/>
    <w:rsid w:val="00BB36D4"/>
    <w:rsid w:val="00BB3734"/>
    <w:rsid w:val="00BB5A76"/>
    <w:rsid w:val="00BB6CDE"/>
    <w:rsid w:val="00BB72D3"/>
    <w:rsid w:val="00BB7822"/>
    <w:rsid w:val="00BC0C46"/>
    <w:rsid w:val="00BC1225"/>
    <w:rsid w:val="00BC1EB7"/>
    <w:rsid w:val="00BC22D2"/>
    <w:rsid w:val="00BC79D5"/>
    <w:rsid w:val="00BD0789"/>
    <w:rsid w:val="00BD15F8"/>
    <w:rsid w:val="00BD3325"/>
    <w:rsid w:val="00BD3EA6"/>
    <w:rsid w:val="00BD5FB1"/>
    <w:rsid w:val="00BE08A2"/>
    <w:rsid w:val="00BE0C7A"/>
    <w:rsid w:val="00BE14B6"/>
    <w:rsid w:val="00BE255A"/>
    <w:rsid w:val="00BE4718"/>
    <w:rsid w:val="00BE73B6"/>
    <w:rsid w:val="00BF06D1"/>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31E1"/>
    <w:rsid w:val="00C24CEE"/>
    <w:rsid w:val="00C25D39"/>
    <w:rsid w:val="00C26A4B"/>
    <w:rsid w:val="00C30401"/>
    <w:rsid w:val="00C3426E"/>
    <w:rsid w:val="00C35018"/>
    <w:rsid w:val="00C35037"/>
    <w:rsid w:val="00C367EA"/>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8B0"/>
    <w:rsid w:val="00C65D9F"/>
    <w:rsid w:val="00C71706"/>
    <w:rsid w:val="00C7186A"/>
    <w:rsid w:val="00C73206"/>
    <w:rsid w:val="00C802B4"/>
    <w:rsid w:val="00C80B7F"/>
    <w:rsid w:val="00C8163E"/>
    <w:rsid w:val="00C8302A"/>
    <w:rsid w:val="00C84BBF"/>
    <w:rsid w:val="00C85473"/>
    <w:rsid w:val="00C86CBD"/>
    <w:rsid w:val="00C8733C"/>
    <w:rsid w:val="00C92631"/>
    <w:rsid w:val="00C92B73"/>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4415"/>
    <w:rsid w:val="00CA5BAF"/>
    <w:rsid w:val="00CB10EB"/>
    <w:rsid w:val="00CB2A99"/>
    <w:rsid w:val="00CB4BC7"/>
    <w:rsid w:val="00CB4E16"/>
    <w:rsid w:val="00CB518F"/>
    <w:rsid w:val="00CB54B4"/>
    <w:rsid w:val="00CB5DCB"/>
    <w:rsid w:val="00CB7008"/>
    <w:rsid w:val="00CC12D8"/>
    <w:rsid w:val="00CC164F"/>
    <w:rsid w:val="00CC20E0"/>
    <w:rsid w:val="00CC2D98"/>
    <w:rsid w:val="00CC5A35"/>
    <w:rsid w:val="00CC746D"/>
    <w:rsid w:val="00CC7621"/>
    <w:rsid w:val="00CD0791"/>
    <w:rsid w:val="00CD0B3C"/>
    <w:rsid w:val="00CD2882"/>
    <w:rsid w:val="00CD3FBD"/>
    <w:rsid w:val="00CD450B"/>
    <w:rsid w:val="00CD576B"/>
    <w:rsid w:val="00CE011B"/>
    <w:rsid w:val="00CE11AE"/>
    <w:rsid w:val="00CE2DCA"/>
    <w:rsid w:val="00CE4F38"/>
    <w:rsid w:val="00CE554A"/>
    <w:rsid w:val="00CE65CB"/>
    <w:rsid w:val="00CF0416"/>
    <w:rsid w:val="00CF0D43"/>
    <w:rsid w:val="00CF1A22"/>
    <w:rsid w:val="00CF255B"/>
    <w:rsid w:val="00CF4756"/>
    <w:rsid w:val="00CF662D"/>
    <w:rsid w:val="00CF786A"/>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17E"/>
    <w:rsid w:val="00D259CA"/>
    <w:rsid w:val="00D2677D"/>
    <w:rsid w:val="00D267AA"/>
    <w:rsid w:val="00D277A4"/>
    <w:rsid w:val="00D30BE7"/>
    <w:rsid w:val="00D32075"/>
    <w:rsid w:val="00D3709D"/>
    <w:rsid w:val="00D403AB"/>
    <w:rsid w:val="00D406CF"/>
    <w:rsid w:val="00D41F82"/>
    <w:rsid w:val="00D43ABF"/>
    <w:rsid w:val="00D4508A"/>
    <w:rsid w:val="00D4697A"/>
    <w:rsid w:val="00D504ED"/>
    <w:rsid w:val="00D51986"/>
    <w:rsid w:val="00D5409F"/>
    <w:rsid w:val="00D55ABB"/>
    <w:rsid w:val="00D56B0F"/>
    <w:rsid w:val="00D56DCC"/>
    <w:rsid w:val="00D6054A"/>
    <w:rsid w:val="00D62DE9"/>
    <w:rsid w:val="00D64E0D"/>
    <w:rsid w:val="00D65DD0"/>
    <w:rsid w:val="00D66C96"/>
    <w:rsid w:val="00D722CE"/>
    <w:rsid w:val="00D726BC"/>
    <w:rsid w:val="00D7343C"/>
    <w:rsid w:val="00D74E76"/>
    <w:rsid w:val="00D757B7"/>
    <w:rsid w:val="00D7779D"/>
    <w:rsid w:val="00D77E85"/>
    <w:rsid w:val="00D80247"/>
    <w:rsid w:val="00D80509"/>
    <w:rsid w:val="00D81033"/>
    <w:rsid w:val="00D814CE"/>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00D7"/>
    <w:rsid w:val="00DE2A86"/>
    <w:rsid w:val="00DE2F01"/>
    <w:rsid w:val="00DE5207"/>
    <w:rsid w:val="00DE5733"/>
    <w:rsid w:val="00DE6003"/>
    <w:rsid w:val="00DE6ADE"/>
    <w:rsid w:val="00DE6D98"/>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404F2"/>
    <w:rsid w:val="00E51154"/>
    <w:rsid w:val="00E519CA"/>
    <w:rsid w:val="00E5284E"/>
    <w:rsid w:val="00E555E2"/>
    <w:rsid w:val="00E55C5C"/>
    <w:rsid w:val="00E575F7"/>
    <w:rsid w:val="00E57A5A"/>
    <w:rsid w:val="00E61725"/>
    <w:rsid w:val="00E61A1A"/>
    <w:rsid w:val="00E64AB4"/>
    <w:rsid w:val="00E6614B"/>
    <w:rsid w:val="00E720F7"/>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490"/>
    <w:rsid w:val="00EB095F"/>
    <w:rsid w:val="00EB0C07"/>
    <w:rsid w:val="00EB1FB6"/>
    <w:rsid w:val="00EB2B13"/>
    <w:rsid w:val="00EB7C5D"/>
    <w:rsid w:val="00EB7FA9"/>
    <w:rsid w:val="00EC3023"/>
    <w:rsid w:val="00EC40D4"/>
    <w:rsid w:val="00EC4697"/>
    <w:rsid w:val="00EC54D3"/>
    <w:rsid w:val="00EC61A1"/>
    <w:rsid w:val="00EC61D7"/>
    <w:rsid w:val="00EC7A7C"/>
    <w:rsid w:val="00ED1736"/>
    <w:rsid w:val="00ED1867"/>
    <w:rsid w:val="00ED486C"/>
    <w:rsid w:val="00ED4BB0"/>
    <w:rsid w:val="00EE0E90"/>
    <w:rsid w:val="00EE2144"/>
    <w:rsid w:val="00EE4334"/>
    <w:rsid w:val="00EE6925"/>
    <w:rsid w:val="00EF0287"/>
    <w:rsid w:val="00EF0E3B"/>
    <w:rsid w:val="00EF2C2C"/>
    <w:rsid w:val="00EF2FCE"/>
    <w:rsid w:val="00EF4509"/>
    <w:rsid w:val="00EF73CE"/>
    <w:rsid w:val="00EF7923"/>
    <w:rsid w:val="00F00F29"/>
    <w:rsid w:val="00F00FA5"/>
    <w:rsid w:val="00F05140"/>
    <w:rsid w:val="00F066C0"/>
    <w:rsid w:val="00F076AD"/>
    <w:rsid w:val="00F12A7C"/>
    <w:rsid w:val="00F13963"/>
    <w:rsid w:val="00F14AF2"/>
    <w:rsid w:val="00F3081E"/>
    <w:rsid w:val="00F30B09"/>
    <w:rsid w:val="00F30C90"/>
    <w:rsid w:val="00F34177"/>
    <w:rsid w:val="00F40858"/>
    <w:rsid w:val="00F41D49"/>
    <w:rsid w:val="00F42A26"/>
    <w:rsid w:val="00F457BA"/>
    <w:rsid w:val="00F4700A"/>
    <w:rsid w:val="00F5476D"/>
    <w:rsid w:val="00F54E76"/>
    <w:rsid w:val="00F6065B"/>
    <w:rsid w:val="00F612F8"/>
    <w:rsid w:val="00F62D8B"/>
    <w:rsid w:val="00F64F3A"/>
    <w:rsid w:val="00F662F1"/>
    <w:rsid w:val="00F66EA8"/>
    <w:rsid w:val="00F70CBD"/>
    <w:rsid w:val="00F74613"/>
    <w:rsid w:val="00F74873"/>
    <w:rsid w:val="00F75920"/>
    <w:rsid w:val="00F76782"/>
    <w:rsid w:val="00F77D7B"/>
    <w:rsid w:val="00F80FDA"/>
    <w:rsid w:val="00F83043"/>
    <w:rsid w:val="00F8681F"/>
    <w:rsid w:val="00F93D6B"/>
    <w:rsid w:val="00F94817"/>
    <w:rsid w:val="00F97720"/>
    <w:rsid w:val="00F9797D"/>
    <w:rsid w:val="00FA2CBD"/>
    <w:rsid w:val="00FA2DF5"/>
    <w:rsid w:val="00FA534C"/>
    <w:rsid w:val="00FA7191"/>
    <w:rsid w:val="00FA7C49"/>
    <w:rsid w:val="00FB0600"/>
    <w:rsid w:val="00FB30FC"/>
    <w:rsid w:val="00FB419D"/>
    <w:rsid w:val="00FB5CC1"/>
    <w:rsid w:val="00FB7045"/>
    <w:rsid w:val="00FB7F29"/>
    <w:rsid w:val="00FC04ED"/>
    <w:rsid w:val="00FC15CA"/>
    <w:rsid w:val="00FC189A"/>
    <w:rsid w:val="00FC1FE4"/>
    <w:rsid w:val="00FC274B"/>
    <w:rsid w:val="00FD08D6"/>
    <w:rsid w:val="00FD2242"/>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6A39"/>
    <w:rsid w:val="00FF7F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64CD9"/>
    <w:rPr>
      <w:rFonts w:ascii="Times New Roman" w:eastAsia="MS Mincho" w:hAnsi="Times New Roman"/>
      <w:sz w:val="24"/>
      <w:lang w:val="en-US" w:eastAsia="ja-JP"/>
    </w:rPr>
  </w:style>
  <w:style w:type="paragraph" w:styleId="berschrift1">
    <w:name w:val="heading 1"/>
    <w:basedOn w:val="Standard"/>
    <w:next w:val="Standard"/>
    <w:link w:val="berschrift1Zchn"/>
    <w:qFormat/>
    <w:rsid w:val="00764CD9"/>
    <w:pPr>
      <w:keepNext/>
      <w:numPr>
        <w:numId w:val="18"/>
      </w:numPr>
      <w:spacing w:before="240" w:after="60"/>
      <w:outlineLvl w:val="0"/>
    </w:pPr>
    <w:rPr>
      <w:rFonts w:ascii="Arial" w:hAnsi="Arial"/>
      <w:b/>
      <w:kern w:val="28"/>
      <w:sz w:val="28"/>
      <w:u w:val="double"/>
    </w:rPr>
  </w:style>
  <w:style w:type="paragraph" w:styleId="berschrift2">
    <w:name w:val="heading 2"/>
    <w:basedOn w:val="Standard"/>
    <w:next w:val="Standard"/>
    <w:link w:val="berschrift2Zchn"/>
    <w:qFormat/>
    <w:rsid w:val="00416061"/>
    <w:pPr>
      <w:keepNext/>
      <w:numPr>
        <w:ilvl w:val="1"/>
        <w:numId w:val="18"/>
      </w:numPr>
      <w:spacing w:before="240" w:after="60"/>
      <w:outlineLvl w:val="1"/>
    </w:pPr>
    <w:rPr>
      <w:b/>
      <w:i/>
      <w:sz w:val="28"/>
      <w:u w:val="wave"/>
    </w:rPr>
  </w:style>
  <w:style w:type="paragraph" w:styleId="berschrift3">
    <w:name w:val="heading 3"/>
    <w:basedOn w:val="Standard"/>
    <w:next w:val="Standard"/>
    <w:link w:val="berschrift3Zchn"/>
    <w:qFormat/>
    <w:rsid w:val="00764CD9"/>
    <w:pPr>
      <w:keepNext/>
      <w:numPr>
        <w:ilvl w:val="2"/>
        <w:numId w:val="18"/>
      </w:numPr>
      <w:tabs>
        <w:tab w:val="left" w:pos="792"/>
      </w:tabs>
      <w:spacing w:before="240" w:after="60"/>
      <w:outlineLvl w:val="2"/>
    </w:pPr>
    <w:rPr>
      <w:rFonts w:ascii="Arial" w:hAnsi="Arial"/>
      <w:sz w:val="26"/>
    </w:rPr>
  </w:style>
  <w:style w:type="paragraph" w:styleId="berschrift4">
    <w:name w:val="heading 4"/>
    <w:basedOn w:val="Standard"/>
    <w:next w:val="Standard"/>
    <w:link w:val="berschrift4Zchn"/>
    <w:qFormat/>
    <w:rsid w:val="00764CD9"/>
    <w:pPr>
      <w:numPr>
        <w:ilvl w:val="3"/>
        <w:numId w:val="18"/>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18"/>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18"/>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18"/>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18"/>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18"/>
      </w:numPr>
      <w:spacing w:before="240" w:after="60"/>
      <w:outlineLvl w:val="8"/>
    </w:pPr>
    <w:rPr>
      <w:rFonts w:ascii="Arial" w:hAnsi="Arial"/>
      <w:b/>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64CD9"/>
    <w:rPr>
      <w:rFonts w:ascii="Arial" w:eastAsia="MS Mincho" w:hAnsi="Arial"/>
      <w:b/>
      <w:kern w:val="28"/>
      <w:sz w:val="28"/>
      <w:u w:val="double"/>
      <w:lang w:val="en-US" w:eastAsia="ja-JP"/>
    </w:rPr>
  </w:style>
  <w:style w:type="character" w:customStyle="1" w:styleId="berschrift2Zchn">
    <w:name w:val="Überschrift 2 Zchn"/>
    <w:link w:val="berschrift2"/>
    <w:rsid w:val="00416061"/>
    <w:rPr>
      <w:rFonts w:ascii="Times New Roman" w:eastAsia="MS Mincho" w:hAnsi="Times New Roman"/>
      <w:b/>
      <w:i/>
      <w:sz w:val="28"/>
      <w:u w:val="wave"/>
      <w:lang w:val="en-US" w:eastAsia="ja-JP"/>
    </w:rPr>
  </w:style>
  <w:style w:type="character" w:customStyle="1" w:styleId="berschrift3Zchn">
    <w:name w:val="Überschrift 3 Zchn"/>
    <w:link w:val="berschrift3"/>
    <w:rsid w:val="00764CD9"/>
    <w:rPr>
      <w:rFonts w:ascii="Arial" w:eastAsia="MS Mincho" w:hAnsi="Arial"/>
      <w:sz w:val="26"/>
      <w:lang w:val="en-US" w:eastAsia="ja-JP"/>
    </w:rPr>
  </w:style>
  <w:style w:type="character" w:customStyle="1" w:styleId="berschrift4Zchn">
    <w:name w:val="Überschrift 4 Zchn"/>
    <w:link w:val="berschrift4"/>
    <w:rsid w:val="00764CD9"/>
    <w:rPr>
      <w:rFonts w:ascii="Times" w:eastAsia="MS Mincho" w:hAnsi="Times"/>
      <w:sz w:val="24"/>
      <w:u w:val="single"/>
      <w:lang w:val="en-US" w:eastAsia="ja-JP"/>
    </w:rPr>
  </w:style>
  <w:style w:type="character" w:customStyle="1" w:styleId="berschrift5Zchn">
    <w:name w:val="Überschrift 5 Zchn"/>
    <w:link w:val="berschrift5"/>
    <w:rsid w:val="00764CD9"/>
    <w:rPr>
      <w:rFonts w:ascii="Times New Roman" w:eastAsia="MS Mincho" w:hAnsi="Times New Roman"/>
      <w:sz w:val="22"/>
      <w:u w:val="single"/>
      <w:lang w:val="en-US" w:eastAsia="ja-JP"/>
    </w:rPr>
  </w:style>
  <w:style w:type="character" w:customStyle="1" w:styleId="berschrift6Zchn">
    <w:name w:val="Überschrift 6 Zchn"/>
    <w:link w:val="berschrift6"/>
    <w:rsid w:val="00764CD9"/>
    <w:rPr>
      <w:rFonts w:ascii="Times New Roman" w:eastAsia="MS Mincho" w:hAnsi="Times New Roman"/>
      <w:i/>
      <w:sz w:val="22"/>
      <w:lang w:val="en-US" w:eastAsia="ja-JP"/>
    </w:rPr>
  </w:style>
  <w:style w:type="character" w:customStyle="1" w:styleId="berschrift7Zchn">
    <w:name w:val="Überschrift 7 Zchn"/>
    <w:link w:val="berschrift7"/>
    <w:rsid w:val="00764CD9"/>
    <w:rPr>
      <w:rFonts w:ascii="Arial" w:eastAsia="MS Mincho" w:hAnsi="Arial"/>
      <w:lang w:val="en-US" w:eastAsia="ja-JP"/>
    </w:rPr>
  </w:style>
  <w:style w:type="character" w:customStyle="1" w:styleId="berschrift8Zchn">
    <w:name w:val="Überschrift 8 Zchn"/>
    <w:link w:val="berschrift8"/>
    <w:rsid w:val="00764CD9"/>
    <w:rPr>
      <w:rFonts w:ascii="Arial" w:eastAsia="MS Mincho" w:hAnsi="Arial"/>
      <w:i/>
      <w:lang w:val="en-US" w:eastAsia="ja-JP"/>
    </w:rPr>
  </w:style>
  <w:style w:type="character" w:customStyle="1" w:styleId="berschrift9Zchn">
    <w:name w:val="Überschrift 9 Zchn"/>
    <w:link w:val="berschrift9"/>
    <w:rsid w:val="00764CD9"/>
    <w:rPr>
      <w:rFonts w:ascii="Arial" w:eastAsia="MS Mincho" w:hAnsi="Arial"/>
      <w:b/>
      <w:i/>
      <w:sz w:val="18"/>
      <w:lang w:val="en-US"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style>
  <w:style w:type="character" w:customStyle="1" w:styleId="KopfzeileZchn">
    <w:name w:val="Kopfzeile Zchn"/>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semiHidden/>
    <w:rsid w:val="00764CD9"/>
    <w:rPr>
      <w:rFonts w:ascii="Arial" w:eastAsia="Times New Roman" w:hAnsi="Arial"/>
      <w:bCs/>
      <w:sz w:val="20"/>
    </w:rPr>
  </w:style>
  <w:style w:type="character" w:customStyle="1" w:styleId="FunotentextZchn">
    <w:name w:val="Fußnotentext Zchn"/>
    <w:link w:val="Funotentext"/>
    <w:semiHidden/>
    <w:rsid w:val="00764CD9"/>
    <w:rPr>
      <w:rFonts w:ascii="Arial" w:eastAsia="Times New Roman" w:hAnsi="Arial" w:cs="Arial"/>
      <w:bCs/>
      <w:sz w:val="20"/>
      <w:szCs w:val="20"/>
    </w:rPr>
  </w:style>
  <w:style w:type="character" w:styleId="Kommentarzeichen">
    <w:name w:val="annotation reference"/>
    <w:semiHidden/>
    <w:rsid w:val="00764CD9"/>
    <w:rPr>
      <w:sz w:val="16"/>
      <w:szCs w:val="16"/>
    </w:rPr>
  </w:style>
  <w:style w:type="paragraph" w:styleId="Kommentartext">
    <w:name w:val="annotation text"/>
    <w:basedOn w:val="Standard"/>
    <w:link w:val="KommentartextZchn"/>
    <w:semiHidden/>
    <w:rsid w:val="00764CD9"/>
    <w:rPr>
      <w:sz w:val="20"/>
    </w:rPr>
  </w:style>
  <w:style w:type="character" w:customStyle="1" w:styleId="KommentartextZchn">
    <w:name w:val="Kommentartext Zchn"/>
    <w:link w:val="Kommentartext"/>
    <w:semiHidden/>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gitternetz">
    <w:name w:val="Table Grid"/>
    <w:basedOn w:val="NormaleTabelle"/>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link w:val="HTMLVorformatiertZchn"/>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eastAsia="MS Mincho" w:hAnsi="Times New Roman"/>
      <w:sz w:val="24"/>
      <w:lang w:val="en-US"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Verzeichnis3">
    <w:name w:val="toc 3"/>
    <w:basedOn w:val="Standard"/>
    <w:next w:val="Standard"/>
    <w:autoRedefine/>
    <w:uiPriority w:val="39"/>
    <w:unhideWhenUsed/>
    <w:qFormat/>
    <w:rsid w:val="00B53065"/>
    <w:pPr>
      <w:ind w:left="480"/>
    </w:pPr>
    <w:rPr>
      <w:rFonts w:ascii="Calibri" w:hAnsi="Calibri" w:cs="Calibri"/>
      <w: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Hervorhebung">
    <w:name w:val="Emphasis"/>
    <w:uiPriority w:val="20"/>
    <w:qFormat/>
    <w:rsid w:val="00C06894"/>
    <w:rPr>
      <w:i/>
      <w:iCs/>
    </w:rPr>
  </w:style>
  <w:style w:type="character" w:customStyle="1" w:styleId="HTMLVorformatiertZchn">
    <w:name w:val="HTML Vorformatiert Zchn"/>
    <w:basedOn w:val="Absatz-Standardschriftart"/>
    <w:link w:val="HTMLVorformatiert"/>
    <w:uiPriority w:val="99"/>
    <w:rsid w:val="00C06894"/>
    <w:rPr>
      <w:rFonts w:ascii="Courier New" w:eastAsia="MS Mincho" w:hAnsi="Courier New" w:cs="Courier New"/>
      <w:lang w:val="en-US" w:eastAsia="zh-CN"/>
    </w:rPr>
  </w:style>
  <w:style w:type="character" w:styleId="SchwacherVerweis">
    <w:name w:val="Subtle Reference"/>
    <w:basedOn w:val="Absatz-Standardschriftar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styleId="Liste">
    <w:name w:val="List"/>
    <w:basedOn w:val="Standard"/>
    <w:rsid w:val="000F6813"/>
    <w:pPr>
      <w:ind w:left="283" w:hanging="283"/>
      <w:jc w:val="both"/>
    </w:pPr>
    <w:rPr>
      <w:rFonts w:ascii="Tahoma" w:hAnsi="Tahoma"/>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64CD9"/>
    <w:rPr>
      <w:rFonts w:ascii="Times New Roman" w:eastAsia="MS Mincho" w:hAnsi="Times New Roman"/>
      <w:sz w:val="24"/>
      <w:lang w:val="en-US" w:eastAsia="ja-JP"/>
    </w:rPr>
  </w:style>
  <w:style w:type="paragraph" w:styleId="Heading1">
    <w:name w:val="heading 1"/>
    <w:basedOn w:val="Normal"/>
    <w:next w:val="Normal"/>
    <w:link w:val="Heading1Char"/>
    <w:qFormat/>
    <w:rsid w:val="00764CD9"/>
    <w:pPr>
      <w:keepNext/>
      <w:numPr>
        <w:numId w:val="18"/>
      </w:numPr>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416061"/>
    <w:pPr>
      <w:keepNext/>
      <w:numPr>
        <w:ilvl w:val="1"/>
        <w:numId w:val="18"/>
      </w:numPr>
      <w:spacing w:before="240" w:after="60"/>
      <w:outlineLvl w:val="1"/>
    </w:pPr>
    <w:rPr>
      <w:b/>
      <w:i/>
      <w:sz w:val="28"/>
      <w:u w:val="wave"/>
    </w:rPr>
  </w:style>
  <w:style w:type="paragraph" w:styleId="Heading3">
    <w:name w:val="heading 3"/>
    <w:basedOn w:val="Normal"/>
    <w:next w:val="Normal"/>
    <w:link w:val="Heading3Char"/>
    <w:qFormat/>
    <w:rsid w:val="00764CD9"/>
    <w:pPr>
      <w:keepNext/>
      <w:numPr>
        <w:ilvl w:val="2"/>
        <w:numId w:val="18"/>
      </w:numPr>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764CD9"/>
    <w:pPr>
      <w:numPr>
        <w:ilvl w:val="3"/>
        <w:numId w:val="18"/>
      </w:numPr>
      <w:outlineLvl w:val="3"/>
    </w:pPr>
    <w:rPr>
      <w:rFonts w:ascii="Times" w:hAnsi="Times"/>
      <w:u w:val="single"/>
    </w:rPr>
  </w:style>
  <w:style w:type="paragraph" w:styleId="Heading5">
    <w:name w:val="heading 5"/>
    <w:basedOn w:val="Normal"/>
    <w:next w:val="Normal"/>
    <w:link w:val="Heading5Char"/>
    <w:qFormat/>
    <w:rsid w:val="00764CD9"/>
    <w:pPr>
      <w:numPr>
        <w:ilvl w:val="4"/>
        <w:numId w:val="18"/>
      </w:numPr>
      <w:spacing w:before="240" w:after="60"/>
      <w:outlineLvl w:val="4"/>
    </w:pPr>
    <w:rPr>
      <w:sz w:val="22"/>
      <w:u w:val="single"/>
    </w:rPr>
  </w:style>
  <w:style w:type="paragraph" w:styleId="Heading6">
    <w:name w:val="heading 6"/>
    <w:basedOn w:val="Normal"/>
    <w:next w:val="Normal"/>
    <w:link w:val="Heading6Char"/>
    <w:qFormat/>
    <w:rsid w:val="00764CD9"/>
    <w:pPr>
      <w:numPr>
        <w:ilvl w:val="5"/>
        <w:numId w:val="18"/>
      </w:numPr>
      <w:spacing w:before="240" w:after="60"/>
      <w:outlineLvl w:val="5"/>
    </w:pPr>
    <w:rPr>
      <w:i/>
      <w:sz w:val="22"/>
    </w:rPr>
  </w:style>
  <w:style w:type="paragraph" w:styleId="Heading7">
    <w:name w:val="heading 7"/>
    <w:basedOn w:val="Normal"/>
    <w:next w:val="Normal"/>
    <w:link w:val="Heading7Char"/>
    <w:qFormat/>
    <w:rsid w:val="00764CD9"/>
    <w:pPr>
      <w:numPr>
        <w:ilvl w:val="6"/>
        <w:numId w:val="18"/>
      </w:numPr>
      <w:spacing w:before="240" w:after="60"/>
      <w:outlineLvl w:val="6"/>
    </w:pPr>
    <w:rPr>
      <w:rFonts w:ascii="Arial" w:hAnsi="Arial"/>
      <w:sz w:val="20"/>
    </w:rPr>
  </w:style>
  <w:style w:type="paragraph" w:styleId="Heading8">
    <w:name w:val="heading 8"/>
    <w:basedOn w:val="Normal"/>
    <w:next w:val="Normal"/>
    <w:link w:val="Heading8Char"/>
    <w:qFormat/>
    <w:rsid w:val="00764CD9"/>
    <w:pPr>
      <w:numPr>
        <w:ilvl w:val="7"/>
        <w:numId w:val="18"/>
      </w:numPr>
      <w:spacing w:before="240" w:after="60"/>
      <w:outlineLvl w:val="7"/>
    </w:pPr>
    <w:rPr>
      <w:rFonts w:ascii="Arial" w:hAnsi="Arial"/>
      <w:i/>
      <w:sz w:val="20"/>
    </w:rPr>
  </w:style>
  <w:style w:type="paragraph" w:styleId="Heading9">
    <w:name w:val="heading 9"/>
    <w:basedOn w:val="Normal"/>
    <w:next w:val="Normal"/>
    <w:link w:val="Heading9Char"/>
    <w:qFormat/>
    <w:rsid w:val="00764CD9"/>
    <w:pPr>
      <w:numPr>
        <w:ilvl w:val="8"/>
        <w:numId w:val="1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見出し 1 (文字)"/>
    <w:link w:val="Heading1"/>
    <w:rsid w:val="00764CD9"/>
    <w:rPr>
      <w:rFonts w:ascii="Arial" w:eastAsia="MS Mincho" w:hAnsi="Arial"/>
      <w:b/>
      <w:kern w:val="28"/>
      <w:sz w:val="28"/>
      <w:u w:val="double"/>
      <w:lang w:val="en-US" w:eastAsia="ja-JP"/>
    </w:rPr>
  </w:style>
  <w:style w:type="character" w:customStyle="1" w:styleId="Heading2Char">
    <w:name w:val="見出し 2 (文字)"/>
    <w:link w:val="Heading2"/>
    <w:rsid w:val="00416061"/>
    <w:rPr>
      <w:rFonts w:ascii="Times New Roman" w:eastAsia="MS Mincho" w:hAnsi="Times New Roman"/>
      <w:b/>
      <w:i/>
      <w:sz w:val="28"/>
      <w:u w:val="wave"/>
      <w:lang w:val="en-US" w:eastAsia="ja-JP"/>
    </w:rPr>
  </w:style>
  <w:style w:type="character" w:customStyle="1" w:styleId="Heading3Char">
    <w:name w:val="見出し 3 (文字)"/>
    <w:link w:val="Heading3"/>
    <w:rsid w:val="00764CD9"/>
    <w:rPr>
      <w:rFonts w:ascii="Arial" w:eastAsia="MS Mincho" w:hAnsi="Arial"/>
      <w:sz w:val="26"/>
      <w:lang w:val="en-US" w:eastAsia="ja-JP"/>
    </w:rPr>
  </w:style>
  <w:style w:type="character" w:customStyle="1" w:styleId="Heading4Char">
    <w:name w:val="見出し 4 (文字)"/>
    <w:link w:val="Heading4"/>
    <w:rsid w:val="00764CD9"/>
    <w:rPr>
      <w:rFonts w:ascii="Times" w:eastAsia="MS Mincho" w:hAnsi="Times"/>
      <w:sz w:val="24"/>
      <w:u w:val="single"/>
      <w:lang w:val="en-US" w:eastAsia="ja-JP"/>
    </w:rPr>
  </w:style>
  <w:style w:type="character" w:customStyle="1" w:styleId="Heading5Char">
    <w:name w:val="見出し 5 (文字)"/>
    <w:link w:val="Heading5"/>
    <w:rsid w:val="00764CD9"/>
    <w:rPr>
      <w:rFonts w:ascii="Times New Roman" w:eastAsia="MS Mincho" w:hAnsi="Times New Roman"/>
      <w:sz w:val="22"/>
      <w:u w:val="single"/>
      <w:lang w:val="en-US" w:eastAsia="ja-JP"/>
    </w:rPr>
  </w:style>
  <w:style w:type="character" w:customStyle="1" w:styleId="Heading6Char">
    <w:name w:val="見出し 6 (文字)"/>
    <w:link w:val="Heading6"/>
    <w:rsid w:val="00764CD9"/>
    <w:rPr>
      <w:rFonts w:ascii="Times New Roman" w:eastAsia="MS Mincho" w:hAnsi="Times New Roman"/>
      <w:i/>
      <w:sz w:val="22"/>
      <w:lang w:val="en-US" w:eastAsia="ja-JP"/>
    </w:rPr>
  </w:style>
  <w:style w:type="character" w:customStyle="1" w:styleId="Heading7Char">
    <w:name w:val="見出し 7 (文字)"/>
    <w:link w:val="Heading7"/>
    <w:rsid w:val="00764CD9"/>
    <w:rPr>
      <w:rFonts w:ascii="Arial" w:eastAsia="MS Mincho" w:hAnsi="Arial"/>
      <w:lang w:val="en-US" w:eastAsia="ja-JP"/>
    </w:rPr>
  </w:style>
  <w:style w:type="character" w:customStyle="1" w:styleId="Heading8Char">
    <w:name w:val="見出し 8 (文字)"/>
    <w:link w:val="Heading8"/>
    <w:rsid w:val="00764CD9"/>
    <w:rPr>
      <w:rFonts w:ascii="Arial" w:eastAsia="MS Mincho" w:hAnsi="Arial"/>
      <w:i/>
      <w:lang w:val="en-US" w:eastAsia="ja-JP"/>
    </w:rPr>
  </w:style>
  <w:style w:type="character" w:customStyle="1" w:styleId="Heading9Char">
    <w:name w:val="見出し 9 (文字)"/>
    <w:link w:val="Heading9"/>
    <w:rsid w:val="00764CD9"/>
    <w:rPr>
      <w:rFonts w:ascii="Arial" w:eastAsia="MS Mincho" w:hAnsi="Arial"/>
      <w:b/>
      <w:i/>
      <w:sz w:val="18"/>
      <w:lang w:val="en-US" w:eastAsia="ja-JP"/>
    </w:rPr>
  </w:style>
  <w:style w:type="paragraph" w:styleId="Footer">
    <w:name w:val="footer"/>
    <w:basedOn w:val="Normal"/>
    <w:link w:val="FooterChar"/>
    <w:rsid w:val="00764CD9"/>
    <w:pPr>
      <w:tabs>
        <w:tab w:val="center" w:pos="4320"/>
        <w:tab w:val="right" w:pos="8640"/>
      </w:tabs>
    </w:pPr>
  </w:style>
  <w:style w:type="character" w:customStyle="1" w:styleId="FooterChar">
    <w:name w:val="フッター (文字)"/>
    <w:link w:val="Footer"/>
    <w:rsid w:val="00764CD9"/>
    <w:rPr>
      <w:rFonts w:ascii="Times New Roman" w:eastAsia="MS Mincho" w:hAnsi="Times New Roman" w:cs="Times New Roman"/>
      <w:sz w:val="24"/>
      <w:szCs w:val="20"/>
      <w:lang w:eastAsia="ja-JP"/>
    </w:rPr>
  </w:style>
  <w:style w:type="paragraph" w:styleId="Header">
    <w:name w:val="header"/>
    <w:basedOn w:val="Normal"/>
    <w:link w:val="HeaderChar"/>
    <w:uiPriority w:val="99"/>
    <w:rsid w:val="00764CD9"/>
    <w:pPr>
      <w:tabs>
        <w:tab w:val="center" w:pos="4320"/>
        <w:tab w:val="right" w:pos="8640"/>
      </w:tabs>
    </w:pPr>
  </w:style>
  <w:style w:type="character" w:customStyle="1" w:styleId="HeaderChar">
    <w:name w:val="ヘッダー (文字)"/>
    <w:link w:val="Header"/>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Normal"/>
    <w:rsid w:val="00764CD9"/>
    <w:pPr>
      <w:spacing w:before="120"/>
      <w:jc w:val="both"/>
    </w:pPr>
    <w:rPr>
      <w:rFonts w:ascii="Palatino" w:hAnsi="Palatino"/>
      <w:i/>
    </w:rPr>
  </w:style>
  <w:style w:type="paragraph" w:customStyle="1" w:styleId="BlockParagraph">
    <w:name w:val="BlockParagraph"/>
    <w:basedOn w:val="Normal"/>
    <w:rsid w:val="00764CD9"/>
    <w:pPr>
      <w:spacing w:before="120"/>
    </w:pPr>
    <w:rPr>
      <w:rFonts w:ascii="Palatino" w:hAnsi="Palatino"/>
    </w:rPr>
  </w:style>
  <w:style w:type="paragraph" w:customStyle="1" w:styleId="Definition">
    <w:name w:val="Definition"/>
    <w:basedOn w:val="Normal"/>
    <w:rsid w:val="00764CD9"/>
    <w:pPr>
      <w:spacing w:after="200"/>
      <w:ind w:right="-720"/>
      <w:jc w:val="both"/>
    </w:pPr>
    <w:rPr>
      <w:rFonts w:ascii="New Century Schlbk" w:hAnsi="New Century Schlbk"/>
      <w:sz w:val="20"/>
    </w:rPr>
  </w:style>
  <w:style w:type="paragraph" w:styleId="BodyText">
    <w:name w:val="Body Text"/>
    <w:basedOn w:val="Normal"/>
    <w:link w:val="BodyTextChar"/>
    <w:rsid w:val="00764CD9"/>
    <w:rPr>
      <w:color w:val="000000"/>
    </w:rPr>
  </w:style>
  <w:style w:type="character" w:customStyle="1" w:styleId="BodyTextChar">
    <w:name w:val="本文 (文字)"/>
    <w:link w:val="BodyText"/>
    <w:rsid w:val="00764CD9"/>
    <w:rPr>
      <w:rFonts w:ascii="Times New Roman" w:eastAsia="MS Mincho" w:hAnsi="Times New Roman" w:cs="Times New Roman"/>
      <w:color w:val="000000"/>
      <w:sz w:val="24"/>
      <w:szCs w:val="20"/>
    </w:rPr>
  </w:style>
  <w:style w:type="paragraph" w:styleId="DocumentMap">
    <w:name w:val="Document Map"/>
    <w:basedOn w:val="Normal"/>
    <w:link w:val="DocumentMapChar"/>
    <w:semiHidden/>
    <w:rsid w:val="00764CD9"/>
    <w:pPr>
      <w:shd w:val="clear" w:color="auto" w:fill="000080"/>
    </w:pPr>
    <w:rPr>
      <w:rFonts w:ascii="Tahoma" w:hAnsi="Tahoma"/>
    </w:rPr>
  </w:style>
  <w:style w:type="character" w:customStyle="1" w:styleId="DocumentMapChar">
    <w:name w:val="見出しマップ (文字)"/>
    <w:link w:val="DocumentMap"/>
    <w:semiHidden/>
    <w:rsid w:val="00764CD9"/>
    <w:rPr>
      <w:rFonts w:ascii="Tahoma" w:eastAsia="MS Mincho" w:hAnsi="Tahoma" w:cs="Times New Roman"/>
      <w:sz w:val="24"/>
      <w:szCs w:val="20"/>
      <w:shd w:val="clear" w:color="auto" w:fill="000080"/>
      <w:lang w:eastAsia="ja-JP"/>
    </w:rPr>
  </w:style>
  <w:style w:type="character" w:styleId="PageNumber">
    <w:name w:val="page number"/>
    <w:basedOn w:val="DefaultParagraphFont"/>
    <w:rsid w:val="00764CD9"/>
  </w:style>
  <w:style w:type="paragraph" w:customStyle="1" w:styleId="covertext">
    <w:name w:val="cover text"/>
    <w:basedOn w:val="Normal"/>
    <w:rsid w:val="00764CD9"/>
    <w:pPr>
      <w:spacing w:before="120" w:after="120"/>
    </w:pPr>
  </w:style>
  <w:style w:type="character" w:styleId="Hyperlink">
    <w:name w:val="Hyperlink"/>
    <w:uiPriority w:val="99"/>
    <w:rsid w:val="00764CD9"/>
    <w:rPr>
      <w:color w:val="0000FF"/>
      <w:u w:val="single"/>
    </w:rPr>
  </w:style>
  <w:style w:type="paragraph" w:styleId="TOC1">
    <w:name w:val="toc 1"/>
    <w:basedOn w:val="Normal"/>
    <w:next w:val="Normal"/>
    <w:autoRedefine/>
    <w:uiPriority w:val="39"/>
    <w:qFormat/>
    <w:rsid w:val="00D56B0F"/>
    <w:pPr>
      <w:spacing w:before="120" w:after="120"/>
    </w:pPr>
    <w:rPr>
      <w:rFonts w:ascii="Calibri" w:hAnsi="Calibri" w:cs="Calibri"/>
      <w:b/>
      <w:bCs/>
      <w:caps/>
      <w:sz w:val="20"/>
    </w:rPr>
  </w:style>
  <w:style w:type="character" w:styleId="FollowedHyperlink">
    <w:name w:val="FollowedHyperlink"/>
    <w:rsid w:val="00764CD9"/>
    <w:rPr>
      <w:color w:val="800080"/>
      <w:u w:val="single"/>
    </w:rPr>
  </w:style>
  <w:style w:type="paragraph" w:styleId="BalloonText">
    <w:name w:val="Balloon Text"/>
    <w:basedOn w:val="Normal"/>
    <w:link w:val="BalloonTextChar"/>
    <w:semiHidden/>
    <w:rsid w:val="00764CD9"/>
    <w:rPr>
      <w:rFonts w:ascii="Arial" w:eastAsia="MS Gothic" w:hAnsi="Arial"/>
      <w:sz w:val="18"/>
      <w:szCs w:val="18"/>
    </w:rPr>
  </w:style>
  <w:style w:type="character" w:customStyle="1" w:styleId="BalloonTextChar">
    <w:name w:val="吹き出し (文字)"/>
    <w:link w:val="BalloonText"/>
    <w:semiHidden/>
    <w:rsid w:val="00764CD9"/>
    <w:rPr>
      <w:rFonts w:ascii="Arial" w:eastAsia="MS Gothic" w:hAnsi="Arial" w:cs="Times New Roman"/>
      <w:sz w:val="18"/>
      <w:szCs w:val="18"/>
      <w:lang w:eastAsia="ja-JP"/>
    </w:rPr>
  </w:style>
  <w:style w:type="paragraph" w:styleId="PlainText">
    <w:name w:val="Plain Text"/>
    <w:basedOn w:val="Normal"/>
    <w:link w:val="PlainTextChar"/>
    <w:rsid w:val="00764CD9"/>
    <w:rPr>
      <w:rFonts w:ascii="Courier New" w:eastAsia="Times New Roman" w:hAnsi="Courier New"/>
      <w:sz w:val="20"/>
    </w:rPr>
  </w:style>
  <w:style w:type="character" w:customStyle="1" w:styleId="PlainTextChar">
    <w:name w:val="書式なし (文字)"/>
    <w:link w:val="PlainText"/>
    <w:rsid w:val="00764CD9"/>
    <w:rPr>
      <w:rFonts w:ascii="Courier New" w:eastAsia="Times New Roman" w:hAnsi="Courier New" w:cs="Courier New"/>
      <w:sz w:val="20"/>
      <w:szCs w:val="20"/>
    </w:rPr>
  </w:style>
  <w:style w:type="paragraph" w:styleId="FootnoteText">
    <w:name w:val="footnote text"/>
    <w:basedOn w:val="Normal"/>
    <w:link w:val="FootnoteTextChar"/>
    <w:semiHidden/>
    <w:rsid w:val="00764CD9"/>
    <w:rPr>
      <w:rFonts w:ascii="Arial" w:eastAsia="Times New Roman" w:hAnsi="Arial"/>
      <w:bCs/>
      <w:sz w:val="20"/>
    </w:rPr>
  </w:style>
  <w:style w:type="character" w:customStyle="1" w:styleId="FootnoteTextChar">
    <w:name w:val="脚注文字列 (文字)"/>
    <w:link w:val="FootnoteText"/>
    <w:semiHidden/>
    <w:rsid w:val="00764CD9"/>
    <w:rPr>
      <w:rFonts w:ascii="Arial" w:eastAsia="Times New Roman" w:hAnsi="Arial" w:cs="Arial"/>
      <w:bCs/>
      <w:sz w:val="20"/>
      <w:szCs w:val="20"/>
    </w:rPr>
  </w:style>
  <w:style w:type="character" w:styleId="CommentReference">
    <w:name w:val="annotation reference"/>
    <w:semiHidden/>
    <w:rsid w:val="00764CD9"/>
    <w:rPr>
      <w:sz w:val="16"/>
      <w:szCs w:val="16"/>
    </w:rPr>
  </w:style>
  <w:style w:type="paragraph" w:styleId="CommentText">
    <w:name w:val="annotation text"/>
    <w:basedOn w:val="Normal"/>
    <w:link w:val="CommentTextChar"/>
    <w:semiHidden/>
    <w:rsid w:val="00764CD9"/>
    <w:rPr>
      <w:sz w:val="20"/>
    </w:rPr>
  </w:style>
  <w:style w:type="character" w:customStyle="1" w:styleId="CommentTextChar">
    <w:name w:val="コメント文字列 (文字)"/>
    <w:link w:val="CommentText"/>
    <w:semiHidden/>
    <w:rsid w:val="00764CD9"/>
    <w:rPr>
      <w:rFonts w:ascii="Times New Roman" w:eastAsia="MS Mincho" w:hAnsi="Times New Roman" w:cs="Times New Roman"/>
      <w:sz w:val="20"/>
      <w:szCs w:val="20"/>
      <w:lang w:eastAsia="ja-JP"/>
    </w:rPr>
  </w:style>
  <w:style w:type="character" w:customStyle="1" w:styleId="CommentSubjectChar">
    <w:name w:val="コメント内容 (文字)"/>
    <w:link w:val="CommentSubject"/>
    <w:semiHidden/>
    <w:rsid w:val="00764CD9"/>
    <w:rPr>
      <w:rFonts w:ascii="Times New Roman" w:eastAsia="MS Mincho" w:hAnsi="Times New Roman" w:cs="Times New Roman"/>
      <w:b/>
      <w:bCs/>
      <w:sz w:val="20"/>
      <w:szCs w:val="20"/>
      <w:lang w:eastAsia="ja-JP"/>
    </w:rPr>
  </w:style>
  <w:style w:type="paragraph" w:styleId="CommentSubject">
    <w:name w:val="annotation subject"/>
    <w:basedOn w:val="CommentText"/>
    <w:next w:val="CommentText"/>
    <w:link w:val="CommentSubjectChar"/>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Normal"/>
    <w:rsid w:val="00B26ED0"/>
    <w:pPr>
      <w:ind w:firstLine="397"/>
      <w:jc w:val="both"/>
    </w:pPr>
    <w:rPr>
      <w:sz w:val="20"/>
      <w:lang w:eastAsia="en-US"/>
    </w:rPr>
  </w:style>
  <w:style w:type="paragraph" w:customStyle="1" w:styleId="Akapitzlist">
    <w:name w:val="Akapit z listą"/>
    <w:basedOn w:val="Normal"/>
    <w:uiPriority w:val="34"/>
    <w:qFormat/>
    <w:rsid w:val="00AF283E"/>
    <w:pPr>
      <w:ind w:left="720"/>
    </w:pPr>
  </w:style>
  <w:style w:type="table" w:styleId="TableGrid">
    <w:name w:val="Table Grid"/>
    <w:basedOn w:val="TableNormal"/>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245B0B"/>
    <w:pPr>
      <w:spacing w:before="100" w:beforeAutospacing="1" w:after="100" w:afterAutospacing="1"/>
    </w:pPr>
    <w:rPr>
      <w:szCs w:val="24"/>
      <w:lang w:eastAsia="zh-CN"/>
    </w:rPr>
  </w:style>
  <w:style w:type="paragraph" w:styleId="HTMLPreformatted">
    <w:name w:val="HTML Preformatted"/>
    <w:basedOn w:val="Normal"/>
    <w:link w:val="HTMLPreformattedChar"/>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Caption">
    <w:name w:val="caption"/>
    <w:basedOn w:val="Normal"/>
    <w:next w:val="Normal"/>
    <w:qFormat/>
    <w:rsid w:val="005F210D"/>
    <w:pPr>
      <w:jc w:val="both"/>
    </w:pPr>
    <w:rPr>
      <w:rFonts w:eastAsia="Times New Roman"/>
      <w:b/>
      <w:bCs/>
      <w:sz w:val="20"/>
      <w:lang w:val="en-GB" w:eastAsia="en-GB"/>
    </w:rPr>
  </w:style>
  <w:style w:type="character" w:customStyle="1" w:styleId="highlight">
    <w:name w:val="highlight"/>
    <w:basedOn w:val="DefaultParagraphFont"/>
    <w:rsid w:val="005F210D"/>
  </w:style>
  <w:style w:type="table" w:styleId="LightShading-Accent4">
    <w:name w:val="Light Shading Accent 4"/>
    <w:basedOn w:val="TableNormal"/>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semiHidden/>
    <w:rsid w:val="009D5A10"/>
    <w:rPr>
      <w:rFonts w:ascii="Times New Roman" w:eastAsia="MS Mincho" w:hAnsi="Times New Roman"/>
      <w:sz w:val="24"/>
      <w:lang w:val="en-US" w:eastAsia="ja-JP"/>
    </w:rPr>
  </w:style>
  <w:style w:type="paragraph" w:styleId="ListParagraph">
    <w:name w:val="List Paragraph"/>
    <w:basedOn w:val="Normal"/>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TOC2">
    <w:name w:val="toc 2"/>
    <w:basedOn w:val="Normal"/>
    <w:next w:val="Normal"/>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TableNormal"/>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Normal"/>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TOCHeading">
    <w:name w:val="TOC Heading"/>
    <w:basedOn w:val="Heading1"/>
    <w:next w:val="Normal"/>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TOC3">
    <w:name w:val="toc 3"/>
    <w:basedOn w:val="Normal"/>
    <w:next w:val="Normal"/>
    <w:autoRedefine/>
    <w:uiPriority w:val="39"/>
    <w:unhideWhenUsed/>
    <w:qFormat/>
    <w:rsid w:val="00B53065"/>
    <w:pPr>
      <w:ind w:left="480"/>
    </w:pPr>
    <w:rPr>
      <w:rFonts w:ascii="Calibri" w:hAnsi="Calibri" w:cs="Calibri"/>
      <w:i/>
      <w:iCs/>
      <w:sz w:val="20"/>
    </w:rPr>
  </w:style>
  <w:style w:type="paragraph" w:styleId="TOC4">
    <w:name w:val="toc 4"/>
    <w:basedOn w:val="Normal"/>
    <w:next w:val="Normal"/>
    <w:autoRedefine/>
    <w:uiPriority w:val="39"/>
    <w:unhideWhenUsed/>
    <w:rsid w:val="0036765C"/>
    <w:pPr>
      <w:ind w:left="720"/>
    </w:pPr>
    <w:rPr>
      <w:rFonts w:ascii="Calibri" w:hAnsi="Calibri" w:cs="Calibri"/>
      <w:sz w:val="18"/>
      <w:szCs w:val="18"/>
    </w:rPr>
  </w:style>
  <w:style w:type="paragraph" w:styleId="TOC5">
    <w:name w:val="toc 5"/>
    <w:basedOn w:val="Normal"/>
    <w:next w:val="Normal"/>
    <w:autoRedefine/>
    <w:uiPriority w:val="39"/>
    <w:unhideWhenUsed/>
    <w:rsid w:val="0036765C"/>
    <w:pPr>
      <w:ind w:left="960"/>
    </w:pPr>
    <w:rPr>
      <w:rFonts w:ascii="Calibri" w:hAnsi="Calibri" w:cs="Calibri"/>
      <w:sz w:val="18"/>
      <w:szCs w:val="18"/>
    </w:rPr>
  </w:style>
  <w:style w:type="paragraph" w:styleId="TOC6">
    <w:name w:val="toc 6"/>
    <w:basedOn w:val="Normal"/>
    <w:next w:val="Normal"/>
    <w:autoRedefine/>
    <w:uiPriority w:val="39"/>
    <w:unhideWhenUsed/>
    <w:rsid w:val="0036765C"/>
    <w:pPr>
      <w:ind w:left="1200"/>
    </w:pPr>
    <w:rPr>
      <w:rFonts w:ascii="Calibri" w:hAnsi="Calibri" w:cs="Calibri"/>
      <w:sz w:val="18"/>
      <w:szCs w:val="18"/>
    </w:rPr>
  </w:style>
  <w:style w:type="paragraph" w:styleId="TOC7">
    <w:name w:val="toc 7"/>
    <w:basedOn w:val="Normal"/>
    <w:next w:val="Normal"/>
    <w:autoRedefine/>
    <w:uiPriority w:val="39"/>
    <w:unhideWhenUsed/>
    <w:rsid w:val="0036765C"/>
    <w:pPr>
      <w:ind w:left="1440"/>
    </w:pPr>
    <w:rPr>
      <w:rFonts w:ascii="Calibri" w:hAnsi="Calibri" w:cs="Calibri"/>
      <w:sz w:val="18"/>
      <w:szCs w:val="18"/>
    </w:rPr>
  </w:style>
  <w:style w:type="paragraph" w:styleId="TOC8">
    <w:name w:val="toc 8"/>
    <w:basedOn w:val="Normal"/>
    <w:next w:val="Normal"/>
    <w:autoRedefine/>
    <w:uiPriority w:val="39"/>
    <w:unhideWhenUsed/>
    <w:rsid w:val="0036765C"/>
    <w:pPr>
      <w:ind w:left="1680"/>
    </w:pPr>
    <w:rPr>
      <w:rFonts w:ascii="Calibri" w:hAnsi="Calibri" w:cs="Calibri"/>
      <w:sz w:val="18"/>
      <w:szCs w:val="18"/>
    </w:rPr>
  </w:style>
  <w:style w:type="paragraph" w:styleId="TOC9">
    <w:name w:val="toc 9"/>
    <w:basedOn w:val="Normal"/>
    <w:next w:val="Normal"/>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Emphasis">
    <w:name w:val="Emphasis"/>
    <w:uiPriority w:val="20"/>
    <w:qFormat/>
    <w:rsid w:val="00C06894"/>
    <w:rPr>
      <w:i/>
      <w:iCs/>
    </w:rPr>
  </w:style>
  <w:style w:type="character" w:customStyle="1" w:styleId="HTMLPreformattedChar">
    <w:name w:val="HTML 書式付き (文字)"/>
    <w:basedOn w:val="DefaultParagraphFont"/>
    <w:link w:val="HTMLPreformatted"/>
    <w:uiPriority w:val="99"/>
    <w:rsid w:val="00C06894"/>
    <w:rPr>
      <w:rFonts w:ascii="Courier New" w:eastAsia="MS Mincho" w:hAnsi="Courier New" w:cs="Courier New"/>
      <w:lang w:val="en-US" w:eastAsia="zh-CN"/>
    </w:rPr>
  </w:style>
  <w:style w:type="character" w:styleId="SubtleReference">
    <w:name w:val="Subtle Reference"/>
    <w:basedOn w:val="DefaultParagraphFon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s>
</file>

<file path=word/webSettings.xml><?xml version="1.0" encoding="utf-8"?>
<w:webSettings xmlns:r="http://schemas.openxmlformats.org/officeDocument/2006/relationships" xmlns:w="http://schemas.openxmlformats.org/wordprocessingml/2006/main">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941693930">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132134915">
      <w:bodyDiv w:val="1"/>
      <w:marLeft w:val="0"/>
      <w:marRight w:val="0"/>
      <w:marTop w:val="0"/>
      <w:marBottom w:val="0"/>
      <w:divBdr>
        <w:top w:val="none" w:sz="0" w:space="0" w:color="auto"/>
        <w:left w:val="none" w:sz="0" w:space="0" w:color="auto"/>
        <w:bottom w:val="none" w:sz="0" w:space="0" w:color="auto"/>
        <w:right w:val="none" w:sz="0" w:space="0" w:color="auto"/>
      </w:divBdr>
    </w:div>
    <w:div w:id="1140926446">
      <w:bodyDiv w:val="1"/>
      <w:marLeft w:val="0"/>
      <w:marRight w:val="0"/>
      <w:marTop w:val="0"/>
      <w:marBottom w:val="0"/>
      <w:divBdr>
        <w:top w:val="none" w:sz="0" w:space="0" w:color="auto"/>
        <w:left w:val="none" w:sz="0" w:space="0" w:color="auto"/>
        <w:bottom w:val="none" w:sz="0" w:space="0" w:color="auto"/>
        <w:right w:val="none" w:sz="0" w:space="0" w:color="auto"/>
      </w:divBdr>
    </w:div>
    <w:div w:id="1260716876">
      <w:bodyDiv w:val="1"/>
      <w:marLeft w:val="0"/>
      <w:marRight w:val="0"/>
      <w:marTop w:val="0"/>
      <w:marBottom w:val="0"/>
      <w:divBdr>
        <w:top w:val="none" w:sz="0" w:space="0" w:color="auto"/>
        <w:left w:val="none" w:sz="0" w:space="0" w:color="auto"/>
        <w:bottom w:val="none" w:sz="0" w:space="0" w:color="auto"/>
        <w:right w:val="none" w:sz="0" w:space="0" w:color="auto"/>
      </w:divBdr>
    </w:div>
    <w:div w:id="1323704559">
      <w:bodyDiv w:val="1"/>
      <w:marLeft w:val="0"/>
      <w:marRight w:val="0"/>
      <w:marTop w:val="0"/>
      <w:marBottom w:val="0"/>
      <w:divBdr>
        <w:top w:val="none" w:sz="0" w:space="0" w:color="auto"/>
        <w:left w:val="none" w:sz="0" w:space="0" w:color="auto"/>
        <w:bottom w:val="none" w:sz="0" w:space="0" w:color="auto"/>
        <w:right w:val="none" w:sz="0" w:space="0" w:color="auto"/>
      </w:divBdr>
      <w:divsChild>
        <w:div w:id="477920707">
          <w:marLeft w:val="547"/>
          <w:marRight w:val="0"/>
          <w:marTop w:val="115"/>
          <w:marBottom w:val="0"/>
          <w:divBdr>
            <w:top w:val="none" w:sz="0" w:space="0" w:color="auto"/>
            <w:left w:val="none" w:sz="0" w:space="0" w:color="auto"/>
            <w:bottom w:val="none" w:sz="0" w:space="0" w:color="auto"/>
            <w:right w:val="none" w:sz="0" w:space="0" w:color="auto"/>
          </w:divBdr>
        </w:div>
        <w:div w:id="1127773711">
          <w:marLeft w:val="547"/>
          <w:marRight w:val="0"/>
          <w:marTop w:val="115"/>
          <w:marBottom w:val="0"/>
          <w:divBdr>
            <w:top w:val="none" w:sz="0" w:space="0" w:color="auto"/>
            <w:left w:val="none" w:sz="0" w:space="0" w:color="auto"/>
            <w:bottom w:val="none" w:sz="0" w:space="0" w:color="auto"/>
            <w:right w:val="none" w:sz="0" w:space="0" w:color="auto"/>
          </w:divBdr>
        </w:div>
        <w:div w:id="1157765789">
          <w:marLeft w:val="547"/>
          <w:marRight w:val="0"/>
          <w:marTop w:val="115"/>
          <w:marBottom w:val="0"/>
          <w:divBdr>
            <w:top w:val="none" w:sz="0" w:space="0" w:color="auto"/>
            <w:left w:val="none" w:sz="0" w:space="0" w:color="auto"/>
            <w:bottom w:val="none" w:sz="0" w:space="0" w:color="auto"/>
            <w:right w:val="none" w:sz="0" w:space="0" w:color="auto"/>
          </w:divBdr>
        </w:div>
        <w:div w:id="226652005">
          <w:marLeft w:val="547"/>
          <w:marRight w:val="0"/>
          <w:marTop w:val="115"/>
          <w:marBottom w:val="0"/>
          <w:divBdr>
            <w:top w:val="none" w:sz="0" w:space="0" w:color="auto"/>
            <w:left w:val="none" w:sz="0" w:space="0" w:color="auto"/>
            <w:bottom w:val="none" w:sz="0" w:space="0" w:color="auto"/>
            <w:right w:val="none" w:sz="0" w:space="0" w:color="auto"/>
          </w:divBdr>
        </w:div>
        <w:div w:id="840050372">
          <w:marLeft w:val="547"/>
          <w:marRight w:val="0"/>
          <w:marTop w:val="115"/>
          <w:marBottom w:val="0"/>
          <w:divBdr>
            <w:top w:val="none" w:sz="0" w:space="0" w:color="auto"/>
            <w:left w:val="none" w:sz="0" w:space="0" w:color="auto"/>
            <w:bottom w:val="none" w:sz="0" w:space="0" w:color="auto"/>
            <w:right w:val="none" w:sz="0" w:space="0" w:color="auto"/>
          </w:divBdr>
        </w:div>
      </w:divsChild>
    </w:div>
    <w:div w:id="1457718407">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655717712">
      <w:bodyDiv w:val="1"/>
      <w:marLeft w:val="0"/>
      <w:marRight w:val="0"/>
      <w:marTop w:val="0"/>
      <w:marBottom w:val="0"/>
      <w:divBdr>
        <w:top w:val="none" w:sz="0" w:space="0" w:color="auto"/>
        <w:left w:val="none" w:sz="0" w:space="0" w:color="auto"/>
        <w:bottom w:val="none" w:sz="0" w:space="0" w:color="auto"/>
        <w:right w:val="none" w:sz="0" w:space="0" w:color="auto"/>
      </w:divBdr>
      <w:divsChild>
        <w:div w:id="2136944967">
          <w:marLeft w:val="547"/>
          <w:marRight w:val="0"/>
          <w:marTop w:val="96"/>
          <w:marBottom w:val="0"/>
          <w:divBdr>
            <w:top w:val="none" w:sz="0" w:space="0" w:color="auto"/>
            <w:left w:val="none" w:sz="0" w:space="0" w:color="auto"/>
            <w:bottom w:val="none" w:sz="0" w:space="0" w:color="auto"/>
            <w:right w:val="none" w:sz="0" w:space="0" w:color="auto"/>
          </w:divBdr>
        </w:div>
        <w:div w:id="122312417">
          <w:marLeft w:val="547"/>
          <w:marRight w:val="0"/>
          <w:marTop w:val="96"/>
          <w:marBottom w:val="0"/>
          <w:divBdr>
            <w:top w:val="none" w:sz="0" w:space="0" w:color="auto"/>
            <w:left w:val="none" w:sz="0" w:space="0" w:color="auto"/>
            <w:bottom w:val="none" w:sz="0" w:space="0" w:color="auto"/>
            <w:right w:val="none" w:sz="0" w:space="0" w:color="auto"/>
          </w:divBdr>
        </w:div>
        <w:div w:id="253436814">
          <w:marLeft w:val="547"/>
          <w:marRight w:val="0"/>
          <w:marTop w:val="96"/>
          <w:marBottom w:val="0"/>
          <w:divBdr>
            <w:top w:val="none" w:sz="0" w:space="0" w:color="auto"/>
            <w:left w:val="none" w:sz="0" w:space="0" w:color="auto"/>
            <w:bottom w:val="none" w:sz="0" w:space="0" w:color="auto"/>
            <w:right w:val="none" w:sz="0" w:space="0" w:color="auto"/>
          </w:divBdr>
        </w:div>
        <w:div w:id="321156333">
          <w:marLeft w:val="547"/>
          <w:marRight w:val="0"/>
          <w:marTop w:val="96"/>
          <w:marBottom w:val="0"/>
          <w:divBdr>
            <w:top w:val="none" w:sz="0" w:space="0" w:color="auto"/>
            <w:left w:val="none" w:sz="0" w:space="0" w:color="auto"/>
            <w:bottom w:val="none" w:sz="0" w:space="0" w:color="auto"/>
            <w:right w:val="none" w:sz="0" w:space="0" w:color="auto"/>
          </w:divBdr>
        </w:div>
      </w:divsChild>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88424514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fa.harvard.edu/~spaine/am/" TargetMode="External"/><Relationship Id="rId18" Type="http://schemas.openxmlformats.org/officeDocument/2006/relationships/fontTable" Target="fontTable.xml"/><Relationship Id="rId3" Type="http://schemas.openxmlformats.org/officeDocument/2006/relationships/styles" Target="styles.xm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FCB1B-0046-4A68-8864-BF5A2E5F7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1303</Words>
  <Characters>8211</Characters>
  <Application>Microsoft Office Word</Application>
  <DocSecurity>0</DocSecurity>
  <Lines>68</Lines>
  <Paragraphs>18</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IEEE P802.15 IG THz TED</vt:lpstr>
      <vt:lpstr>IEEE P802.15 IG THz TED</vt:lpstr>
      <vt:lpstr>IEEE P802.15 IG THz TED</vt:lpstr>
    </vt:vector>
  </TitlesOfParts>
  <Company>Laboratories</Company>
  <LinksUpToDate>false</LinksUpToDate>
  <CharactersWithSpaces>9496</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Thomas Kürner</cp:lastModifiedBy>
  <cp:revision>5</cp:revision>
  <cp:lastPrinted>2014-11-21T08:42:00Z</cp:lastPrinted>
  <dcterms:created xsi:type="dcterms:W3CDTF">2015-03-07T20:30:00Z</dcterms:created>
  <dcterms:modified xsi:type="dcterms:W3CDTF">2015-03-08T22:06:00Z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