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29" w:rsidRDefault="008A3C21">
      <w:pPr>
        <w:jc w:val="center"/>
        <w:rPr>
          <w:b/>
          <w:sz w:val="28"/>
        </w:rPr>
      </w:pPr>
      <w:r>
        <w:rPr>
          <w:b/>
          <w:sz w:val="28"/>
        </w:rPr>
        <w:t>IEEE P802.15</w:t>
      </w:r>
    </w:p>
    <w:p w:rsidR="006F0A29" w:rsidRDefault="008A3C21">
      <w:pPr>
        <w:jc w:val="center"/>
        <w:rPr>
          <w:b/>
          <w:sz w:val="28"/>
        </w:rPr>
      </w:pPr>
      <w:r>
        <w:rPr>
          <w:b/>
          <w:sz w:val="28"/>
        </w:rPr>
        <w:t>Wireless Personal Area Networks</w:t>
      </w:r>
    </w:p>
    <w:p w:rsidR="006F0A29"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tc>
          <w:tcPr>
            <w:tcW w:w="1260" w:type="dxa"/>
            <w:tcBorders>
              <w:top w:val="single" w:sz="6" w:space="0" w:color="auto"/>
            </w:tcBorders>
          </w:tcPr>
          <w:p w:rsidR="006F0A29" w:rsidRDefault="008A3C21">
            <w:pPr>
              <w:pStyle w:val="covertext"/>
            </w:pPr>
            <w:r>
              <w:t>Project</w:t>
            </w:r>
          </w:p>
        </w:tc>
        <w:tc>
          <w:tcPr>
            <w:tcW w:w="8190" w:type="dxa"/>
            <w:gridSpan w:val="2"/>
            <w:tcBorders>
              <w:top w:val="single" w:sz="6" w:space="0" w:color="auto"/>
            </w:tcBorders>
          </w:tcPr>
          <w:p w:rsidR="006F0A29" w:rsidRDefault="008A3C21">
            <w:pPr>
              <w:pStyle w:val="covertext"/>
            </w:pPr>
            <w:r>
              <w:t>IEEE P802.15 Working Group for Wireless Personal Area Networks (WPANs)</w:t>
            </w:r>
          </w:p>
        </w:tc>
      </w:tr>
      <w:tr w:rsidR="006F0A29">
        <w:tc>
          <w:tcPr>
            <w:tcW w:w="1260" w:type="dxa"/>
            <w:tcBorders>
              <w:top w:val="single" w:sz="6" w:space="0" w:color="auto"/>
            </w:tcBorders>
          </w:tcPr>
          <w:p w:rsidR="006F0A29" w:rsidRDefault="008A3C21">
            <w:pPr>
              <w:pStyle w:val="covertext"/>
            </w:pPr>
            <w:r>
              <w:t>Title</w:t>
            </w:r>
          </w:p>
        </w:tc>
        <w:tc>
          <w:tcPr>
            <w:tcW w:w="8190" w:type="dxa"/>
            <w:gridSpan w:val="2"/>
            <w:tcBorders>
              <w:top w:val="single" w:sz="6" w:space="0" w:color="auto"/>
            </w:tcBorders>
          </w:tcPr>
          <w:p w:rsidR="006F0A29" w:rsidRDefault="008A3C21">
            <w:pPr>
              <w:pStyle w:val="covertext"/>
            </w:pPr>
            <w:r>
              <w:rPr>
                <w:b/>
                <w:sz w:val="28"/>
              </w:rPr>
              <w:fldChar w:fldCharType="begin"/>
            </w:r>
            <w:r>
              <w:rPr>
                <w:b/>
                <w:sz w:val="28"/>
              </w:rPr>
              <w:instrText xml:space="preserve"> TITLE  \* MERGEFORMAT </w:instrText>
            </w:r>
            <w:r>
              <w:rPr>
                <w:b/>
                <w:sz w:val="28"/>
              </w:rPr>
              <w:fldChar w:fldCharType="separate"/>
            </w:r>
            <w:r w:rsidR="00982A06">
              <w:rPr>
                <w:b/>
                <w:sz w:val="28"/>
              </w:rPr>
              <w:t>IG HRRC (High Rate Rail Communications) Call for Participation (CFP)</w:t>
            </w:r>
            <w:r>
              <w:rPr>
                <w:b/>
                <w:sz w:val="28"/>
              </w:rPr>
              <w:fldChar w:fldCharType="end"/>
            </w:r>
          </w:p>
        </w:tc>
      </w:tr>
      <w:tr w:rsidR="006F0A29">
        <w:tc>
          <w:tcPr>
            <w:tcW w:w="1260" w:type="dxa"/>
            <w:tcBorders>
              <w:top w:val="single" w:sz="6" w:space="0" w:color="auto"/>
            </w:tcBorders>
          </w:tcPr>
          <w:p w:rsidR="006F0A29" w:rsidRDefault="008A3C21">
            <w:pPr>
              <w:pStyle w:val="covertext"/>
            </w:pPr>
            <w:r>
              <w:t>Date Submitted</w:t>
            </w:r>
          </w:p>
        </w:tc>
        <w:tc>
          <w:tcPr>
            <w:tcW w:w="8190" w:type="dxa"/>
            <w:gridSpan w:val="2"/>
            <w:tcBorders>
              <w:top w:val="single" w:sz="6" w:space="0" w:color="auto"/>
            </w:tcBorders>
          </w:tcPr>
          <w:p w:rsidR="006F0A29" w:rsidRDefault="001131A3" w:rsidP="001131A3">
            <w:pPr>
              <w:pStyle w:val="covertext"/>
            </w:pPr>
            <w:r>
              <w:rPr>
                <w:rFonts w:hint="eastAsia"/>
              </w:rPr>
              <w:t>10 March, 2015</w:t>
            </w:r>
          </w:p>
        </w:tc>
      </w:tr>
      <w:tr w:rsidR="006F0A29">
        <w:tc>
          <w:tcPr>
            <w:tcW w:w="1260" w:type="dxa"/>
            <w:tcBorders>
              <w:top w:val="single" w:sz="4" w:space="0" w:color="auto"/>
              <w:bottom w:val="single" w:sz="4" w:space="0" w:color="auto"/>
            </w:tcBorders>
          </w:tcPr>
          <w:p w:rsidR="006F0A29" w:rsidRDefault="008A3C21">
            <w:pPr>
              <w:pStyle w:val="covertext"/>
            </w:pPr>
            <w:r>
              <w:t>Source</w:t>
            </w:r>
          </w:p>
        </w:tc>
        <w:tc>
          <w:tcPr>
            <w:tcW w:w="4050" w:type="dxa"/>
            <w:tcBorders>
              <w:top w:val="single" w:sz="4" w:space="0" w:color="auto"/>
              <w:bottom w:val="single" w:sz="4" w:space="0" w:color="auto"/>
            </w:tcBorders>
          </w:tcPr>
          <w:p w:rsidR="006F0A29" w:rsidRDefault="008A3C21" w:rsidP="00B63340">
            <w:pPr>
              <w:pStyle w:val="covertext"/>
              <w:spacing w:before="0" w:after="0"/>
            </w:pPr>
            <w:r>
              <w:t>[</w:t>
            </w:r>
            <w:fldSimple w:instr=" AUTHOR  \* MERGEFORMAT ">
              <w:r w:rsidR="00982A06">
                <w:rPr>
                  <w:noProof/>
                </w:rPr>
                <w:t>Bing Hui; Junhyeong Kim</w:t>
              </w:r>
            </w:fldSimple>
            <w:r>
              <w:t>]</w:t>
            </w:r>
            <w:r>
              <w:br/>
              <w:t>[</w:t>
            </w:r>
            <w:fldSimple w:instr=" DOCPROPERTY &quot;Company&quot;  \* MERGEFORMAT ">
              <w:r w:rsidR="00982A06">
                <w:t>ETRI</w:t>
              </w:r>
            </w:fldSimple>
            <w:r>
              <w:t>]</w:t>
            </w:r>
            <w:r>
              <w:br/>
              <w:t>[</w:t>
            </w:r>
            <w:r w:rsidR="00474713" w:rsidRPr="00474713">
              <w:t xml:space="preserve">218 </w:t>
            </w:r>
            <w:proofErr w:type="spellStart"/>
            <w:r w:rsidR="00474713" w:rsidRPr="00474713">
              <w:t>Gajeong-ro</w:t>
            </w:r>
            <w:proofErr w:type="spellEnd"/>
            <w:r w:rsidR="00474713" w:rsidRPr="00474713">
              <w:t xml:space="preserve">, </w:t>
            </w:r>
            <w:proofErr w:type="spellStart"/>
            <w:r w:rsidR="00474713" w:rsidRPr="00474713">
              <w:t>Yuseong-gu</w:t>
            </w:r>
            <w:proofErr w:type="spellEnd"/>
            <w:r w:rsidR="00474713" w:rsidRPr="00474713">
              <w:t>, Daejeon, 305-700, KOREA</w:t>
            </w:r>
            <w:r w:rsidR="009C01DA">
              <w:fldChar w:fldCharType="begin"/>
            </w:r>
            <w:r w:rsidR="009C01DA">
              <w:instrText xml:space="preserve"> USERADDRESS   \* MERGEFORMAT </w:instrText>
            </w:r>
            <w:r w:rsidR="009C01DA">
              <w:fldChar w:fldCharType="end"/>
            </w:r>
            <w:r w:rsidR="009C01DA">
              <w:fldChar w:fldCharType="begin"/>
            </w:r>
            <w:r w:rsidR="009C01DA">
              <w:instrText xml:space="preserve"> USERADDRESS   \* MERGEFORMAT </w:instrText>
            </w:r>
            <w:r w:rsidR="009C01DA">
              <w:fldChar w:fldCharType="end"/>
            </w:r>
            <w:r w:rsidR="009C01DA">
              <w:fldChar w:fldCharType="begin"/>
            </w:r>
            <w:r w:rsidR="009C01DA">
              <w:instrText xml:space="preserve"> USERADDRESS   \* MERGEFORMAT </w:instrText>
            </w:r>
            <w:r w:rsidR="009C01DA">
              <w:fldChar w:fldCharType="end"/>
            </w:r>
            <w:r>
              <w:t>]</w:t>
            </w:r>
          </w:p>
        </w:tc>
        <w:tc>
          <w:tcPr>
            <w:tcW w:w="4140" w:type="dxa"/>
            <w:tcBorders>
              <w:top w:val="single" w:sz="4" w:space="0" w:color="auto"/>
              <w:bottom w:val="single" w:sz="4" w:space="0" w:color="auto"/>
            </w:tcBorders>
          </w:tcPr>
          <w:p w:rsidR="006F0A29" w:rsidRDefault="008A3C21" w:rsidP="007154CD">
            <w:pPr>
              <w:pStyle w:val="covertext"/>
              <w:tabs>
                <w:tab w:val="left" w:pos="1152"/>
              </w:tabs>
              <w:spacing w:before="0" w:after="0"/>
              <w:rPr>
                <w:sz w:val="18"/>
              </w:rPr>
            </w:pPr>
            <w:r>
              <w:t>Voice:</w:t>
            </w:r>
            <w:r>
              <w:tab/>
              <w:t>[</w:t>
            </w:r>
            <w:r w:rsidR="00F94888" w:rsidRPr="00F94888">
              <w:t>+82-42-860-5324</w:t>
            </w:r>
            <w:r>
              <w:t>]</w:t>
            </w:r>
            <w:r>
              <w:br/>
              <w:t>Fax:</w:t>
            </w:r>
            <w:r>
              <w:tab/>
              <w:t>[</w:t>
            </w:r>
            <w:r w:rsidR="00F94888" w:rsidRPr="00F94888">
              <w:t>+82-42-860-</w:t>
            </w:r>
            <w:r w:rsidR="007154CD">
              <w:rPr>
                <w:rFonts w:hint="eastAsia"/>
              </w:rPr>
              <w:t>6732</w:t>
            </w:r>
            <w:r>
              <w:t>]</w:t>
            </w:r>
            <w:r>
              <w:br/>
              <w:t>E-mail:</w:t>
            </w:r>
            <w:r>
              <w:tab/>
              <w:t>[</w:t>
            </w:r>
            <w:r w:rsidR="00F94888">
              <w:rPr>
                <w:rFonts w:hint="eastAsia"/>
              </w:rPr>
              <w:t>huibing@etri.re.kr</w:t>
            </w:r>
            <w:r>
              <w:t>]</w:t>
            </w:r>
          </w:p>
        </w:tc>
      </w:tr>
      <w:tr w:rsidR="006F0A29">
        <w:tc>
          <w:tcPr>
            <w:tcW w:w="1260" w:type="dxa"/>
            <w:tcBorders>
              <w:top w:val="single" w:sz="6" w:space="0" w:color="auto"/>
            </w:tcBorders>
          </w:tcPr>
          <w:p w:rsidR="006F0A29" w:rsidRDefault="008A3C21">
            <w:pPr>
              <w:pStyle w:val="covertext"/>
            </w:pPr>
            <w:r>
              <w:t>Re:</w:t>
            </w:r>
          </w:p>
        </w:tc>
        <w:tc>
          <w:tcPr>
            <w:tcW w:w="8190" w:type="dxa"/>
            <w:gridSpan w:val="2"/>
            <w:tcBorders>
              <w:top w:val="single" w:sz="6" w:space="0" w:color="auto"/>
            </w:tcBorders>
          </w:tcPr>
          <w:p w:rsidR="006F0A29" w:rsidRPr="009D69C5" w:rsidRDefault="008A3C21" w:rsidP="00D97869">
            <w:pPr>
              <w:pStyle w:val="covertext"/>
            </w:pPr>
            <w:r>
              <w:t>[</w:t>
            </w:r>
            <w:r w:rsidR="009D69C5" w:rsidRPr="009D69C5">
              <w:t xml:space="preserve">IEEE </w:t>
            </w:r>
            <w:r w:rsidR="0065279B">
              <w:rPr>
                <w:rFonts w:hint="eastAsia"/>
              </w:rPr>
              <w:t>P</w:t>
            </w:r>
            <w:r w:rsidR="009D69C5" w:rsidRPr="009D69C5">
              <w:t xml:space="preserve">802.15 IG HRRC is chaptered for driving on the standardization activities of </w:t>
            </w:r>
            <w:r w:rsidR="009D69C5" w:rsidRPr="00F7614A">
              <w:rPr>
                <w:color w:val="000000" w:themeColor="text1"/>
              </w:rPr>
              <w:t>high</w:t>
            </w:r>
            <w:r w:rsidR="00D97869" w:rsidRPr="00F7614A">
              <w:rPr>
                <w:rFonts w:hint="eastAsia"/>
                <w:color w:val="000000" w:themeColor="text1"/>
              </w:rPr>
              <w:t>-</w:t>
            </w:r>
            <w:r w:rsidR="009D69C5" w:rsidRPr="00F7614A">
              <w:rPr>
                <w:color w:val="000000" w:themeColor="text1"/>
              </w:rPr>
              <w:t>rate mobile hotspot communications</w:t>
            </w:r>
            <w:r w:rsidR="009D69C5" w:rsidRPr="009D69C5">
              <w:t>.</w:t>
            </w:r>
            <w:r>
              <w:t>]</w:t>
            </w:r>
            <w:bookmarkStart w:id="0" w:name="_GoBack"/>
            <w:bookmarkEnd w:id="0"/>
          </w:p>
        </w:tc>
      </w:tr>
      <w:tr w:rsidR="006F0A29">
        <w:tc>
          <w:tcPr>
            <w:tcW w:w="1260" w:type="dxa"/>
            <w:tcBorders>
              <w:top w:val="single" w:sz="6" w:space="0" w:color="auto"/>
            </w:tcBorders>
          </w:tcPr>
          <w:p w:rsidR="006F0A29" w:rsidRDefault="008A3C21">
            <w:pPr>
              <w:pStyle w:val="covertext"/>
            </w:pPr>
            <w:r>
              <w:t>Abstract</w:t>
            </w:r>
          </w:p>
        </w:tc>
        <w:tc>
          <w:tcPr>
            <w:tcW w:w="8190" w:type="dxa"/>
            <w:gridSpan w:val="2"/>
            <w:tcBorders>
              <w:top w:val="single" w:sz="6" w:space="0" w:color="auto"/>
            </w:tcBorders>
          </w:tcPr>
          <w:p w:rsidR="006F0A29" w:rsidRDefault="008A3C21" w:rsidP="00575B07">
            <w:pPr>
              <w:pStyle w:val="covertext"/>
            </w:pPr>
            <w:r>
              <w:t>[</w:t>
            </w:r>
            <w:r w:rsidR="00575B07" w:rsidRPr="00575B07">
              <w:t xml:space="preserve">This is a Call for Participation for IEEE </w:t>
            </w:r>
            <w:r w:rsidR="0065279B">
              <w:rPr>
                <w:rFonts w:hint="eastAsia"/>
              </w:rPr>
              <w:t>P</w:t>
            </w:r>
            <w:r w:rsidR="00575B07" w:rsidRPr="00575B07">
              <w:t>802.15 IG HRRC.</w:t>
            </w:r>
            <w:r>
              <w:t>]</w:t>
            </w:r>
          </w:p>
        </w:tc>
      </w:tr>
      <w:tr w:rsidR="006F0A29">
        <w:tc>
          <w:tcPr>
            <w:tcW w:w="1260" w:type="dxa"/>
            <w:tcBorders>
              <w:top w:val="single" w:sz="6" w:space="0" w:color="auto"/>
            </w:tcBorders>
          </w:tcPr>
          <w:p w:rsidR="006F0A29" w:rsidRDefault="008A3C21">
            <w:pPr>
              <w:pStyle w:val="covertext"/>
            </w:pPr>
            <w:r>
              <w:t>Purpose</w:t>
            </w:r>
          </w:p>
        </w:tc>
        <w:tc>
          <w:tcPr>
            <w:tcW w:w="8190" w:type="dxa"/>
            <w:gridSpan w:val="2"/>
            <w:tcBorders>
              <w:top w:val="single" w:sz="6" w:space="0" w:color="auto"/>
            </w:tcBorders>
          </w:tcPr>
          <w:p w:rsidR="006F0A29" w:rsidRDefault="008A3C21">
            <w:pPr>
              <w:pStyle w:val="covertext"/>
            </w:pPr>
            <w:r>
              <w:t>[</w:t>
            </w:r>
            <w:r w:rsidR="00575B07" w:rsidRPr="00575B07">
              <w:t xml:space="preserve">Request for participation to IEEE </w:t>
            </w:r>
            <w:r w:rsidR="0065279B">
              <w:rPr>
                <w:rFonts w:hint="eastAsia"/>
              </w:rPr>
              <w:t>P</w:t>
            </w:r>
            <w:r w:rsidR="00575B07" w:rsidRPr="00575B07">
              <w:t>802.15 IG HRRC.</w:t>
            </w:r>
            <w:r>
              <w:t>]</w:t>
            </w:r>
          </w:p>
        </w:tc>
      </w:tr>
      <w:tr w:rsidR="006F0A29">
        <w:tc>
          <w:tcPr>
            <w:tcW w:w="1260" w:type="dxa"/>
            <w:tcBorders>
              <w:top w:val="single" w:sz="6" w:space="0" w:color="auto"/>
              <w:bottom w:val="single" w:sz="6" w:space="0" w:color="auto"/>
            </w:tcBorders>
          </w:tcPr>
          <w:p w:rsidR="006F0A29" w:rsidRDefault="008A3C21">
            <w:pPr>
              <w:pStyle w:val="covertext"/>
            </w:pPr>
            <w:r>
              <w:t>Notice</w:t>
            </w:r>
          </w:p>
        </w:tc>
        <w:tc>
          <w:tcPr>
            <w:tcW w:w="8190" w:type="dxa"/>
            <w:gridSpan w:val="2"/>
            <w:tcBorders>
              <w:top w:val="single" w:sz="6" w:space="0" w:color="auto"/>
              <w:bottom w:val="single" w:sz="6" w:space="0" w:color="auto"/>
            </w:tcBorders>
          </w:tcPr>
          <w:p w:rsidR="006F0A29" w:rsidRDefault="008A3C2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tc>
          <w:tcPr>
            <w:tcW w:w="1260" w:type="dxa"/>
            <w:tcBorders>
              <w:top w:val="single" w:sz="6" w:space="0" w:color="auto"/>
              <w:bottom w:val="single" w:sz="6" w:space="0" w:color="auto"/>
            </w:tcBorders>
          </w:tcPr>
          <w:p w:rsidR="006F0A29" w:rsidRDefault="008A3C21">
            <w:pPr>
              <w:pStyle w:val="covertext"/>
            </w:pPr>
            <w:r>
              <w:t>Release</w:t>
            </w:r>
          </w:p>
        </w:tc>
        <w:tc>
          <w:tcPr>
            <w:tcW w:w="8190" w:type="dxa"/>
            <w:gridSpan w:val="2"/>
            <w:tcBorders>
              <w:top w:val="single" w:sz="6" w:space="0" w:color="auto"/>
              <w:bottom w:val="single" w:sz="6" w:space="0" w:color="auto"/>
            </w:tcBorders>
          </w:tcPr>
          <w:p w:rsidR="006F0A29" w:rsidRDefault="008A3C21">
            <w:pPr>
              <w:pStyle w:val="covertext"/>
            </w:pPr>
            <w:r>
              <w:t>The contributor acknowledges and accepts that this contribution becomes the property of IEEE and may be made publicly available by P802.15.</w:t>
            </w:r>
          </w:p>
        </w:tc>
      </w:tr>
    </w:tbl>
    <w:p w:rsidR="003E354D" w:rsidRPr="003E354D" w:rsidRDefault="008A3C21" w:rsidP="00CD35DA">
      <w:pPr>
        <w:pStyle w:val="10"/>
        <w:tabs>
          <w:tab w:val="left" w:pos="800"/>
        </w:tabs>
        <w:jc w:val="center"/>
        <w:rPr>
          <w:rFonts w:ascii="Times New Roman" w:eastAsia="굴림" w:hAnsi="Times New Roman"/>
          <w:bCs/>
          <w:kern w:val="32"/>
          <w:sz w:val="32"/>
          <w:szCs w:val="32"/>
          <w:u w:val="none"/>
        </w:rPr>
      </w:pPr>
      <w:r>
        <w:br w:type="page"/>
      </w:r>
      <w:r w:rsidR="003E354D" w:rsidRPr="003E354D">
        <w:rPr>
          <w:rFonts w:ascii="Times New Roman" w:eastAsia="굴림" w:hAnsi="Times New Roman" w:hint="eastAsia"/>
          <w:bCs/>
          <w:kern w:val="32"/>
          <w:sz w:val="32"/>
          <w:szCs w:val="32"/>
          <w:u w:val="none"/>
        </w:rPr>
        <w:lastRenderedPageBreak/>
        <w:t>IG HRRC</w:t>
      </w:r>
      <w:r w:rsidR="003E354D" w:rsidRPr="003E354D">
        <w:rPr>
          <w:rFonts w:ascii="Times New Roman" w:eastAsia="굴림" w:hAnsi="Times New Roman"/>
          <w:bCs/>
          <w:kern w:val="32"/>
          <w:sz w:val="32"/>
          <w:szCs w:val="32"/>
          <w:u w:val="none"/>
          <w:lang w:eastAsia="en-US"/>
        </w:rPr>
        <w:t xml:space="preserve"> Call for </w:t>
      </w:r>
      <w:r w:rsidR="003E354D" w:rsidRPr="003E354D">
        <w:rPr>
          <w:rFonts w:ascii="Times New Roman" w:eastAsia="굴림" w:hAnsi="Times New Roman" w:hint="eastAsia"/>
          <w:bCs/>
          <w:kern w:val="32"/>
          <w:sz w:val="32"/>
          <w:szCs w:val="32"/>
          <w:u w:val="none"/>
        </w:rPr>
        <w:t>Participation</w:t>
      </w:r>
    </w:p>
    <w:p w:rsidR="003E354D" w:rsidRPr="003E354D" w:rsidRDefault="003E354D" w:rsidP="003E354D">
      <w:pPr>
        <w:jc w:val="both"/>
        <w:rPr>
          <w:rFonts w:eastAsia="Calibri"/>
          <w:szCs w:val="24"/>
          <w:lang w:eastAsia="en-US"/>
        </w:rPr>
      </w:pPr>
    </w:p>
    <w:p w:rsidR="003E354D" w:rsidRPr="003E354D" w:rsidRDefault="003E354D" w:rsidP="003E354D">
      <w:pPr>
        <w:jc w:val="both"/>
        <w:rPr>
          <w:szCs w:val="24"/>
        </w:rPr>
      </w:pPr>
      <w:r w:rsidRPr="003E354D">
        <w:rPr>
          <w:rFonts w:eastAsia="MS Mincho"/>
          <w:szCs w:val="24"/>
          <w:lang w:eastAsia="en-US"/>
        </w:rPr>
        <w:t xml:space="preserve">The IEEE </w:t>
      </w:r>
      <w:r w:rsidRPr="003E354D">
        <w:rPr>
          <w:rFonts w:hint="eastAsia"/>
          <w:szCs w:val="24"/>
        </w:rPr>
        <w:t>P</w:t>
      </w:r>
      <w:r w:rsidRPr="003E354D">
        <w:rPr>
          <w:rFonts w:eastAsia="MS Mincho"/>
          <w:szCs w:val="24"/>
          <w:lang w:eastAsia="en-US"/>
        </w:rPr>
        <w:t xml:space="preserve">802.15 </w:t>
      </w:r>
      <w:r w:rsidRPr="003E354D">
        <w:rPr>
          <w:rFonts w:hint="eastAsia"/>
          <w:szCs w:val="24"/>
        </w:rPr>
        <w:t>Interest Group</w:t>
      </w:r>
      <w:r w:rsidRPr="003E354D">
        <w:rPr>
          <w:rFonts w:eastAsia="MS Mincho"/>
          <w:szCs w:val="24"/>
          <w:lang w:eastAsia="en-US"/>
        </w:rPr>
        <w:t xml:space="preserve"> “</w:t>
      </w:r>
      <w:r w:rsidRPr="003E354D">
        <w:rPr>
          <w:rFonts w:hint="eastAsia"/>
          <w:szCs w:val="24"/>
        </w:rPr>
        <w:t xml:space="preserve">High Rate Rail </w:t>
      </w:r>
      <w:r w:rsidRPr="003E354D">
        <w:rPr>
          <w:szCs w:val="24"/>
        </w:rPr>
        <w:t>Communications</w:t>
      </w:r>
      <w:r w:rsidRPr="003E354D">
        <w:rPr>
          <w:rFonts w:eastAsia="MS Mincho"/>
          <w:szCs w:val="24"/>
          <w:lang w:eastAsia="en-US"/>
        </w:rPr>
        <w:t xml:space="preserve">” is issuing a Call for </w:t>
      </w:r>
      <w:r w:rsidRPr="003E354D">
        <w:rPr>
          <w:rFonts w:hint="eastAsia"/>
          <w:szCs w:val="24"/>
        </w:rPr>
        <w:t xml:space="preserve">Participation to invite your participation to the IG HRRC meeting. </w:t>
      </w:r>
      <w:r w:rsidRPr="003E354D">
        <w:rPr>
          <w:rFonts w:eastAsia="MS Mincho"/>
          <w:szCs w:val="24"/>
          <w:lang w:eastAsia="en-US"/>
        </w:rPr>
        <w:t>IEEE P802.15</w:t>
      </w:r>
      <w:r w:rsidRPr="003E354D">
        <w:rPr>
          <w:rFonts w:hint="eastAsia"/>
          <w:szCs w:val="24"/>
        </w:rPr>
        <w:t xml:space="preserve"> IG HRRC</w:t>
      </w:r>
      <w:r w:rsidRPr="003E354D">
        <w:rPr>
          <w:rFonts w:eastAsia="MS Mincho"/>
          <w:szCs w:val="24"/>
          <w:lang w:eastAsia="en-US"/>
        </w:rPr>
        <w:t xml:space="preserve"> is chartered to study</w:t>
      </w:r>
      <w:r w:rsidRPr="003E354D">
        <w:rPr>
          <w:rFonts w:hint="eastAsia"/>
          <w:szCs w:val="24"/>
        </w:rPr>
        <w:t xml:space="preserve"> the high-mobility</w:t>
      </w:r>
      <w:r w:rsidRPr="003E354D">
        <w:rPr>
          <w:rFonts w:eastAsia="MS Mincho"/>
          <w:szCs w:val="24"/>
          <w:lang w:eastAsia="en-US"/>
        </w:rPr>
        <w:t xml:space="preserve"> </w:t>
      </w:r>
      <w:r w:rsidRPr="003E354D">
        <w:rPr>
          <w:rFonts w:hint="eastAsia"/>
          <w:szCs w:val="24"/>
        </w:rPr>
        <w:t>wideband hotspot communications</w:t>
      </w:r>
      <w:r w:rsidRPr="003E354D">
        <w:rPr>
          <w:rFonts w:eastAsia="MS Mincho"/>
          <w:szCs w:val="24"/>
          <w:lang w:eastAsia="en-US"/>
        </w:rPr>
        <w:t xml:space="preserve"> with interest in transitioning to a Study Group in anticipation of creating a Project Authorization Request (PAR) and Five Criteria (5C). Your </w:t>
      </w:r>
      <w:r w:rsidRPr="003E354D">
        <w:rPr>
          <w:rFonts w:hint="eastAsia"/>
          <w:szCs w:val="24"/>
        </w:rPr>
        <w:t>participation</w:t>
      </w:r>
      <w:r w:rsidRPr="003E354D">
        <w:rPr>
          <w:rFonts w:eastAsia="MS Mincho"/>
          <w:szCs w:val="24"/>
          <w:lang w:eastAsia="en-US"/>
        </w:rPr>
        <w:t xml:space="preserve"> will help</w:t>
      </w:r>
      <w:r w:rsidRPr="003E354D">
        <w:rPr>
          <w:rFonts w:eastAsia="MS Mincho"/>
          <w:color w:val="000000"/>
          <w:szCs w:val="24"/>
          <w:lang w:eastAsia="en-US"/>
        </w:rPr>
        <w:t xml:space="preserve"> the Interest Group better gauge the level of interest</w:t>
      </w:r>
      <w:r w:rsidRPr="003E354D">
        <w:rPr>
          <w:rFonts w:hint="eastAsia"/>
          <w:color w:val="000000"/>
          <w:szCs w:val="24"/>
        </w:rPr>
        <w:t xml:space="preserve"> </w:t>
      </w:r>
      <w:r w:rsidRPr="003E354D">
        <w:rPr>
          <w:rFonts w:eastAsia="MS Mincho"/>
          <w:szCs w:val="24"/>
          <w:lang w:eastAsia="en-US"/>
        </w:rPr>
        <w:t xml:space="preserve">for </w:t>
      </w:r>
      <w:r w:rsidRPr="003E354D">
        <w:rPr>
          <w:rFonts w:hint="eastAsia"/>
          <w:szCs w:val="24"/>
        </w:rPr>
        <w:t xml:space="preserve">driving on the standardization activities of high-rate mobile hotspot </w:t>
      </w:r>
      <w:r w:rsidRPr="003E354D">
        <w:rPr>
          <w:szCs w:val="24"/>
        </w:rPr>
        <w:t>communications</w:t>
      </w:r>
      <w:r w:rsidRPr="003E354D">
        <w:rPr>
          <w:rFonts w:eastAsia="MS Mincho"/>
          <w:szCs w:val="24"/>
          <w:lang w:eastAsia="en-US"/>
        </w:rPr>
        <w:t>.</w:t>
      </w:r>
    </w:p>
    <w:p w:rsidR="003E354D" w:rsidRPr="00D151CB" w:rsidRDefault="003E354D" w:rsidP="003E354D">
      <w:pPr>
        <w:jc w:val="both"/>
        <w:rPr>
          <w:szCs w:val="24"/>
          <w:lang w:val="x-none"/>
        </w:rPr>
      </w:pPr>
    </w:p>
    <w:p w:rsidR="00D151CB" w:rsidRPr="001146B2" w:rsidRDefault="00D151CB" w:rsidP="00D151CB">
      <w:pPr>
        <w:pStyle w:val="1"/>
        <w:numPr>
          <w:ilvl w:val="0"/>
          <w:numId w:val="5"/>
        </w:numPr>
      </w:pPr>
      <w:r w:rsidRPr="001146B2">
        <w:rPr>
          <w:rFonts w:hint="eastAsia"/>
        </w:rPr>
        <w:t>BACKGROUND</w:t>
      </w:r>
    </w:p>
    <w:p w:rsidR="00D151CB" w:rsidRPr="00D151CB" w:rsidRDefault="00D151CB" w:rsidP="003E354D">
      <w:pPr>
        <w:jc w:val="both"/>
        <w:rPr>
          <w:szCs w:val="24"/>
          <w:lang w:val="x-none"/>
        </w:rPr>
      </w:pPr>
    </w:p>
    <w:p w:rsidR="003E354D" w:rsidRPr="003E354D" w:rsidRDefault="008435D7" w:rsidP="00F85EBE">
      <w:pPr>
        <w:jc w:val="both"/>
        <w:rPr>
          <w:rFonts w:ascii="Calibri" w:hAnsi="Calibri"/>
          <w:color w:val="1F497D"/>
          <w:sz w:val="20"/>
          <w:szCs w:val="22"/>
        </w:rPr>
      </w:pPr>
      <w:r>
        <w:rPr>
          <w:rFonts w:hint="eastAsia"/>
          <w:szCs w:val="24"/>
        </w:rPr>
        <w:t>Due to</w:t>
      </w:r>
      <w:r w:rsidR="001A2974">
        <w:rPr>
          <w:rFonts w:hint="eastAsia"/>
          <w:szCs w:val="24"/>
        </w:rPr>
        <w:t xml:space="preserve"> t</w:t>
      </w:r>
      <w:r w:rsidR="009865C7" w:rsidRPr="009865C7">
        <w:rPr>
          <w:szCs w:val="24"/>
        </w:rPr>
        <w:t xml:space="preserve">he proliferation of smart devices (e.g. smartphones, tablets, televisions, etc.) </w:t>
      </w:r>
      <w:r>
        <w:rPr>
          <w:rFonts w:hint="eastAsia"/>
          <w:szCs w:val="24"/>
        </w:rPr>
        <w:t>and</w:t>
      </w:r>
      <w:r w:rsidR="009865C7" w:rsidRPr="009865C7">
        <w:rPr>
          <w:szCs w:val="24"/>
        </w:rPr>
        <w:t xml:space="preserve"> a wide range of applications</w:t>
      </w:r>
      <w:r w:rsidR="00D21A20">
        <w:rPr>
          <w:rFonts w:hint="eastAsia"/>
          <w:szCs w:val="24"/>
        </w:rPr>
        <w:t xml:space="preserve"> </w:t>
      </w:r>
      <w:r w:rsidR="009865C7" w:rsidRPr="009865C7">
        <w:rPr>
          <w:szCs w:val="24"/>
        </w:rPr>
        <w:t>requiring a large amount of data traffic</w:t>
      </w:r>
      <w:r w:rsidR="00677E29">
        <w:rPr>
          <w:rFonts w:hint="eastAsia"/>
          <w:szCs w:val="24"/>
        </w:rPr>
        <w:t xml:space="preserve"> anytime, anywhere</w:t>
      </w:r>
      <w:r w:rsidR="00F37C41">
        <w:rPr>
          <w:rFonts w:hint="eastAsia"/>
          <w:szCs w:val="24"/>
        </w:rPr>
        <w:t>,</w:t>
      </w:r>
      <w:r w:rsidR="001A2974">
        <w:rPr>
          <w:rFonts w:hint="eastAsia"/>
          <w:szCs w:val="24"/>
        </w:rPr>
        <w:t xml:space="preserve"> </w:t>
      </w:r>
      <w:r w:rsidR="006C61A1">
        <w:rPr>
          <w:rFonts w:hint="eastAsia"/>
          <w:szCs w:val="24"/>
        </w:rPr>
        <w:t>providing</w:t>
      </w:r>
      <w:r w:rsidR="006350F1" w:rsidRPr="00F85EBE">
        <w:rPr>
          <w:szCs w:val="24"/>
        </w:rPr>
        <w:t xml:space="preserve"> high quality </w:t>
      </w:r>
      <w:r w:rsidR="006C61A1">
        <w:rPr>
          <w:rFonts w:hint="eastAsia"/>
          <w:szCs w:val="24"/>
        </w:rPr>
        <w:t xml:space="preserve">service </w:t>
      </w:r>
      <w:r w:rsidR="006350F1" w:rsidRPr="00F85EBE">
        <w:rPr>
          <w:szCs w:val="24"/>
        </w:rPr>
        <w:t>at high speed</w:t>
      </w:r>
      <w:r w:rsidR="006350F1">
        <w:rPr>
          <w:rFonts w:hint="eastAsia"/>
          <w:szCs w:val="24"/>
        </w:rPr>
        <w:t xml:space="preserve"> e</w:t>
      </w:r>
      <w:r w:rsidR="001A2974">
        <w:rPr>
          <w:rFonts w:hint="eastAsia"/>
          <w:szCs w:val="24"/>
        </w:rPr>
        <w:t>merg</w:t>
      </w:r>
      <w:r w:rsidR="006350F1">
        <w:rPr>
          <w:rFonts w:hint="eastAsia"/>
          <w:szCs w:val="24"/>
        </w:rPr>
        <w:t>es as</w:t>
      </w:r>
      <w:r w:rsidR="00F02955">
        <w:rPr>
          <w:rFonts w:hint="eastAsia"/>
          <w:szCs w:val="24"/>
        </w:rPr>
        <w:t xml:space="preserve"> one of </w:t>
      </w:r>
      <w:r w:rsidR="001A2974">
        <w:rPr>
          <w:rFonts w:hint="eastAsia"/>
          <w:szCs w:val="24"/>
        </w:rPr>
        <w:t xml:space="preserve">new </w:t>
      </w:r>
      <w:r w:rsidR="00F02955">
        <w:rPr>
          <w:rFonts w:hint="eastAsia"/>
          <w:szCs w:val="24"/>
        </w:rPr>
        <w:t>potential use cases</w:t>
      </w:r>
      <w:r w:rsidR="00B246DC">
        <w:rPr>
          <w:rFonts w:hint="eastAsia"/>
          <w:szCs w:val="24"/>
        </w:rPr>
        <w:t xml:space="preserve"> for the future IMT system</w:t>
      </w:r>
      <w:r w:rsidR="00D96BCC">
        <w:rPr>
          <w:rFonts w:hint="eastAsia"/>
          <w:szCs w:val="24"/>
        </w:rPr>
        <w:t xml:space="preserve"> </w:t>
      </w:r>
      <w:r w:rsidR="00D96BCC">
        <w:rPr>
          <w:szCs w:val="24"/>
        </w:rPr>
        <w:fldChar w:fldCharType="begin"/>
      </w:r>
      <w:r w:rsidR="00D96BCC">
        <w:rPr>
          <w:szCs w:val="24"/>
        </w:rPr>
        <w:instrText xml:space="preserve"> </w:instrText>
      </w:r>
      <w:r w:rsidR="00D96BCC">
        <w:rPr>
          <w:rFonts w:hint="eastAsia"/>
          <w:szCs w:val="24"/>
        </w:rPr>
        <w:instrText>REF _Ref410647970 \n \h</w:instrText>
      </w:r>
      <w:r w:rsidR="00D96BCC">
        <w:rPr>
          <w:szCs w:val="24"/>
        </w:rPr>
        <w:instrText xml:space="preserve"> </w:instrText>
      </w:r>
      <w:r w:rsidR="00D96BCC">
        <w:rPr>
          <w:szCs w:val="24"/>
        </w:rPr>
      </w:r>
      <w:r w:rsidR="00D96BCC">
        <w:rPr>
          <w:szCs w:val="24"/>
        </w:rPr>
        <w:fldChar w:fldCharType="separate"/>
      </w:r>
      <w:r w:rsidR="00982A06">
        <w:rPr>
          <w:szCs w:val="24"/>
        </w:rPr>
        <w:t>[1]</w:t>
      </w:r>
      <w:r w:rsidR="00D96BCC">
        <w:rPr>
          <w:szCs w:val="24"/>
        </w:rPr>
        <w:fldChar w:fldCharType="end"/>
      </w:r>
      <w:r w:rsidR="00F02955">
        <w:rPr>
          <w:rFonts w:hint="eastAsia"/>
          <w:szCs w:val="24"/>
        </w:rPr>
        <w:t xml:space="preserve">. </w:t>
      </w:r>
      <w:r w:rsidR="00C34A27" w:rsidRPr="003E354D">
        <w:rPr>
          <w:rFonts w:hint="eastAsia"/>
          <w:szCs w:val="24"/>
        </w:rPr>
        <w:t>Higher and higher data rate has been requested by the mobile subscribers recently</w:t>
      </w:r>
      <w:r w:rsidR="00C34A27" w:rsidRPr="003E354D">
        <w:rPr>
          <w:rFonts w:eastAsia="MS Mincho"/>
          <w:szCs w:val="24"/>
          <w:lang w:eastAsia="en-US"/>
        </w:rPr>
        <w:t>.</w:t>
      </w:r>
      <w:r w:rsidR="00C34A27" w:rsidRPr="003E354D">
        <w:rPr>
          <w:rFonts w:hint="eastAsia"/>
          <w:szCs w:val="24"/>
        </w:rPr>
        <w:t xml:space="preserve"> </w:t>
      </w:r>
      <w:r w:rsidR="00AA768A">
        <w:rPr>
          <w:szCs w:val="24"/>
        </w:rPr>
        <w:fldChar w:fldCharType="begin"/>
      </w:r>
      <w:r w:rsidR="00AA768A">
        <w:rPr>
          <w:szCs w:val="24"/>
        </w:rPr>
        <w:instrText xml:space="preserve"> </w:instrText>
      </w:r>
      <w:r w:rsidR="00AA768A">
        <w:rPr>
          <w:rFonts w:hint="eastAsia"/>
          <w:szCs w:val="24"/>
        </w:rPr>
        <w:instrText>REF _Ref410648279 \h</w:instrText>
      </w:r>
      <w:r w:rsidR="00AA768A">
        <w:rPr>
          <w:szCs w:val="24"/>
        </w:rPr>
        <w:instrText xml:space="preserve"> </w:instrText>
      </w:r>
      <w:r w:rsidR="00AA768A">
        <w:rPr>
          <w:szCs w:val="24"/>
        </w:rPr>
      </w:r>
      <w:r w:rsidR="00AA768A">
        <w:rPr>
          <w:szCs w:val="24"/>
        </w:rPr>
        <w:fldChar w:fldCharType="separate"/>
      </w:r>
      <w:r w:rsidR="00982A06">
        <w:t xml:space="preserve">Figure </w:t>
      </w:r>
      <w:r w:rsidR="00982A06">
        <w:rPr>
          <w:noProof/>
        </w:rPr>
        <w:t>1</w:t>
      </w:r>
      <w:r w:rsidR="00AA768A">
        <w:rPr>
          <w:szCs w:val="24"/>
        </w:rPr>
        <w:fldChar w:fldCharType="end"/>
      </w:r>
      <w:r w:rsidR="00AA768A">
        <w:rPr>
          <w:rFonts w:hint="eastAsia"/>
          <w:szCs w:val="24"/>
        </w:rPr>
        <w:t xml:space="preserve"> </w:t>
      </w:r>
      <w:r w:rsidR="00C34A27" w:rsidRPr="003E354D">
        <w:rPr>
          <w:rFonts w:hint="eastAsia"/>
          <w:szCs w:val="24"/>
        </w:rPr>
        <w:t xml:space="preserve">shows the </w:t>
      </w:r>
      <w:r w:rsidR="000734D0">
        <w:rPr>
          <w:rFonts w:hint="eastAsia"/>
          <w:szCs w:val="24"/>
        </w:rPr>
        <w:t>I</w:t>
      </w:r>
      <w:r w:rsidR="00C34A27" w:rsidRPr="003E354D">
        <w:rPr>
          <w:rFonts w:hint="eastAsia"/>
          <w:szCs w:val="24"/>
        </w:rPr>
        <w:t xml:space="preserve">nternet usage in different environments in Korea. Obviously, the </w:t>
      </w:r>
      <w:r w:rsidR="00C34A27" w:rsidRPr="003E354D">
        <w:rPr>
          <w:szCs w:val="24"/>
        </w:rPr>
        <w:t>proportion</w:t>
      </w:r>
      <w:r w:rsidR="00C34A27" w:rsidRPr="003E354D">
        <w:rPr>
          <w:rFonts w:hint="eastAsia"/>
          <w:szCs w:val="24"/>
        </w:rPr>
        <w:t xml:space="preserve"> of demand on vehicles is quit</w:t>
      </w:r>
      <w:r w:rsidR="00653A8D">
        <w:rPr>
          <w:rFonts w:hint="eastAsia"/>
          <w:szCs w:val="24"/>
        </w:rPr>
        <w:t>e</w:t>
      </w:r>
      <w:r w:rsidR="00C34A27" w:rsidRPr="003E354D">
        <w:rPr>
          <w:rFonts w:hint="eastAsia"/>
          <w:szCs w:val="24"/>
        </w:rPr>
        <w:t xml:space="preserve"> high</w:t>
      </w:r>
      <w:r w:rsidR="00AA5566">
        <w:rPr>
          <w:rFonts w:hint="eastAsia"/>
          <w:szCs w:val="24"/>
        </w:rPr>
        <w:t>, and</w:t>
      </w:r>
      <w:r w:rsidR="00C34A27">
        <w:rPr>
          <w:rFonts w:hint="eastAsia"/>
          <w:szCs w:val="24"/>
        </w:rPr>
        <w:t xml:space="preserve"> </w:t>
      </w:r>
      <w:r w:rsidR="00AA5566">
        <w:rPr>
          <w:rFonts w:hint="eastAsia"/>
          <w:szCs w:val="24"/>
        </w:rPr>
        <w:t xml:space="preserve">it is </w:t>
      </w:r>
      <w:r w:rsidR="00DC37A1">
        <w:rPr>
          <w:rFonts w:hint="eastAsia"/>
          <w:szCs w:val="24"/>
        </w:rPr>
        <w:t xml:space="preserve">required </w:t>
      </w:r>
      <w:r w:rsidR="00AA5566">
        <w:rPr>
          <w:rFonts w:hint="eastAsia"/>
          <w:szCs w:val="24"/>
        </w:rPr>
        <w:t>to</w:t>
      </w:r>
      <w:r w:rsidR="00AA5566" w:rsidRPr="008D7289">
        <w:rPr>
          <w:szCs w:val="24"/>
        </w:rPr>
        <w:t xml:space="preserve"> provide </w:t>
      </w:r>
      <w:r w:rsidR="00AA5566">
        <w:rPr>
          <w:rFonts w:hint="eastAsia"/>
          <w:szCs w:val="24"/>
        </w:rPr>
        <w:t xml:space="preserve">a similar user experience for end-users on the move as when they are static (e.g. at home or in the office). Therefore, </w:t>
      </w:r>
      <w:r w:rsidR="005C4467">
        <w:rPr>
          <w:rFonts w:hint="eastAsia"/>
          <w:szCs w:val="24"/>
        </w:rPr>
        <w:t xml:space="preserve">a promising communication system </w:t>
      </w:r>
      <w:r w:rsidR="00C061F1">
        <w:rPr>
          <w:rFonts w:hint="eastAsia"/>
          <w:szCs w:val="24"/>
        </w:rPr>
        <w:t>will be necessary</w:t>
      </w:r>
      <w:r w:rsidR="005C4467">
        <w:rPr>
          <w:rFonts w:hint="eastAsia"/>
          <w:szCs w:val="24"/>
        </w:rPr>
        <w:t xml:space="preserve"> for </w:t>
      </w:r>
      <w:r w:rsidR="0048109E">
        <w:rPr>
          <w:rFonts w:hint="eastAsia"/>
          <w:szCs w:val="24"/>
        </w:rPr>
        <w:t>m</w:t>
      </w:r>
      <w:r w:rsidR="0048109E" w:rsidRPr="00F85EBE">
        <w:rPr>
          <w:szCs w:val="24"/>
        </w:rPr>
        <w:t xml:space="preserve">aintaining high quality at high speed </w:t>
      </w:r>
      <w:r w:rsidR="005C4467">
        <w:rPr>
          <w:rFonts w:hint="eastAsia"/>
          <w:szCs w:val="24"/>
        </w:rPr>
        <w:t>which</w:t>
      </w:r>
      <w:r w:rsidR="0048109E" w:rsidRPr="00F85EBE">
        <w:rPr>
          <w:szCs w:val="24"/>
        </w:rPr>
        <w:t xml:space="preserve"> enable</w:t>
      </w:r>
      <w:r w:rsidR="005C4467">
        <w:rPr>
          <w:rFonts w:hint="eastAsia"/>
          <w:szCs w:val="24"/>
        </w:rPr>
        <w:t>s</w:t>
      </w:r>
      <w:r w:rsidR="0048109E" w:rsidRPr="00F85EBE">
        <w:rPr>
          <w:szCs w:val="24"/>
        </w:rPr>
        <w:t xml:space="preserve"> successful deployment of applications on user equipment (UEs) located within a moving platform such as </w:t>
      </w:r>
      <w:r w:rsidR="00EC0AF8">
        <w:rPr>
          <w:rFonts w:hint="eastAsia"/>
          <w:szCs w:val="24"/>
        </w:rPr>
        <w:t>buses, subways</w:t>
      </w:r>
      <w:r w:rsidR="0048109E" w:rsidRPr="00F85EBE">
        <w:rPr>
          <w:szCs w:val="24"/>
        </w:rPr>
        <w:t xml:space="preserve"> or high-speed trains which are bein</w:t>
      </w:r>
      <w:r w:rsidR="006D3CAA">
        <w:rPr>
          <w:szCs w:val="24"/>
        </w:rPr>
        <w:t>g deployed in several countries</w:t>
      </w:r>
      <w:r w:rsidR="001F5D12">
        <w:rPr>
          <w:rFonts w:hint="eastAsia"/>
          <w:szCs w:val="24"/>
        </w:rPr>
        <w:t>.</w:t>
      </w:r>
    </w:p>
    <w:p w:rsidR="003E354D" w:rsidRPr="003E354D" w:rsidRDefault="003E354D" w:rsidP="003E354D">
      <w:pPr>
        <w:jc w:val="both"/>
        <w:rPr>
          <w:szCs w:val="24"/>
          <w:lang w:val="x-none"/>
        </w:rPr>
      </w:pPr>
    </w:p>
    <w:p w:rsidR="003E354D" w:rsidRPr="003E354D" w:rsidRDefault="003E354D" w:rsidP="003E354D">
      <w:pPr>
        <w:jc w:val="both"/>
        <w:rPr>
          <w:szCs w:val="24"/>
          <w:lang w:val="x-none"/>
        </w:rPr>
      </w:pPr>
      <w:r w:rsidRPr="003E354D">
        <w:rPr>
          <w:noProof/>
          <w:szCs w:val="24"/>
        </w:rPr>
        <mc:AlternateContent>
          <mc:Choice Requires="wps">
            <w:drawing>
              <wp:inline distT="0" distB="0" distL="0" distR="0" wp14:anchorId="6E06F352" wp14:editId="1BB19318">
                <wp:extent cx="5580993" cy="2033751"/>
                <wp:effectExtent l="0" t="0" r="12700" b="24130"/>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993" cy="2033751"/>
                        </a:xfrm>
                        <a:prstGeom prst="rect">
                          <a:avLst/>
                        </a:prstGeom>
                        <a:solidFill>
                          <a:srgbClr val="FFFFFF"/>
                        </a:solidFill>
                        <a:ln w="9525">
                          <a:solidFill>
                            <a:sysClr val="window" lastClr="FFFFFF">
                              <a:alpha val="0"/>
                            </a:sysClr>
                          </a:solidFill>
                          <a:miter lim="800000"/>
                          <a:headEnd/>
                          <a:tailEnd/>
                        </a:ln>
                      </wps:spPr>
                      <wps:txbx>
                        <w:txbxContent>
                          <w:p w:rsidR="003E354D" w:rsidRDefault="003E354D" w:rsidP="003E354D">
                            <w:pPr>
                              <w:keepNext/>
                            </w:pPr>
                            <w:r>
                              <w:rPr>
                                <w:noProof/>
                              </w:rPr>
                              <w:drawing>
                                <wp:inline distT="0" distB="0" distL="0" distR="0" wp14:anchorId="7386650B" wp14:editId="05DF42D2">
                                  <wp:extent cx="5549462" cy="174267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207" cy="1742594"/>
                                          </a:xfrm>
                                          <a:prstGeom prst="rect">
                                            <a:avLst/>
                                          </a:prstGeom>
                                          <a:noFill/>
                                          <a:ln>
                                            <a:noFill/>
                                          </a:ln>
                                        </pic:spPr>
                                      </pic:pic>
                                    </a:graphicData>
                                  </a:graphic>
                                </wp:inline>
                              </w:drawing>
                            </w:r>
                          </w:p>
                          <w:p w:rsidR="003E354D" w:rsidRPr="004C520B" w:rsidRDefault="003E354D" w:rsidP="003E354D">
                            <w:pPr>
                              <w:pStyle w:val="aa"/>
                              <w:jc w:val="center"/>
                              <w:rPr>
                                <w:rFonts w:eastAsiaTheme="minorEastAsia"/>
                                <w:lang w:eastAsia="ko-KR"/>
                              </w:rPr>
                            </w:pPr>
                            <w:bookmarkStart w:id="1" w:name="_Ref410648279"/>
                            <w:r>
                              <w:t xml:space="preserve">Figure </w:t>
                            </w:r>
                            <w:r w:rsidR="00243BAB">
                              <w:fldChar w:fldCharType="begin"/>
                            </w:r>
                            <w:r w:rsidR="00243BAB">
                              <w:instrText xml:space="preserve"> SEQ Figure \* ARABIC </w:instrText>
                            </w:r>
                            <w:r w:rsidR="00243BAB">
                              <w:fldChar w:fldCharType="separate"/>
                            </w:r>
                            <w:r>
                              <w:rPr>
                                <w:noProof/>
                              </w:rPr>
                              <w:t>1</w:t>
                            </w:r>
                            <w:r w:rsidR="00243BAB">
                              <w:rPr>
                                <w:noProof/>
                              </w:rPr>
                              <w:fldChar w:fldCharType="end"/>
                            </w:r>
                            <w:bookmarkEnd w:id="1"/>
                            <w:r>
                              <w:rPr>
                                <w:rFonts w:eastAsiaTheme="minorEastAsia" w:hint="eastAsia"/>
                                <w:lang w:eastAsia="ko-KR"/>
                              </w:rPr>
                              <w:t xml:space="preserve"> </w:t>
                            </w:r>
                            <w:r w:rsidRPr="004C520B">
                              <w:rPr>
                                <w:rFonts w:eastAsiaTheme="minorEastAsia"/>
                                <w:lang w:eastAsia="ko-KR"/>
                              </w:rPr>
                              <w:t>Survey 2012 for Mobile Internet Usage by Korea Internet &amp; Security Agency</w:t>
                            </w:r>
                          </w:p>
                          <w:p w:rsidR="003E354D" w:rsidRDefault="003E354D" w:rsidP="003E354D">
                            <w:pPr>
                              <w:keepNext/>
                            </w:pPr>
                          </w:p>
                          <w:p w:rsidR="003E354D" w:rsidRDefault="003E354D" w:rsidP="003E354D"/>
                        </w:txbxContent>
                      </wps:txbx>
                      <wps:bodyPr rot="0" vert="horz" wrap="non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텍스트 상자 2" o:spid="_x0000_s1026" type="#_x0000_t202" style="width:439.45pt;height:160.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" strokecolor="window">
                <v:stroke opacity="0"/>
                <v:textbox>
                  <w:txbxContent>
                    <w:p w:rsidR="003E354D" w:rsidRDefault="003E354D" w:rsidP="003E354D">
                      <w:pPr>
                        <w:keepNext/>
                      </w:pPr>
                      <w:r>
                        <w:rPr>
                          <w:noProof/>
                        </w:rPr>
                        <w:drawing>
                          <wp:inline distT="0" distB="0" distL="0" distR="0" wp14:anchorId="7386650B" wp14:editId="05DF42D2">
                            <wp:extent cx="5549462" cy="174267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207" cy="1742594"/>
                                    </a:xfrm>
                                    <a:prstGeom prst="rect">
                                      <a:avLst/>
                                    </a:prstGeom>
                                    <a:noFill/>
                                    <a:ln>
                                      <a:noFill/>
                                    </a:ln>
                                  </pic:spPr>
                                </pic:pic>
                              </a:graphicData>
                            </a:graphic>
                          </wp:inline>
                        </w:drawing>
                      </w:r>
                    </w:p>
                    <w:p w:rsidR="003E354D" w:rsidRPr="004C520B" w:rsidRDefault="003E354D" w:rsidP="003E354D">
                      <w:pPr>
                        <w:pStyle w:val="aa"/>
                        <w:jc w:val="center"/>
                        <w:rPr>
                          <w:rFonts w:eastAsiaTheme="minorEastAsia"/>
                          <w:lang w:eastAsia="ko-KR"/>
                        </w:rPr>
                      </w:pPr>
                      <w:bookmarkStart w:id="2" w:name="_Ref410648279"/>
                      <w:r>
                        <w:t xml:space="preserve">Figure </w:t>
                      </w:r>
                      <w:r w:rsidR="00DD626B">
                        <w:fldChar w:fldCharType="begin"/>
                      </w:r>
                      <w:r w:rsidR="00DD626B">
                        <w:instrText xml:space="preserve"> SEQ Figure \* ARABIC </w:instrText>
                      </w:r>
                      <w:r w:rsidR="00DD626B">
                        <w:fldChar w:fldCharType="separate"/>
                      </w:r>
                      <w:r>
                        <w:rPr>
                          <w:noProof/>
                        </w:rPr>
                        <w:t>1</w:t>
                      </w:r>
                      <w:r w:rsidR="00DD626B">
                        <w:rPr>
                          <w:noProof/>
                        </w:rPr>
                        <w:fldChar w:fldCharType="end"/>
                      </w:r>
                      <w:bookmarkEnd w:id="2"/>
                      <w:r>
                        <w:rPr>
                          <w:rFonts w:eastAsiaTheme="minorEastAsia" w:hint="eastAsia"/>
                          <w:lang w:eastAsia="ko-KR"/>
                        </w:rPr>
                        <w:t xml:space="preserve"> </w:t>
                      </w:r>
                      <w:r w:rsidRPr="004C520B">
                        <w:rPr>
                          <w:rFonts w:eastAsiaTheme="minorEastAsia"/>
                          <w:lang w:eastAsia="ko-KR"/>
                        </w:rPr>
                        <w:t>Survey 2012 for Mobile Internet Usage by Korea Internet &amp; Security Agency</w:t>
                      </w:r>
                    </w:p>
                    <w:p w:rsidR="003E354D" w:rsidRDefault="003E354D" w:rsidP="003E354D">
                      <w:pPr>
                        <w:keepNext/>
                      </w:pPr>
                    </w:p>
                    <w:p w:rsidR="003E354D" w:rsidRDefault="003E354D" w:rsidP="003E354D"/>
                  </w:txbxContent>
                </v:textbox>
                <w10:anchorlock/>
              </v:shape>
            </w:pict>
          </mc:Fallback>
        </mc:AlternateContent>
      </w:r>
    </w:p>
    <w:p w:rsidR="008433DF" w:rsidRPr="003E354D" w:rsidRDefault="008433DF" w:rsidP="003E354D">
      <w:pPr>
        <w:jc w:val="both"/>
        <w:rPr>
          <w:szCs w:val="24"/>
          <w:lang w:val="x-none"/>
        </w:rPr>
      </w:pPr>
    </w:p>
    <w:p w:rsidR="003E354D" w:rsidRPr="001146B2" w:rsidRDefault="003E354D" w:rsidP="001146B2">
      <w:pPr>
        <w:pStyle w:val="ab"/>
        <w:numPr>
          <w:ilvl w:val="0"/>
          <w:numId w:val="4"/>
        </w:numPr>
        <w:ind w:leftChars="0"/>
        <w:jc w:val="both"/>
        <w:rPr>
          <w:b/>
          <w:szCs w:val="24"/>
          <w:lang w:val="x-none"/>
        </w:rPr>
      </w:pPr>
      <w:r w:rsidRPr="001146B2">
        <w:rPr>
          <w:rFonts w:hint="eastAsia"/>
          <w:b/>
          <w:szCs w:val="24"/>
          <w:lang w:val="x-none"/>
        </w:rPr>
        <w:t>CONCERNS OF IG HRRC</w:t>
      </w:r>
    </w:p>
    <w:p w:rsidR="003E354D" w:rsidRPr="003E354D" w:rsidRDefault="003E354D" w:rsidP="003E354D">
      <w:pPr>
        <w:jc w:val="both"/>
        <w:rPr>
          <w:szCs w:val="24"/>
          <w:lang w:val="x-none"/>
        </w:rPr>
      </w:pPr>
    </w:p>
    <w:p w:rsidR="003E354D" w:rsidRPr="003E354D" w:rsidRDefault="003E354D" w:rsidP="003E354D">
      <w:pPr>
        <w:jc w:val="both"/>
        <w:rPr>
          <w:szCs w:val="24"/>
          <w:lang w:val="x-none"/>
        </w:rPr>
      </w:pPr>
      <w:r w:rsidRPr="003E354D">
        <w:rPr>
          <w:rFonts w:hint="eastAsia"/>
          <w:szCs w:val="24"/>
          <w:lang w:val="x-none"/>
        </w:rPr>
        <w:t xml:space="preserve">The IEEE P802.15 IG HRRC concerns with the mobile wireless backhauling for the high-mobility hotspot user groups. </w:t>
      </w:r>
      <w:r w:rsidR="00A455ED">
        <w:rPr>
          <w:rFonts w:hint="eastAsia"/>
          <w:szCs w:val="24"/>
          <w:lang w:val="x-none"/>
        </w:rPr>
        <w:t xml:space="preserve">Both </w:t>
      </w:r>
      <w:proofErr w:type="spellStart"/>
      <w:r w:rsidRPr="003E354D">
        <w:rPr>
          <w:rFonts w:hint="eastAsia"/>
          <w:szCs w:val="24"/>
          <w:lang w:val="x-none"/>
        </w:rPr>
        <w:t>mmWave</w:t>
      </w:r>
      <w:proofErr w:type="spellEnd"/>
      <w:r w:rsidRPr="003E354D">
        <w:rPr>
          <w:rFonts w:hint="eastAsia"/>
          <w:szCs w:val="24"/>
          <w:lang w:val="x-none"/>
        </w:rPr>
        <w:t xml:space="preserve"> frequency band</w:t>
      </w:r>
      <w:r w:rsidR="00A455ED">
        <w:rPr>
          <w:rFonts w:hint="eastAsia"/>
          <w:szCs w:val="24"/>
          <w:lang w:val="x-none"/>
        </w:rPr>
        <w:t xml:space="preserve"> and sub 6GHz frequency band</w:t>
      </w:r>
      <w:r w:rsidR="00C35291">
        <w:rPr>
          <w:rFonts w:hint="eastAsia"/>
          <w:szCs w:val="24"/>
          <w:lang w:val="x-none"/>
        </w:rPr>
        <w:t xml:space="preserve">, shown as </w:t>
      </w:r>
      <w:r w:rsidR="00C35291">
        <w:rPr>
          <w:szCs w:val="24"/>
          <w:lang w:val="x-none"/>
        </w:rPr>
        <w:fldChar w:fldCharType="begin"/>
      </w:r>
      <w:r w:rsidR="00C35291">
        <w:rPr>
          <w:szCs w:val="24"/>
          <w:lang w:val="x-none"/>
        </w:rPr>
        <w:instrText xml:space="preserve"> </w:instrText>
      </w:r>
      <w:r w:rsidR="00C35291">
        <w:rPr>
          <w:rFonts w:hint="eastAsia"/>
          <w:szCs w:val="24"/>
          <w:lang w:val="x-none"/>
        </w:rPr>
        <w:instrText>REF _Ref410648350 \h</w:instrText>
      </w:r>
      <w:r w:rsidR="00C35291">
        <w:rPr>
          <w:szCs w:val="24"/>
          <w:lang w:val="x-none"/>
        </w:rPr>
        <w:instrText xml:space="preserve">  \* MERGEFORMAT </w:instrText>
      </w:r>
      <w:r w:rsidR="00C35291">
        <w:rPr>
          <w:szCs w:val="24"/>
          <w:lang w:val="x-none"/>
        </w:rPr>
      </w:r>
      <w:r w:rsidR="00C35291">
        <w:rPr>
          <w:szCs w:val="24"/>
          <w:lang w:val="x-none"/>
        </w:rPr>
        <w:fldChar w:fldCharType="separate"/>
      </w:r>
      <w:r w:rsidR="00982A06" w:rsidRPr="00982A06">
        <w:rPr>
          <w:szCs w:val="24"/>
          <w:lang w:val="x-none"/>
        </w:rPr>
        <w:t>Figure 2</w:t>
      </w:r>
      <w:r w:rsidR="00C35291">
        <w:rPr>
          <w:szCs w:val="24"/>
          <w:lang w:val="x-none"/>
        </w:rPr>
        <w:fldChar w:fldCharType="end"/>
      </w:r>
      <w:r w:rsidR="00C35291">
        <w:rPr>
          <w:rFonts w:hint="eastAsia"/>
          <w:szCs w:val="24"/>
          <w:lang w:val="x-none"/>
        </w:rPr>
        <w:t>,</w:t>
      </w:r>
      <w:r w:rsidRPr="003E354D">
        <w:rPr>
          <w:rFonts w:hint="eastAsia"/>
          <w:szCs w:val="24"/>
          <w:lang w:val="x-none"/>
        </w:rPr>
        <w:t xml:space="preserve"> </w:t>
      </w:r>
      <w:r w:rsidR="00A455ED">
        <w:rPr>
          <w:rFonts w:hint="eastAsia"/>
          <w:szCs w:val="24"/>
          <w:lang w:val="x-none"/>
        </w:rPr>
        <w:t>are</w:t>
      </w:r>
      <w:r w:rsidRPr="003E354D">
        <w:rPr>
          <w:rFonts w:hint="eastAsia"/>
          <w:szCs w:val="24"/>
          <w:lang w:val="x-none"/>
        </w:rPr>
        <w:t xml:space="preserve"> considered to be occupied to establish the broadband wireless backhauling links for the outside of the fast moving vehicles, when the sub 6GHz frequency </w:t>
      </w:r>
      <w:r w:rsidRPr="003E354D">
        <w:rPr>
          <w:rFonts w:hint="eastAsia"/>
          <w:szCs w:val="24"/>
          <w:lang w:val="x-none"/>
        </w:rPr>
        <w:lastRenderedPageBreak/>
        <w:t xml:space="preserve">band is employed for the wireless access links for the inside of the vehicles. </w:t>
      </w:r>
      <w:proofErr w:type="spellStart"/>
      <w:r w:rsidRPr="003E354D">
        <w:rPr>
          <w:rFonts w:hint="eastAsia"/>
          <w:szCs w:val="24"/>
          <w:lang w:val="x-none"/>
        </w:rPr>
        <w:t>WiFi</w:t>
      </w:r>
      <w:proofErr w:type="spellEnd"/>
      <w:r w:rsidRPr="003E354D">
        <w:rPr>
          <w:rFonts w:hint="eastAsia"/>
          <w:szCs w:val="24"/>
          <w:lang w:val="x-none"/>
        </w:rPr>
        <w:t xml:space="preserve"> or </w:t>
      </w:r>
      <w:proofErr w:type="spellStart"/>
      <w:r w:rsidRPr="003E354D">
        <w:rPr>
          <w:rFonts w:hint="eastAsia"/>
          <w:szCs w:val="24"/>
          <w:lang w:val="x-none"/>
        </w:rPr>
        <w:t>femtocell</w:t>
      </w:r>
      <w:proofErr w:type="spellEnd"/>
      <w:r w:rsidRPr="003E354D">
        <w:rPr>
          <w:rFonts w:hint="eastAsia"/>
          <w:szCs w:val="24"/>
          <w:lang w:val="x-none"/>
        </w:rPr>
        <w:t xml:space="preserve"> technologies can be deployed to support the intra-vehicle services.</w:t>
      </w:r>
    </w:p>
    <w:p w:rsidR="003E354D" w:rsidRPr="003E354D" w:rsidRDefault="003E354D" w:rsidP="003E354D">
      <w:pPr>
        <w:jc w:val="both"/>
        <w:rPr>
          <w:szCs w:val="24"/>
          <w:lang w:val="x-none"/>
        </w:rPr>
      </w:pPr>
    </w:p>
    <w:p w:rsidR="003E354D" w:rsidRPr="003E354D" w:rsidRDefault="003E354D" w:rsidP="003E354D">
      <w:pPr>
        <w:numPr>
          <w:ilvl w:val="0"/>
          <w:numId w:val="2"/>
        </w:numPr>
        <w:jc w:val="both"/>
        <w:rPr>
          <w:szCs w:val="24"/>
        </w:rPr>
      </w:pPr>
      <w:r w:rsidRPr="003E354D">
        <w:rPr>
          <w:szCs w:val="24"/>
        </w:rPr>
        <w:t>B</w:t>
      </w:r>
      <w:r w:rsidRPr="003E354D">
        <w:rPr>
          <w:rFonts w:hint="eastAsia"/>
          <w:szCs w:val="24"/>
        </w:rPr>
        <w:t xml:space="preserve">ackhauling links (outside of the vehicles): supporting </w:t>
      </w:r>
      <w:proofErr w:type="spellStart"/>
      <w:r w:rsidRPr="003E354D">
        <w:rPr>
          <w:rFonts w:hint="eastAsia"/>
          <w:szCs w:val="24"/>
        </w:rPr>
        <w:t>Gbps</w:t>
      </w:r>
      <w:proofErr w:type="spellEnd"/>
      <w:r w:rsidRPr="003E354D">
        <w:rPr>
          <w:rFonts w:hint="eastAsia"/>
          <w:szCs w:val="24"/>
        </w:rPr>
        <w:t xml:space="preserve"> data rate</w:t>
      </w:r>
    </w:p>
    <w:p w:rsidR="003E354D" w:rsidRPr="003E354D" w:rsidRDefault="003E354D" w:rsidP="003E354D">
      <w:pPr>
        <w:numPr>
          <w:ilvl w:val="0"/>
          <w:numId w:val="2"/>
        </w:numPr>
        <w:jc w:val="both"/>
        <w:rPr>
          <w:szCs w:val="24"/>
        </w:rPr>
      </w:pPr>
      <w:r w:rsidRPr="003E354D">
        <w:rPr>
          <w:szCs w:val="24"/>
        </w:rPr>
        <w:t>A</w:t>
      </w:r>
      <w:r w:rsidRPr="003E354D">
        <w:rPr>
          <w:rFonts w:hint="eastAsia"/>
          <w:szCs w:val="24"/>
        </w:rPr>
        <w:t xml:space="preserve">ccess links (inside of the vehicles): sub 6 GHz band employing WLAN or </w:t>
      </w:r>
      <w:proofErr w:type="spellStart"/>
      <w:r w:rsidRPr="003E354D">
        <w:rPr>
          <w:rFonts w:hint="eastAsia"/>
          <w:szCs w:val="24"/>
        </w:rPr>
        <w:t>femtocell</w:t>
      </w:r>
      <w:proofErr w:type="spellEnd"/>
      <w:r w:rsidRPr="003E354D">
        <w:rPr>
          <w:rFonts w:hint="eastAsia"/>
          <w:szCs w:val="24"/>
        </w:rPr>
        <w:t xml:space="preserve"> technologies</w:t>
      </w:r>
    </w:p>
    <w:p w:rsidR="003E354D" w:rsidRPr="003E354D" w:rsidRDefault="003E354D" w:rsidP="003E354D">
      <w:pPr>
        <w:jc w:val="both"/>
        <w:rPr>
          <w:szCs w:val="24"/>
          <w:lang w:val="x-none"/>
        </w:rPr>
      </w:pPr>
    </w:p>
    <w:p w:rsidR="003E354D" w:rsidRPr="003E354D" w:rsidRDefault="003E354D" w:rsidP="003E354D">
      <w:pPr>
        <w:keepNext/>
        <w:jc w:val="center"/>
        <w:rPr>
          <w:rFonts w:ascii="Courier New" w:eastAsia="MS Mincho" w:hAnsi="Courier New"/>
          <w:sz w:val="20"/>
          <w:lang w:val="x-none" w:eastAsia="x-none"/>
        </w:rPr>
      </w:pPr>
      <w:r w:rsidRPr="003E354D">
        <w:rPr>
          <w:noProof/>
          <w:szCs w:val="24"/>
        </w:rPr>
        <w:drawing>
          <wp:inline distT="0" distB="0" distL="0" distR="0" wp14:anchorId="3040693F" wp14:editId="3212678F">
            <wp:extent cx="4650828" cy="242566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4074" cy="2427356"/>
                    </a:xfrm>
                    <a:prstGeom prst="rect">
                      <a:avLst/>
                    </a:prstGeom>
                    <a:noFill/>
                  </pic:spPr>
                </pic:pic>
              </a:graphicData>
            </a:graphic>
          </wp:inline>
        </w:drawing>
      </w:r>
    </w:p>
    <w:p w:rsidR="003E354D" w:rsidRPr="003E354D" w:rsidRDefault="003E354D" w:rsidP="003E354D">
      <w:pPr>
        <w:jc w:val="center"/>
        <w:rPr>
          <w:b/>
          <w:bCs/>
          <w:sz w:val="20"/>
        </w:rPr>
      </w:pPr>
      <w:bookmarkStart w:id="2" w:name="_Ref410648350"/>
      <w:r w:rsidRPr="003E354D">
        <w:rPr>
          <w:rFonts w:eastAsia="MS Mincho"/>
          <w:b/>
          <w:bCs/>
          <w:sz w:val="20"/>
          <w:lang w:eastAsia="en-US"/>
        </w:rPr>
        <w:t xml:space="preserve">Figure </w:t>
      </w:r>
      <w:r w:rsidRPr="003E354D">
        <w:rPr>
          <w:rFonts w:eastAsia="MS Mincho"/>
          <w:b/>
          <w:bCs/>
          <w:sz w:val="20"/>
          <w:lang w:eastAsia="en-US"/>
        </w:rPr>
        <w:fldChar w:fldCharType="begin"/>
      </w:r>
      <w:r w:rsidRPr="003E354D">
        <w:rPr>
          <w:rFonts w:eastAsia="MS Mincho"/>
          <w:b/>
          <w:bCs/>
          <w:sz w:val="20"/>
          <w:lang w:eastAsia="en-US"/>
        </w:rPr>
        <w:instrText xml:space="preserve"> SEQ Figure \* ARABIC </w:instrText>
      </w:r>
      <w:r w:rsidRPr="003E354D">
        <w:rPr>
          <w:rFonts w:eastAsia="MS Mincho"/>
          <w:b/>
          <w:bCs/>
          <w:sz w:val="20"/>
          <w:lang w:eastAsia="en-US"/>
        </w:rPr>
        <w:fldChar w:fldCharType="separate"/>
      </w:r>
      <w:r w:rsidR="00982A06">
        <w:rPr>
          <w:rFonts w:eastAsia="MS Mincho"/>
          <w:b/>
          <w:bCs/>
          <w:noProof/>
          <w:sz w:val="20"/>
          <w:lang w:eastAsia="en-US"/>
        </w:rPr>
        <w:t>2</w:t>
      </w:r>
      <w:r w:rsidRPr="003E354D">
        <w:rPr>
          <w:rFonts w:eastAsia="MS Mincho"/>
          <w:b/>
          <w:bCs/>
          <w:sz w:val="20"/>
          <w:lang w:eastAsia="en-US"/>
        </w:rPr>
        <w:fldChar w:fldCharType="end"/>
      </w:r>
      <w:bookmarkEnd w:id="2"/>
      <w:r w:rsidRPr="003E354D">
        <w:rPr>
          <w:rFonts w:hint="eastAsia"/>
          <w:b/>
          <w:bCs/>
          <w:sz w:val="20"/>
        </w:rPr>
        <w:t xml:space="preserve"> </w:t>
      </w:r>
      <w:proofErr w:type="gramStart"/>
      <w:r w:rsidRPr="003E354D">
        <w:rPr>
          <w:rFonts w:hint="eastAsia"/>
          <w:b/>
          <w:bCs/>
          <w:sz w:val="20"/>
        </w:rPr>
        <w:t>The</w:t>
      </w:r>
      <w:proofErr w:type="gramEnd"/>
      <w:r w:rsidRPr="003E354D">
        <w:rPr>
          <w:rFonts w:hint="eastAsia"/>
          <w:b/>
          <w:bCs/>
          <w:sz w:val="20"/>
        </w:rPr>
        <w:t xml:space="preserve"> C</w:t>
      </w:r>
      <w:r w:rsidRPr="003E354D">
        <w:rPr>
          <w:b/>
          <w:bCs/>
          <w:sz w:val="20"/>
        </w:rPr>
        <w:t>oncept</w:t>
      </w:r>
      <w:r w:rsidRPr="003E354D">
        <w:rPr>
          <w:rFonts w:hint="eastAsia"/>
          <w:b/>
          <w:bCs/>
          <w:sz w:val="20"/>
        </w:rPr>
        <w:t xml:space="preserve"> of High Rate Rail Communications</w:t>
      </w:r>
    </w:p>
    <w:p w:rsidR="003E354D" w:rsidRPr="003E354D" w:rsidRDefault="003E354D" w:rsidP="003E354D">
      <w:pPr>
        <w:jc w:val="both"/>
        <w:rPr>
          <w:szCs w:val="24"/>
          <w:lang w:val="x-none"/>
        </w:rPr>
      </w:pPr>
    </w:p>
    <w:p w:rsidR="003E354D" w:rsidRPr="003E354D" w:rsidRDefault="003E354D" w:rsidP="003E354D">
      <w:pPr>
        <w:jc w:val="both"/>
        <w:rPr>
          <w:szCs w:val="24"/>
          <w:lang w:val="x-none"/>
        </w:rPr>
      </w:pPr>
      <w:r w:rsidRPr="003E354D">
        <w:rPr>
          <w:rFonts w:hint="eastAsia"/>
          <w:szCs w:val="24"/>
          <w:lang w:val="x-none"/>
        </w:rPr>
        <w:t xml:space="preserve">Finally, user groups using common UEs inside of the fast-moving vehicles should be able to achieve the </w:t>
      </w:r>
      <w:proofErr w:type="spellStart"/>
      <w:r w:rsidRPr="003E354D">
        <w:rPr>
          <w:rFonts w:hint="eastAsia"/>
          <w:szCs w:val="24"/>
          <w:lang w:val="x-none"/>
        </w:rPr>
        <w:t>Gbps</w:t>
      </w:r>
      <w:proofErr w:type="spellEnd"/>
      <w:r w:rsidRPr="003E354D">
        <w:rPr>
          <w:rFonts w:hint="eastAsia"/>
          <w:szCs w:val="24"/>
          <w:lang w:val="x-none"/>
        </w:rPr>
        <w:t xml:space="preserve"> data rate with high performance. The application scenarios are given as below:</w:t>
      </w:r>
    </w:p>
    <w:p w:rsidR="003E354D" w:rsidRPr="003E354D" w:rsidRDefault="003E354D" w:rsidP="003E354D">
      <w:pPr>
        <w:jc w:val="both"/>
        <w:rPr>
          <w:szCs w:val="24"/>
          <w:lang w:val="x-none"/>
        </w:rPr>
      </w:pPr>
    </w:p>
    <w:p w:rsidR="003E354D" w:rsidRPr="003E354D" w:rsidRDefault="003E354D" w:rsidP="003E354D">
      <w:pPr>
        <w:numPr>
          <w:ilvl w:val="0"/>
          <w:numId w:val="2"/>
        </w:numPr>
        <w:jc w:val="both"/>
        <w:rPr>
          <w:szCs w:val="24"/>
        </w:rPr>
      </w:pPr>
      <w:r w:rsidRPr="003E354D">
        <w:rPr>
          <w:szCs w:val="24"/>
        </w:rPr>
        <w:t>S</w:t>
      </w:r>
      <w:r w:rsidRPr="003E354D">
        <w:rPr>
          <w:rFonts w:hint="eastAsia"/>
          <w:szCs w:val="24"/>
        </w:rPr>
        <w:t>cenario 1: subway</w:t>
      </w:r>
    </w:p>
    <w:p w:rsidR="003E354D" w:rsidRPr="003E354D" w:rsidRDefault="003E354D" w:rsidP="003E354D">
      <w:pPr>
        <w:numPr>
          <w:ilvl w:val="0"/>
          <w:numId w:val="2"/>
        </w:numPr>
        <w:jc w:val="both"/>
        <w:rPr>
          <w:szCs w:val="24"/>
        </w:rPr>
      </w:pPr>
      <w:r w:rsidRPr="003E354D">
        <w:rPr>
          <w:szCs w:val="24"/>
        </w:rPr>
        <w:t>S</w:t>
      </w:r>
      <w:r w:rsidRPr="003E354D">
        <w:rPr>
          <w:rFonts w:hint="eastAsia"/>
          <w:szCs w:val="24"/>
        </w:rPr>
        <w:t>cenario 2: high-speed train (including normal-speed train)</w:t>
      </w:r>
    </w:p>
    <w:p w:rsidR="003E354D" w:rsidRPr="003E354D" w:rsidRDefault="003E354D" w:rsidP="003E354D">
      <w:pPr>
        <w:numPr>
          <w:ilvl w:val="0"/>
          <w:numId w:val="2"/>
        </w:numPr>
        <w:jc w:val="both"/>
        <w:rPr>
          <w:szCs w:val="24"/>
        </w:rPr>
      </w:pPr>
      <w:r w:rsidRPr="003E354D">
        <w:rPr>
          <w:szCs w:val="24"/>
        </w:rPr>
        <w:t>S</w:t>
      </w:r>
      <w:r w:rsidRPr="003E354D">
        <w:rPr>
          <w:rFonts w:hint="eastAsia"/>
          <w:szCs w:val="24"/>
        </w:rPr>
        <w:t>cenario 3: high-speed bus (high way environment)</w:t>
      </w:r>
    </w:p>
    <w:p w:rsidR="003E354D" w:rsidRPr="003E354D" w:rsidRDefault="003E354D" w:rsidP="003E354D">
      <w:pPr>
        <w:numPr>
          <w:ilvl w:val="0"/>
          <w:numId w:val="2"/>
        </w:numPr>
        <w:jc w:val="both"/>
        <w:rPr>
          <w:szCs w:val="24"/>
        </w:rPr>
      </w:pPr>
      <w:r w:rsidRPr="003E354D">
        <w:rPr>
          <w:szCs w:val="24"/>
        </w:rPr>
        <w:t>S</w:t>
      </w:r>
      <w:r w:rsidRPr="003E354D">
        <w:rPr>
          <w:rFonts w:hint="eastAsia"/>
          <w:szCs w:val="24"/>
        </w:rPr>
        <w:t>cenario 4: normal vehicles (general environment)</w:t>
      </w:r>
    </w:p>
    <w:p w:rsidR="003E354D" w:rsidRPr="003E354D" w:rsidRDefault="003E354D" w:rsidP="003E354D">
      <w:pPr>
        <w:jc w:val="both"/>
        <w:rPr>
          <w:szCs w:val="24"/>
          <w:lang w:val="x-none"/>
        </w:rPr>
      </w:pPr>
    </w:p>
    <w:p w:rsidR="003E354D" w:rsidRPr="001146B2" w:rsidRDefault="003E354D" w:rsidP="001146B2">
      <w:pPr>
        <w:pStyle w:val="ab"/>
        <w:numPr>
          <w:ilvl w:val="0"/>
          <w:numId w:val="4"/>
        </w:numPr>
        <w:ind w:leftChars="0"/>
        <w:jc w:val="both"/>
        <w:rPr>
          <w:b/>
          <w:szCs w:val="24"/>
          <w:lang w:val="x-none"/>
        </w:rPr>
      </w:pPr>
      <w:r w:rsidRPr="001146B2">
        <w:rPr>
          <w:rFonts w:hint="eastAsia"/>
          <w:b/>
          <w:szCs w:val="24"/>
          <w:lang w:val="x-none"/>
        </w:rPr>
        <w:t>CHALLENGES AND OPEN PROBLEMS</w:t>
      </w:r>
    </w:p>
    <w:p w:rsidR="003E354D" w:rsidRPr="003E354D" w:rsidRDefault="003E354D" w:rsidP="003E354D">
      <w:pPr>
        <w:jc w:val="both"/>
        <w:rPr>
          <w:szCs w:val="24"/>
          <w:lang w:val="x-none"/>
        </w:rPr>
      </w:pPr>
    </w:p>
    <w:p w:rsidR="003E354D" w:rsidRPr="003E354D" w:rsidRDefault="003E354D" w:rsidP="003E354D">
      <w:pPr>
        <w:jc w:val="both"/>
        <w:rPr>
          <w:rFonts w:eastAsia="MS Mincho"/>
          <w:color w:val="000000"/>
          <w:szCs w:val="24"/>
          <w:lang w:eastAsia="en-US"/>
        </w:rPr>
      </w:pPr>
      <w:r w:rsidRPr="003E354D">
        <w:rPr>
          <w:rFonts w:eastAsia="MS Mincho"/>
          <w:color w:val="000000"/>
          <w:szCs w:val="24"/>
          <w:lang w:eastAsia="en-US"/>
        </w:rPr>
        <w:t xml:space="preserve">The </w:t>
      </w:r>
      <w:r w:rsidRPr="003E354D">
        <w:rPr>
          <w:rFonts w:hint="eastAsia"/>
          <w:color w:val="000000"/>
          <w:szCs w:val="24"/>
        </w:rPr>
        <w:t>IEEE P</w:t>
      </w:r>
      <w:r w:rsidRPr="003E354D">
        <w:rPr>
          <w:rFonts w:eastAsia="MS Mincho"/>
          <w:color w:val="000000"/>
          <w:szCs w:val="24"/>
          <w:lang w:eastAsia="en-US"/>
        </w:rPr>
        <w:t>802.15 Interest Group</w:t>
      </w:r>
      <w:r w:rsidRPr="003E354D">
        <w:rPr>
          <w:rFonts w:hint="eastAsia"/>
          <w:color w:val="000000"/>
          <w:szCs w:val="24"/>
        </w:rPr>
        <w:t xml:space="preserve"> HRRC</w:t>
      </w:r>
      <w:r w:rsidRPr="003E354D">
        <w:rPr>
          <w:rFonts w:eastAsia="MS Mincho"/>
          <w:color w:val="000000"/>
          <w:szCs w:val="24"/>
          <w:lang w:eastAsia="en-US"/>
        </w:rPr>
        <w:t xml:space="preserve"> greatly appreciates your opinion and response to the </w:t>
      </w:r>
      <w:r w:rsidRPr="003E354D">
        <w:rPr>
          <w:rFonts w:hint="eastAsia"/>
          <w:color w:val="000000"/>
          <w:szCs w:val="24"/>
        </w:rPr>
        <w:t>challenges</w:t>
      </w:r>
      <w:r w:rsidRPr="003E354D">
        <w:rPr>
          <w:rFonts w:eastAsia="MS Mincho"/>
          <w:color w:val="000000"/>
          <w:szCs w:val="24"/>
          <w:lang w:eastAsia="en-US"/>
        </w:rPr>
        <w:t xml:space="preserve"> below. Your input will help us </w:t>
      </w:r>
      <w:r w:rsidRPr="003E354D">
        <w:rPr>
          <w:rFonts w:hint="eastAsia"/>
          <w:color w:val="000000"/>
          <w:szCs w:val="24"/>
        </w:rPr>
        <w:t xml:space="preserve">to </w:t>
      </w:r>
      <w:r w:rsidRPr="003E354D">
        <w:rPr>
          <w:rFonts w:eastAsia="MS Mincho"/>
          <w:color w:val="000000"/>
          <w:szCs w:val="24"/>
          <w:lang w:eastAsia="en-US"/>
        </w:rPr>
        <w:t>support the industry’s standardization efforts.</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t>Coverage Improvement</w:t>
      </w:r>
    </w:p>
    <w:p w:rsidR="003E354D" w:rsidRPr="003E354D" w:rsidRDefault="003E354D" w:rsidP="003E354D">
      <w:pPr>
        <w:numPr>
          <w:ilvl w:val="1"/>
          <w:numId w:val="2"/>
        </w:numPr>
        <w:jc w:val="both"/>
        <w:rPr>
          <w:szCs w:val="24"/>
        </w:rPr>
      </w:pPr>
      <w:r w:rsidRPr="003E354D">
        <w:rPr>
          <w:szCs w:val="24"/>
        </w:rPr>
        <w:t xml:space="preserve">Path loss and atmospheric attenuation </w:t>
      </w:r>
      <w:r w:rsidR="004B3D48">
        <w:rPr>
          <w:rFonts w:hint="eastAsia"/>
          <w:szCs w:val="24"/>
        </w:rPr>
        <w:t xml:space="preserve">especially in the case of employing </w:t>
      </w:r>
      <w:r w:rsidRPr="003E354D">
        <w:rPr>
          <w:szCs w:val="24"/>
        </w:rPr>
        <w:t>millimeter-wave</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t>Synchronization</w:t>
      </w:r>
    </w:p>
    <w:p w:rsidR="003E354D" w:rsidRPr="003E354D" w:rsidRDefault="003E354D" w:rsidP="003E354D">
      <w:pPr>
        <w:numPr>
          <w:ilvl w:val="1"/>
          <w:numId w:val="2"/>
        </w:numPr>
        <w:jc w:val="both"/>
        <w:rPr>
          <w:szCs w:val="24"/>
        </w:rPr>
      </w:pPr>
      <w:r w:rsidRPr="003E354D">
        <w:rPr>
          <w:szCs w:val="24"/>
        </w:rPr>
        <w:t>Accurate Freq. &amp; time sync.</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lastRenderedPageBreak/>
        <w:t>Doppler Effect</w:t>
      </w:r>
    </w:p>
    <w:p w:rsidR="003E354D" w:rsidRPr="003E354D" w:rsidRDefault="003E354D" w:rsidP="003E354D">
      <w:pPr>
        <w:numPr>
          <w:ilvl w:val="1"/>
          <w:numId w:val="2"/>
        </w:numPr>
        <w:jc w:val="both"/>
        <w:rPr>
          <w:szCs w:val="24"/>
        </w:rPr>
      </w:pPr>
      <w:r w:rsidRPr="003E354D">
        <w:rPr>
          <w:szCs w:val="24"/>
        </w:rPr>
        <w:t>Large amount of Doppler shift</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t>High-speed Handover</w:t>
      </w:r>
    </w:p>
    <w:p w:rsidR="003E354D" w:rsidRPr="003E354D" w:rsidRDefault="003E354D" w:rsidP="003E354D">
      <w:pPr>
        <w:numPr>
          <w:ilvl w:val="1"/>
          <w:numId w:val="2"/>
        </w:numPr>
        <w:jc w:val="both"/>
        <w:rPr>
          <w:szCs w:val="24"/>
        </w:rPr>
      </w:pPr>
      <w:r w:rsidRPr="003E354D">
        <w:rPr>
          <w:szCs w:val="24"/>
        </w:rPr>
        <w:t>Massive HO</w:t>
      </w:r>
    </w:p>
    <w:p w:rsidR="003E354D" w:rsidRPr="003E354D" w:rsidRDefault="003E354D" w:rsidP="003E354D">
      <w:pPr>
        <w:numPr>
          <w:ilvl w:val="1"/>
          <w:numId w:val="2"/>
        </w:numPr>
        <w:jc w:val="both"/>
        <w:rPr>
          <w:szCs w:val="24"/>
        </w:rPr>
      </w:pPr>
      <w:r w:rsidRPr="003E354D">
        <w:rPr>
          <w:szCs w:val="24"/>
        </w:rPr>
        <w:t>Frequent HO</w:t>
      </w:r>
    </w:p>
    <w:p w:rsidR="003E354D" w:rsidRPr="003E354D" w:rsidRDefault="003E354D" w:rsidP="003E354D">
      <w:pPr>
        <w:numPr>
          <w:ilvl w:val="1"/>
          <w:numId w:val="2"/>
        </w:numPr>
        <w:jc w:val="both"/>
        <w:rPr>
          <w:szCs w:val="24"/>
        </w:rPr>
      </w:pPr>
      <w:r w:rsidRPr="003E354D">
        <w:rPr>
          <w:szCs w:val="24"/>
        </w:rPr>
        <w:t>Outage/failure rate</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t>Tunnel Environment</w:t>
      </w:r>
    </w:p>
    <w:p w:rsidR="003E354D" w:rsidRPr="003E354D" w:rsidRDefault="003E354D" w:rsidP="003E354D">
      <w:pPr>
        <w:numPr>
          <w:ilvl w:val="1"/>
          <w:numId w:val="2"/>
        </w:numPr>
        <w:jc w:val="both"/>
        <w:rPr>
          <w:szCs w:val="24"/>
        </w:rPr>
      </w:pPr>
      <w:r w:rsidRPr="003E354D">
        <w:rPr>
          <w:szCs w:val="24"/>
        </w:rPr>
        <w:t>Dedicated channel environment</w:t>
      </w:r>
    </w:p>
    <w:p w:rsidR="003E354D" w:rsidRPr="003E354D" w:rsidRDefault="003E354D" w:rsidP="003E354D">
      <w:pPr>
        <w:numPr>
          <w:ilvl w:val="1"/>
          <w:numId w:val="2"/>
        </w:numPr>
        <w:jc w:val="both"/>
        <w:rPr>
          <w:szCs w:val="24"/>
        </w:rPr>
      </w:pPr>
      <w:r w:rsidRPr="003E354D">
        <w:rPr>
          <w:szCs w:val="24"/>
        </w:rPr>
        <w:t xml:space="preserve">Block of </w:t>
      </w:r>
      <w:proofErr w:type="spellStart"/>
      <w:r w:rsidRPr="003E354D">
        <w:rPr>
          <w:szCs w:val="24"/>
        </w:rPr>
        <w:t>LoS</w:t>
      </w:r>
      <w:proofErr w:type="spellEnd"/>
      <w:r w:rsidRPr="003E354D">
        <w:rPr>
          <w:szCs w:val="24"/>
        </w:rPr>
        <w:t xml:space="preserve"> link</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t>E</w:t>
      </w:r>
      <w:r w:rsidRPr="003E354D">
        <w:rPr>
          <w:rFonts w:hint="eastAsia"/>
          <w:szCs w:val="24"/>
        </w:rPr>
        <w:t>tc.</w:t>
      </w:r>
    </w:p>
    <w:p w:rsidR="008D7289" w:rsidRPr="003E354D" w:rsidRDefault="008D7289" w:rsidP="008D7289">
      <w:pPr>
        <w:jc w:val="both"/>
        <w:rPr>
          <w:szCs w:val="24"/>
          <w:lang w:val="x-none"/>
        </w:rPr>
      </w:pPr>
    </w:p>
    <w:p w:rsidR="008D7289" w:rsidRPr="001146B2" w:rsidRDefault="008D7289" w:rsidP="001146B2">
      <w:pPr>
        <w:pStyle w:val="ab"/>
        <w:numPr>
          <w:ilvl w:val="0"/>
          <w:numId w:val="4"/>
        </w:numPr>
        <w:ind w:leftChars="0"/>
        <w:jc w:val="both"/>
        <w:rPr>
          <w:b/>
          <w:szCs w:val="24"/>
          <w:lang w:val="x-none"/>
        </w:rPr>
      </w:pPr>
      <w:r w:rsidRPr="001146B2">
        <w:rPr>
          <w:rFonts w:hint="eastAsia"/>
          <w:b/>
          <w:szCs w:val="24"/>
          <w:lang w:val="x-none"/>
        </w:rPr>
        <w:t>REFERENCES</w:t>
      </w:r>
    </w:p>
    <w:p w:rsidR="008D7289" w:rsidRDefault="008D7289" w:rsidP="008D7289">
      <w:pPr>
        <w:jc w:val="both"/>
        <w:rPr>
          <w:szCs w:val="24"/>
          <w:lang w:val="x-none"/>
        </w:rPr>
      </w:pPr>
    </w:p>
    <w:p w:rsidR="009C4FEC" w:rsidRPr="00760179" w:rsidRDefault="009C4FEC" w:rsidP="008D7289">
      <w:pPr>
        <w:pStyle w:val="ab"/>
        <w:numPr>
          <w:ilvl w:val="0"/>
          <w:numId w:val="3"/>
        </w:numPr>
        <w:ind w:leftChars="0"/>
        <w:jc w:val="both"/>
        <w:rPr>
          <w:szCs w:val="24"/>
          <w:lang w:val="x-none"/>
        </w:rPr>
      </w:pPr>
      <w:bookmarkStart w:id="3" w:name="_Ref410647970"/>
      <w:r w:rsidRPr="00760179">
        <w:rPr>
          <w:szCs w:val="24"/>
          <w:lang w:val="x-none"/>
        </w:rPr>
        <w:t>IMT Vision – “Framework and overall objectives of the future development of IMT for 2020 and beyond</w:t>
      </w:r>
      <w:bookmarkEnd w:id="3"/>
    </w:p>
    <w:p w:rsidR="008D7289" w:rsidRDefault="008D7289">
      <w:pPr>
        <w:widowControl w:val="0"/>
        <w:spacing w:before="120"/>
      </w:pPr>
    </w:p>
    <w:sectPr w:rsidR="008D7289">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BAB" w:rsidRDefault="00243BAB">
      <w:r>
        <w:separator/>
      </w:r>
    </w:p>
  </w:endnote>
  <w:endnote w:type="continuationSeparator" w:id="0">
    <w:p w:rsidR="00243BAB" w:rsidRDefault="0024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442190">
        <w:rPr>
          <w:noProof/>
        </w:rPr>
        <w:t>Bing Hui; Junhyeong Kim</w:t>
      </w:r>
    </w:fldSimple>
    <w:r>
      <w:t xml:space="preserve">, </w:t>
    </w:r>
    <w:fldSimple w:instr=" DOCPROPERTY &quot;Company&quot;  \* MERGEFORMAT ">
      <w:r w:rsidR="00442190">
        <w:t>ETRI</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BAB" w:rsidRDefault="00243BAB">
      <w:r>
        <w:separator/>
      </w:r>
    </w:p>
  </w:footnote>
  <w:footnote w:type="continuationSeparator" w:id="0">
    <w:p w:rsidR="00243BAB" w:rsidRDefault="00243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23200">
      <w:rPr>
        <w:rFonts w:hint="eastAsia"/>
        <w:b/>
        <w:noProof/>
        <w:sz w:val="28"/>
      </w:rPr>
      <w:t>March</w:t>
    </w:r>
    <w:r w:rsidR="00223200">
      <w:rPr>
        <w:b/>
        <w:noProof/>
        <w:sz w:val="28"/>
      </w:rPr>
      <w:t>, 2015</w:t>
    </w:r>
    <w:r>
      <w:rPr>
        <w:b/>
        <w:sz w:val="28"/>
      </w:rPr>
      <w:fldChar w:fldCharType="end"/>
    </w:r>
    <w:r>
      <w:rPr>
        <w:b/>
        <w:sz w:val="28"/>
      </w:rPr>
      <w:tab/>
      <w:t xml:space="preserve"> IEEE P802.</w:t>
    </w:r>
    <w:r w:rsidR="00223200" w:rsidRPr="00223200">
      <w:rPr>
        <w:rFonts w:ascii="Verdana" w:hAnsi="Verdana"/>
        <w:b/>
        <w:bCs/>
        <w:color w:val="000000"/>
        <w:sz w:val="20"/>
        <w:shd w:val="clear" w:color="auto" w:fill="FFFFFF"/>
      </w:rPr>
      <w:t xml:space="preserve"> </w:t>
    </w:r>
    <w:r w:rsidR="00223200" w:rsidRPr="00223200">
      <w:rPr>
        <w:b/>
        <w:sz w:val="28"/>
      </w:rPr>
      <w:t>15-15-0152-00-hrrc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22CF9"/>
    <w:rsid w:val="00071486"/>
    <w:rsid w:val="000734D0"/>
    <w:rsid w:val="000E6A37"/>
    <w:rsid w:val="001131A3"/>
    <w:rsid w:val="0011365E"/>
    <w:rsid w:val="001146B2"/>
    <w:rsid w:val="00131621"/>
    <w:rsid w:val="00146CE1"/>
    <w:rsid w:val="001A2974"/>
    <w:rsid w:val="001A7E15"/>
    <w:rsid w:val="001F5D12"/>
    <w:rsid w:val="00223200"/>
    <w:rsid w:val="00243BAB"/>
    <w:rsid w:val="002C2600"/>
    <w:rsid w:val="00305AFF"/>
    <w:rsid w:val="00322EE2"/>
    <w:rsid w:val="003256AA"/>
    <w:rsid w:val="00353F0B"/>
    <w:rsid w:val="00363028"/>
    <w:rsid w:val="003C22E1"/>
    <w:rsid w:val="003D325D"/>
    <w:rsid w:val="003E354D"/>
    <w:rsid w:val="00442190"/>
    <w:rsid w:val="00454727"/>
    <w:rsid w:val="004571EB"/>
    <w:rsid w:val="00472BC1"/>
    <w:rsid w:val="00474713"/>
    <w:rsid w:val="004758C6"/>
    <w:rsid w:val="0048109E"/>
    <w:rsid w:val="004A0EAE"/>
    <w:rsid w:val="004B3D48"/>
    <w:rsid w:val="004B6794"/>
    <w:rsid w:val="005037FB"/>
    <w:rsid w:val="00507186"/>
    <w:rsid w:val="005442DD"/>
    <w:rsid w:val="00557D0F"/>
    <w:rsid w:val="00575B07"/>
    <w:rsid w:val="005941A8"/>
    <w:rsid w:val="005C4467"/>
    <w:rsid w:val="005E040D"/>
    <w:rsid w:val="006350F1"/>
    <w:rsid w:val="00645DEA"/>
    <w:rsid w:val="0065279B"/>
    <w:rsid w:val="00653A8D"/>
    <w:rsid w:val="00664BBB"/>
    <w:rsid w:val="0066568C"/>
    <w:rsid w:val="00677E29"/>
    <w:rsid w:val="006C61A1"/>
    <w:rsid w:val="006C7072"/>
    <w:rsid w:val="006D3CAA"/>
    <w:rsid w:val="006E6CA7"/>
    <w:rsid w:val="006F0A29"/>
    <w:rsid w:val="007154CD"/>
    <w:rsid w:val="00743FEA"/>
    <w:rsid w:val="007457C8"/>
    <w:rsid w:val="00760179"/>
    <w:rsid w:val="007736C6"/>
    <w:rsid w:val="007740E2"/>
    <w:rsid w:val="0078297D"/>
    <w:rsid w:val="007E78D9"/>
    <w:rsid w:val="00834AF4"/>
    <w:rsid w:val="008433DF"/>
    <w:rsid w:val="008435D7"/>
    <w:rsid w:val="008A3C21"/>
    <w:rsid w:val="008D7289"/>
    <w:rsid w:val="00926101"/>
    <w:rsid w:val="00931896"/>
    <w:rsid w:val="00982A06"/>
    <w:rsid w:val="009865C7"/>
    <w:rsid w:val="009C01DA"/>
    <w:rsid w:val="009C4FEC"/>
    <w:rsid w:val="009D5D76"/>
    <w:rsid w:val="009D69C5"/>
    <w:rsid w:val="00A419E0"/>
    <w:rsid w:val="00A455ED"/>
    <w:rsid w:val="00A67839"/>
    <w:rsid w:val="00AA5566"/>
    <w:rsid w:val="00AA768A"/>
    <w:rsid w:val="00B23637"/>
    <w:rsid w:val="00B246DC"/>
    <w:rsid w:val="00B63340"/>
    <w:rsid w:val="00BB1982"/>
    <w:rsid w:val="00BC0CD3"/>
    <w:rsid w:val="00C061F1"/>
    <w:rsid w:val="00C10948"/>
    <w:rsid w:val="00C120BE"/>
    <w:rsid w:val="00C34A27"/>
    <w:rsid w:val="00C35291"/>
    <w:rsid w:val="00C6288C"/>
    <w:rsid w:val="00CA18AF"/>
    <w:rsid w:val="00CD35DA"/>
    <w:rsid w:val="00D0257A"/>
    <w:rsid w:val="00D151CB"/>
    <w:rsid w:val="00D21A20"/>
    <w:rsid w:val="00D57FC2"/>
    <w:rsid w:val="00D96BCC"/>
    <w:rsid w:val="00D97869"/>
    <w:rsid w:val="00DC37A1"/>
    <w:rsid w:val="00DD626B"/>
    <w:rsid w:val="00E85DAF"/>
    <w:rsid w:val="00EB5F76"/>
    <w:rsid w:val="00EC0AF8"/>
    <w:rsid w:val="00EF0F99"/>
    <w:rsid w:val="00F02955"/>
    <w:rsid w:val="00F02B24"/>
    <w:rsid w:val="00F35D6F"/>
    <w:rsid w:val="00F37C41"/>
    <w:rsid w:val="00F7614A"/>
    <w:rsid w:val="00F85EBE"/>
    <w:rsid w:val="00F948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목록 단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메모 텍스트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메모 주제 Char"/>
    <w:basedOn w:val="Char1"/>
    <w:link w:val="ae"/>
    <w:uiPriority w:val="99"/>
    <w:semiHidden/>
    <w:rsid w:val="0065279B"/>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목록 단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메모 텍스트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메모 주제 Char"/>
    <w:basedOn w:val="Char1"/>
    <w:link w:val="ae"/>
    <w:uiPriority w:val="99"/>
    <w:semiHidden/>
    <w:rsid w:val="0065279B"/>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6012BF99-99C8-4FD7-89E0-A2DC5E40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188</TotalTime>
  <Pages>4</Pages>
  <Words>725</Words>
  <Characters>4133</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 Junhyeong Kim</dc:creator>
  <dc:description>&lt;218 Gajeong-ro, Yuseong-gu, Daejeon, 305-700, KOREA&gt;_x000d_
TELEPHONE: &lt;+82-42-860-5324&gt;_x000d_
FAX: &lt;+82-42-860-6732&gt;_x000d_
EMAIL: &lt;binghui@etri.re.kr&gt;</dc:description>
  <cp:lastModifiedBy>Admin</cp:lastModifiedBy>
  <cp:revision>87</cp:revision>
  <cp:lastPrinted>1900-12-31T15:00:00Z</cp:lastPrinted>
  <dcterms:created xsi:type="dcterms:W3CDTF">2015-01-30T08:01:00Z</dcterms:created>
  <dcterms:modified xsi:type="dcterms:W3CDTF">2015-02-27T04:22:00Z</dcterms:modified>
  <cp:category>15-????-00-hrrc</cp:category>
</cp:coreProperties>
</file>