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4218B0" w:rsidP="00BB214A">
            <w:pPr>
              <w:pStyle w:val="covertext"/>
              <w:jc w:val="both"/>
              <w:rPr>
                <w:lang w:val="fr-FR"/>
              </w:rPr>
            </w:pPr>
            <w:r>
              <w:rPr>
                <w:rFonts w:hint="eastAsia"/>
              </w:rPr>
              <w:t>Pro</w:t>
            </w:r>
            <w:r w:rsidR="00BB214A">
              <w:rPr>
                <w:rFonts w:hint="eastAsia"/>
              </w:rPr>
              <w:t>posed suitable frequency ranges in section 5 of a preliminary draft new Report ITU-R SM.[THZ.TREND]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4218B0">
              <w:rPr>
                <w:rFonts w:hint="eastAsia"/>
              </w:rPr>
              <w:t>October</w:t>
            </w:r>
            <w:r w:rsidR="006332F3" w:rsidRPr="00E766E5">
              <w:t xml:space="preserve">, </w:t>
            </w:r>
            <w:r w:rsidR="002771F8" w:rsidRPr="00E766E5">
              <w:t>20</w:t>
            </w:r>
            <w:r w:rsidR="002771F8">
              <w:t>1</w:t>
            </w:r>
            <w:r w:rsidR="00CA3DE7">
              <w:t>4</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4218B0">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004218B0">
              <w:rPr>
                <w:rFonts w:hint="eastAsia"/>
                <w:szCs w:val="24"/>
              </w:rPr>
              <w:t>kasa</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BB214A">
            <w:pPr>
              <w:pStyle w:val="covertext"/>
            </w:pPr>
            <w:r w:rsidRPr="005C1952">
              <w:t>The aim of</w:t>
            </w:r>
            <w:r>
              <w:t xml:space="preserve"> this contribution is </w:t>
            </w:r>
            <w:r w:rsidR="00BB214A">
              <w:rPr>
                <w:rFonts w:hint="eastAsia"/>
              </w:rPr>
              <w:t>to provide suitable</w:t>
            </w:r>
            <w:r w:rsidR="004218B0">
              <w:rPr>
                <w:rFonts w:hint="eastAsia"/>
              </w:rPr>
              <w:t xml:space="preserve"> freq</w:t>
            </w:r>
            <w:r w:rsidR="00BB214A">
              <w:rPr>
                <w:rFonts w:hint="eastAsia"/>
              </w:rPr>
              <w:t>uency ranges which may be interest to</w:t>
            </w:r>
            <w:r w:rsidR="004218B0">
              <w:rPr>
                <w:rFonts w:hint="eastAsia"/>
              </w:rPr>
              <w:t xml:space="preserve"> IEEE 802.15.3d standard.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DE1ECD" w:rsidP="00636112">
            <w:pPr>
              <w:pStyle w:val="covertext"/>
            </w:pPr>
            <w:r>
              <w:rPr>
                <w:rFonts w:hint="eastAsia"/>
              </w:rPr>
              <w:t xml:space="preserve">Proposing </w:t>
            </w:r>
            <w:r w:rsidR="00636112">
              <w:rPr>
                <w:rFonts w:hint="eastAsia"/>
              </w:rPr>
              <w:t xml:space="preserve">to add </w:t>
            </w:r>
            <w:r w:rsidR="004218B0">
              <w:rPr>
                <w:rFonts w:hint="eastAsia"/>
              </w:rPr>
              <w:t xml:space="preserve">several frequency ranges </w:t>
            </w:r>
            <w:r w:rsidR="00E13320">
              <w:rPr>
                <w:rFonts w:hint="eastAsia"/>
              </w:rPr>
              <w:t>in</w:t>
            </w:r>
            <w:r w:rsidR="00BB214A">
              <w:rPr>
                <w:rFonts w:hint="eastAsia"/>
              </w:rPr>
              <w:t xml:space="preserve"> section 5 of</w:t>
            </w:r>
            <w:r w:rsidR="00636112">
              <w:rPr>
                <w:rFonts w:hint="eastAsia"/>
              </w:rPr>
              <w:t xml:space="preserve"> a preliminary draft new Report ITU-R SM</w:t>
            </w:r>
            <w:proofErr w:type="gramStart"/>
            <w:r w:rsidR="00636112">
              <w:rPr>
                <w:rFonts w:hint="eastAsia"/>
              </w:rPr>
              <w:t>.[</w:t>
            </w:r>
            <w:proofErr w:type="gramEnd"/>
            <w:r w:rsidR="00636112">
              <w:rPr>
                <w:rFonts w:hint="eastAsia"/>
              </w:rPr>
              <w:t xml:space="preserve">THZ.TREND], taking into account </w:t>
            </w:r>
            <w:r w:rsidR="00636112">
              <w:t>propagation</w:t>
            </w:r>
            <w:r w:rsidR="00636112">
              <w:rPr>
                <w:rFonts w:hint="eastAsia"/>
              </w:rPr>
              <w:t xml:space="preserve"> characteristics of radio waves.</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4218B0" w:rsidRDefault="004218B0">
      <w:pPr>
        <w:rPr>
          <w:b/>
          <w:sz w:val="28"/>
        </w:rPr>
      </w:pPr>
      <w:r>
        <w:rPr>
          <w:b/>
          <w:sz w:val="28"/>
        </w:rPr>
        <w:br w:type="page"/>
      </w:r>
    </w:p>
    <w:p w:rsidR="002E03B9" w:rsidRDefault="00636112" w:rsidP="00636112">
      <w:pPr>
        <w:rPr>
          <w:szCs w:val="24"/>
        </w:rPr>
      </w:pPr>
      <w:r w:rsidRPr="00636112">
        <w:rPr>
          <w:rFonts w:hint="eastAsia"/>
          <w:szCs w:val="24"/>
        </w:rPr>
        <w:lastRenderedPageBreak/>
        <w:t xml:space="preserve">At the </w:t>
      </w:r>
      <w:r>
        <w:rPr>
          <w:rFonts w:hint="eastAsia"/>
          <w:szCs w:val="24"/>
        </w:rPr>
        <w:t>last IEEE802.15.3d meeting</w:t>
      </w:r>
      <w:r w:rsidR="00D93706">
        <w:rPr>
          <w:rFonts w:hint="eastAsia"/>
          <w:szCs w:val="24"/>
        </w:rPr>
        <w:t xml:space="preserve"> in Athens</w:t>
      </w:r>
      <w:r>
        <w:rPr>
          <w:rFonts w:hint="eastAsia"/>
          <w:szCs w:val="24"/>
        </w:rPr>
        <w:t xml:space="preserve">, the </w:t>
      </w:r>
      <w:proofErr w:type="gramStart"/>
      <w:r>
        <w:rPr>
          <w:rFonts w:hint="eastAsia"/>
          <w:szCs w:val="24"/>
        </w:rPr>
        <w:t xml:space="preserve">discussion of frequency ranges of interest </w:t>
      </w:r>
      <w:r w:rsidR="00A2035A">
        <w:rPr>
          <w:rFonts w:hint="eastAsia"/>
          <w:szCs w:val="24"/>
        </w:rPr>
        <w:t xml:space="preserve">for IEEE802.15.3d </w:t>
      </w:r>
      <w:r>
        <w:rPr>
          <w:rFonts w:hint="eastAsia"/>
          <w:szCs w:val="24"/>
        </w:rPr>
        <w:t>were</w:t>
      </w:r>
      <w:proofErr w:type="gramEnd"/>
      <w:r>
        <w:rPr>
          <w:rFonts w:hint="eastAsia"/>
          <w:szCs w:val="24"/>
        </w:rPr>
        <w:t xml:space="preserve"> postponed </w:t>
      </w:r>
      <w:r w:rsidR="00D93706">
        <w:rPr>
          <w:rFonts w:hint="eastAsia"/>
          <w:szCs w:val="24"/>
        </w:rPr>
        <w:t xml:space="preserve">to the next teleconference. This contribution provides several </w:t>
      </w:r>
      <w:r w:rsidR="00A2035A">
        <w:rPr>
          <w:rFonts w:hint="eastAsia"/>
          <w:szCs w:val="24"/>
        </w:rPr>
        <w:t xml:space="preserve">suitable </w:t>
      </w:r>
      <w:proofErr w:type="gramStart"/>
      <w:r w:rsidR="00D93706">
        <w:rPr>
          <w:rFonts w:hint="eastAsia"/>
          <w:szCs w:val="24"/>
        </w:rPr>
        <w:t>frequency</w:t>
      </w:r>
      <w:proofErr w:type="gramEnd"/>
      <w:r w:rsidR="00D93706">
        <w:rPr>
          <w:rFonts w:hint="eastAsia"/>
          <w:szCs w:val="24"/>
        </w:rPr>
        <w:t xml:space="preserve"> r</w:t>
      </w:r>
      <w:r w:rsidR="00A2035A">
        <w:rPr>
          <w:rFonts w:hint="eastAsia"/>
          <w:szCs w:val="24"/>
        </w:rPr>
        <w:t xml:space="preserve">anges which may be utilized for </w:t>
      </w:r>
      <w:r w:rsidR="00A2035A">
        <w:rPr>
          <w:szCs w:val="24"/>
        </w:rPr>
        <w:t>wireless</w:t>
      </w:r>
      <w:r w:rsidR="00A2035A">
        <w:rPr>
          <w:rFonts w:hint="eastAsia"/>
          <w:szCs w:val="24"/>
        </w:rPr>
        <w:t xml:space="preserve"> devices such as IEEE802.15.3d.</w:t>
      </w:r>
    </w:p>
    <w:p w:rsidR="00A2035A" w:rsidRDefault="00A2035A" w:rsidP="00636112">
      <w:pPr>
        <w:rPr>
          <w:szCs w:val="24"/>
        </w:rPr>
      </w:pPr>
    </w:p>
    <w:p w:rsidR="00D93706" w:rsidRDefault="00A2035A" w:rsidP="00636112">
      <w:pPr>
        <w:rPr>
          <w:szCs w:val="24"/>
        </w:rPr>
      </w:pPr>
      <w:r>
        <w:rPr>
          <w:rFonts w:hint="eastAsia"/>
          <w:szCs w:val="24"/>
        </w:rPr>
        <w:t xml:space="preserve">Figure 1 shows </w:t>
      </w:r>
      <w:r w:rsidR="0074470E" w:rsidRPr="0074470E">
        <w:rPr>
          <w:szCs w:val="24"/>
        </w:rPr>
        <w:t>gaseous</w:t>
      </w:r>
      <w:r w:rsidR="0074470E">
        <w:rPr>
          <w:rFonts w:hint="eastAsia"/>
          <w:szCs w:val="24"/>
        </w:rPr>
        <w:t xml:space="preserve"> </w:t>
      </w:r>
      <w:r w:rsidR="0074470E">
        <w:rPr>
          <w:szCs w:val="24"/>
        </w:rPr>
        <w:t>attenuation</w:t>
      </w:r>
      <w:r w:rsidR="0074470E">
        <w:rPr>
          <w:rFonts w:hint="eastAsia"/>
          <w:szCs w:val="24"/>
        </w:rPr>
        <w:t xml:space="preserve"> characteristics in the frequency range from 100 GHz to 1000 GHz [1]. There are the specific resonant attenuation by </w:t>
      </w:r>
      <w:r w:rsidR="0074470E">
        <w:rPr>
          <w:szCs w:val="24"/>
        </w:rPr>
        <w:t xml:space="preserve">oxygen and water </w:t>
      </w:r>
      <w:proofErr w:type="spellStart"/>
      <w:r w:rsidR="0074470E">
        <w:rPr>
          <w:szCs w:val="24"/>
        </w:rPr>
        <w:t>vapour</w:t>
      </w:r>
      <w:proofErr w:type="spellEnd"/>
      <w:r w:rsidR="0074470E">
        <w:rPr>
          <w:rFonts w:hint="eastAsia"/>
          <w:szCs w:val="24"/>
        </w:rPr>
        <w:t>.</w:t>
      </w:r>
      <w:r w:rsidR="00483F9A">
        <w:rPr>
          <w:rFonts w:hint="eastAsia"/>
          <w:szCs w:val="24"/>
        </w:rPr>
        <w:t xml:space="preserve"> The contiguous band is simply estimated by avoiding the resonance attenuation lines. Table 1 summarizes the suitable frequency range and the contiguous bandwidth. </w:t>
      </w:r>
    </w:p>
    <w:p w:rsidR="00483F9A" w:rsidRDefault="00483F9A" w:rsidP="00636112">
      <w:pPr>
        <w:rPr>
          <w:szCs w:val="24"/>
        </w:rPr>
      </w:pPr>
    </w:p>
    <w:p w:rsidR="00483F9A" w:rsidRDefault="00483F9A" w:rsidP="00636112">
      <w:pPr>
        <w:rPr>
          <w:szCs w:val="24"/>
        </w:rPr>
      </w:pPr>
      <w:r>
        <w:rPr>
          <w:rFonts w:hint="eastAsia"/>
          <w:szCs w:val="24"/>
        </w:rPr>
        <w:t xml:space="preserve">IEEE802.15.3d is invited to consider these frequency ranges to </w:t>
      </w:r>
      <w:r w:rsidR="00E13320">
        <w:rPr>
          <w:rFonts w:hint="eastAsia"/>
          <w:szCs w:val="24"/>
        </w:rPr>
        <w:t xml:space="preserve">be </w:t>
      </w:r>
      <w:r>
        <w:rPr>
          <w:rFonts w:hint="eastAsia"/>
          <w:szCs w:val="24"/>
        </w:rPr>
        <w:t>include</w:t>
      </w:r>
      <w:r w:rsidR="00E13320">
        <w:rPr>
          <w:rFonts w:hint="eastAsia"/>
          <w:szCs w:val="24"/>
        </w:rPr>
        <w:t>d</w:t>
      </w:r>
      <w:r>
        <w:rPr>
          <w:rFonts w:hint="eastAsia"/>
          <w:szCs w:val="24"/>
        </w:rPr>
        <w:t xml:space="preserve"> </w:t>
      </w:r>
      <w:r w:rsidR="00E13320">
        <w:rPr>
          <w:rFonts w:hint="eastAsia"/>
          <w:szCs w:val="24"/>
        </w:rPr>
        <w:t xml:space="preserve">in section 5 of a preliminary draft </w:t>
      </w:r>
      <w:r w:rsidR="00E13320">
        <w:rPr>
          <w:rFonts w:hint="eastAsia"/>
        </w:rPr>
        <w:t>new Report ITU-R SM</w:t>
      </w:r>
      <w:proofErr w:type="gramStart"/>
      <w:r w:rsidR="00E13320">
        <w:rPr>
          <w:rFonts w:hint="eastAsia"/>
        </w:rPr>
        <w:t>.[</w:t>
      </w:r>
      <w:proofErr w:type="gramEnd"/>
      <w:r w:rsidR="00E13320">
        <w:rPr>
          <w:rFonts w:hint="eastAsia"/>
        </w:rPr>
        <w:t>THZ.TREND].</w:t>
      </w:r>
    </w:p>
    <w:p w:rsidR="00D93706" w:rsidRDefault="00D93706" w:rsidP="00636112">
      <w:pPr>
        <w:rPr>
          <w:szCs w:val="24"/>
        </w:rPr>
      </w:pPr>
    </w:p>
    <w:p w:rsidR="00D93706" w:rsidRDefault="007B13F6" w:rsidP="00D93706">
      <w:pPr>
        <w:jc w:val="center"/>
      </w:pPr>
      <w:r>
        <w:rPr>
          <w:noProof/>
        </w:rPr>
        <w:drawing>
          <wp:inline distT="0" distB="0" distL="0" distR="0">
            <wp:extent cx="5440680" cy="286918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164" cy="2871547"/>
                    </a:xfrm>
                    <a:prstGeom prst="rect">
                      <a:avLst/>
                    </a:prstGeom>
                    <a:noFill/>
                    <a:ln>
                      <a:noFill/>
                    </a:ln>
                  </pic:spPr>
                </pic:pic>
              </a:graphicData>
            </a:graphic>
          </wp:inline>
        </w:drawing>
      </w:r>
    </w:p>
    <w:p w:rsidR="00D93706" w:rsidRDefault="00D93706" w:rsidP="00D93706">
      <w:pPr>
        <w:jc w:val="center"/>
      </w:pPr>
      <w:r>
        <w:rPr>
          <w:rFonts w:hint="eastAsia"/>
        </w:rPr>
        <w:t>Figure 1 Attenuation characteristic</w:t>
      </w:r>
      <w:r w:rsidR="00A2035A">
        <w:rPr>
          <w:rFonts w:hint="eastAsia"/>
        </w:rPr>
        <w:t>s and available contiguous bandwidth</w:t>
      </w:r>
      <w:r>
        <w:rPr>
          <w:rFonts w:hint="eastAsia"/>
        </w:rPr>
        <w:t xml:space="preserve"> in the frequency range from 100 GHz to 1000 GHz.</w:t>
      </w:r>
    </w:p>
    <w:p w:rsidR="00D93706" w:rsidRDefault="00D93706" w:rsidP="00483F9A"/>
    <w:p w:rsidR="00D93706" w:rsidRDefault="00A2035A" w:rsidP="00D93706">
      <w:pPr>
        <w:jc w:val="center"/>
      </w:pPr>
      <w:r>
        <w:rPr>
          <w:rFonts w:hint="eastAsia"/>
        </w:rPr>
        <w:t>Table 1 Suitable frequency range and contiguous bandwidth</w:t>
      </w:r>
    </w:p>
    <w:tbl>
      <w:tblPr>
        <w:tblStyle w:val="af9"/>
        <w:tblW w:w="0" w:type="auto"/>
        <w:tblInd w:w="817" w:type="dxa"/>
        <w:tblLook w:val="04A0" w:firstRow="1" w:lastRow="0" w:firstColumn="1" w:lastColumn="0" w:noHBand="0" w:noVBand="1"/>
      </w:tblPr>
      <w:tblGrid>
        <w:gridCol w:w="2835"/>
        <w:gridCol w:w="3427"/>
        <w:gridCol w:w="1818"/>
      </w:tblGrid>
      <w:tr w:rsidR="008778C5" w:rsidTr="008778C5">
        <w:tc>
          <w:tcPr>
            <w:tcW w:w="2835" w:type="dxa"/>
          </w:tcPr>
          <w:p w:rsidR="008778C5" w:rsidRDefault="008778C5" w:rsidP="007523C7">
            <w:pPr>
              <w:jc w:val="center"/>
              <w:rPr>
                <w:szCs w:val="24"/>
              </w:rPr>
            </w:pPr>
            <w:r>
              <w:rPr>
                <w:rFonts w:hint="eastAsia"/>
                <w:szCs w:val="24"/>
              </w:rPr>
              <w:t>Frequency range (GHz)</w:t>
            </w:r>
          </w:p>
        </w:tc>
        <w:tc>
          <w:tcPr>
            <w:tcW w:w="3427" w:type="dxa"/>
          </w:tcPr>
          <w:p w:rsidR="008778C5" w:rsidRDefault="008778C5" w:rsidP="007523C7">
            <w:pPr>
              <w:jc w:val="center"/>
              <w:rPr>
                <w:szCs w:val="24"/>
              </w:rPr>
            </w:pPr>
            <w:r>
              <w:rPr>
                <w:rFonts w:hint="eastAsia"/>
                <w:szCs w:val="24"/>
              </w:rPr>
              <w:t>Contiguous bandwidth (GHz)</w:t>
            </w:r>
          </w:p>
        </w:tc>
        <w:tc>
          <w:tcPr>
            <w:tcW w:w="1818" w:type="dxa"/>
          </w:tcPr>
          <w:p w:rsidR="008778C5" w:rsidRDefault="008778C5" w:rsidP="007523C7">
            <w:pPr>
              <w:jc w:val="center"/>
              <w:rPr>
                <w:szCs w:val="24"/>
              </w:rPr>
            </w:pPr>
            <w:r>
              <w:rPr>
                <w:rFonts w:hint="eastAsia"/>
                <w:szCs w:val="24"/>
              </w:rPr>
              <w:t>Loss (dB/km)</w:t>
            </w:r>
          </w:p>
        </w:tc>
      </w:tr>
      <w:tr w:rsidR="008778C5" w:rsidTr="008778C5">
        <w:tc>
          <w:tcPr>
            <w:tcW w:w="2835" w:type="dxa"/>
          </w:tcPr>
          <w:p w:rsidR="008778C5" w:rsidRDefault="008778C5" w:rsidP="007523C7">
            <w:pPr>
              <w:jc w:val="center"/>
              <w:rPr>
                <w:szCs w:val="24"/>
              </w:rPr>
            </w:pPr>
            <w:r>
              <w:rPr>
                <w:rFonts w:hint="eastAsia"/>
                <w:szCs w:val="24"/>
              </w:rPr>
              <w:t>200-320</w:t>
            </w:r>
          </w:p>
        </w:tc>
        <w:tc>
          <w:tcPr>
            <w:tcW w:w="3427" w:type="dxa"/>
          </w:tcPr>
          <w:p w:rsidR="008778C5" w:rsidRDefault="008778C5" w:rsidP="007523C7">
            <w:pPr>
              <w:jc w:val="center"/>
              <w:rPr>
                <w:szCs w:val="24"/>
              </w:rPr>
            </w:pPr>
            <w:r>
              <w:rPr>
                <w:rFonts w:hint="eastAsia"/>
                <w:szCs w:val="24"/>
              </w:rPr>
              <w:t>120</w:t>
            </w:r>
          </w:p>
        </w:tc>
        <w:tc>
          <w:tcPr>
            <w:tcW w:w="1818" w:type="dxa"/>
          </w:tcPr>
          <w:p w:rsidR="008778C5" w:rsidRDefault="008778C5" w:rsidP="007523C7">
            <w:pPr>
              <w:jc w:val="center"/>
              <w:rPr>
                <w:szCs w:val="24"/>
              </w:rPr>
            </w:pPr>
            <w:r>
              <w:rPr>
                <w:rFonts w:hint="eastAsia"/>
                <w:szCs w:val="24"/>
              </w:rPr>
              <w:t>&lt; 10</w:t>
            </w:r>
          </w:p>
        </w:tc>
      </w:tr>
      <w:tr w:rsidR="008778C5" w:rsidTr="008778C5">
        <w:tc>
          <w:tcPr>
            <w:tcW w:w="2835" w:type="dxa"/>
          </w:tcPr>
          <w:p w:rsidR="008778C5" w:rsidRDefault="008778C5" w:rsidP="007523C7">
            <w:pPr>
              <w:jc w:val="center"/>
              <w:rPr>
                <w:szCs w:val="24"/>
              </w:rPr>
            </w:pPr>
            <w:r>
              <w:rPr>
                <w:rFonts w:hint="eastAsia"/>
                <w:szCs w:val="24"/>
              </w:rPr>
              <w:t>275-320</w:t>
            </w:r>
          </w:p>
        </w:tc>
        <w:tc>
          <w:tcPr>
            <w:tcW w:w="3427" w:type="dxa"/>
          </w:tcPr>
          <w:p w:rsidR="008778C5" w:rsidRDefault="008778C5" w:rsidP="007523C7">
            <w:pPr>
              <w:jc w:val="center"/>
              <w:rPr>
                <w:szCs w:val="24"/>
              </w:rPr>
            </w:pPr>
            <w:r>
              <w:rPr>
                <w:rFonts w:hint="eastAsia"/>
                <w:szCs w:val="24"/>
              </w:rPr>
              <w:t>45</w:t>
            </w:r>
          </w:p>
        </w:tc>
        <w:tc>
          <w:tcPr>
            <w:tcW w:w="1818" w:type="dxa"/>
          </w:tcPr>
          <w:p w:rsidR="008778C5" w:rsidRDefault="008778C5" w:rsidP="007523C7">
            <w:pPr>
              <w:jc w:val="center"/>
              <w:rPr>
                <w:szCs w:val="24"/>
              </w:rPr>
            </w:pPr>
            <w:r>
              <w:rPr>
                <w:rFonts w:hint="eastAsia"/>
                <w:szCs w:val="24"/>
              </w:rPr>
              <w:t>&lt; 10</w:t>
            </w:r>
          </w:p>
        </w:tc>
      </w:tr>
      <w:tr w:rsidR="008778C5" w:rsidTr="008778C5">
        <w:tc>
          <w:tcPr>
            <w:tcW w:w="2835" w:type="dxa"/>
          </w:tcPr>
          <w:p w:rsidR="008778C5" w:rsidRDefault="008778C5" w:rsidP="007523C7">
            <w:pPr>
              <w:jc w:val="center"/>
              <w:rPr>
                <w:szCs w:val="24"/>
              </w:rPr>
            </w:pPr>
            <w:r>
              <w:rPr>
                <w:rFonts w:hint="eastAsia"/>
                <w:szCs w:val="24"/>
              </w:rPr>
              <w:t>335-360</w:t>
            </w:r>
          </w:p>
        </w:tc>
        <w:tc>
          <w:tcPr>
            <w:tcW w:w="3427" w:type="dxa"/>
          </w:tcPr>
          <w:p w:rsidR="008778C5" w:rsidRDefault="008778C5" w:rsidP="007523C7">
            <w:pPr>
              <w:jc w:val="center"/>
              <w:rPr>
                <w:szCs w:val="24"/>
              </w:rPr>
            </w:pPr>
            <w:r>
              <w:rPr>
                <w:rFonts w:hint="eastAsia"/>
                <w:szCs w:val="24"/>
              </w:rPr>
              <w:t>25</w:t>
            </w:r>
          </w:p>
        </w:tc>
        <w:tc>
          <w:tcPr>
            <w:tcW w:w="1818" w:type="dxa"/>
          </w:tcPr>
          <w:p w:rsidR="008778C5" w:rsidRDefault="008778C5" w:rsidP="007523C7">
            <w:pPr>
              <w:jc w:val="center"/>
              <w:rPr>
                <w:szCs w:val="24"/>
              </w:rPr>
            </w:pPr>
            <w:r>
              <w:rPr>
                <w:rFonts w:hint="eastAsia"/>
                <w:szCs w:val="24"/>
              </w:rPr>
              <w:t>&lt; 10</w:t>
            </w:r>
          </w:p>
        </w:tc>
      </w:tr>
      <w:tr w:rsidR="008778C5" w:rsidTr="008778C5">
        <w:tc>
          <w:tcPr>
            <w:tcW w:w="2835" w:type="dxa"/>
          </w:tcPr>
          <w:p w:rsidR="008778C5" w:rsidRDefault="00A2035A" w:rsidP="007523C7">
            <w:pPr>
              <w:jc w:val="center"/>
              <w:rPr>
                <w:szCs w:val="24"/>
              </w:rPr>
            </w:pPr>
            <w:r>
              <w:rPr>
                <w:rFonts w:hint="eastAsia"/>
                <w:szCs w:val="24"/>
              </w:rPr>
              <w:t>275-370</w:t>
            </w:r>
          </w:p>
        </w:tc>
        <w:tc>
          <w:tcPr>
            <w:tcW w:w="3427" w:type="dxa"/>
          </w:tcPr>
          <w:p w:rsidR="008778C5" w:rsidRDefault="00A2035A" w:rsidP="007523C7">
            <w:pPr>
              <w:jc w:val="center"/>
              <w:rPr>
                <w:szCs w:val="24"/>
              </w:rPr>
            </w:pPr>
            <w:r>
              <w:rPr>
                <w:rFonts w:hint="eastAsia"/>
                <w:szCs w:val="24"/>
              </w:rPr>
              <w:t>95</w:t>
            </w:r>
          </w:p>
        </w:tc>
        <w:tc>
          <w:tcPr>
            <w:tcW w:w="1818" w:type="dxa"/>
          </w:tcPr>
          <w:p w:rsidR="008778C5"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380-445</w:t>
            </w:r>
          </w:p>
        </w:tc>
        <w:tc>
          <w:tcPr>
            <w:tcW w:w="3427" w:type="dxa"/>
          </w:tcPr>
          <w:p w:rsidR="00A2035A" w:rsidRDefault="00A2035A" w:rsidP="007523C7">
            <w:pPr>
              <w:jc w:val="center"/>
              <w:rPr>
                <w:szCs w:val="24"/>
              </w:rPr>
            </w:pPr>
            <w:r>
              <w:rPr>
                <w:rFonts w:hint="eastAsia"/>
                <w:szCs w:val="24"/>
              </w:rPr>
              <w:t>65</w:t>
            </w:r>
          </w:p>
        </w:tc>
        <w:tc>
          <w:tcPr>
            <w:tcW w:w="1818" w:type="dxa"/>
          </w:tcPr>
          <w:p w:rsidR="00A2035A"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455-525</w:t>
            </w:r>
          </w:p>
        </w:tc>
        <w:tc>
          <w:tcPr>
            <w:tcW w:w="3427" w:type="dxa"/>
          </w:tcPr>
          <w:p w:rsidR="00A2035A" w:rsidRDefault="00A2035A" w:rsidP="007523C7">
            <w:pPr>
              <w:jc w:val="center"/>
              <w:rPr>
                <w:szCs w:val="24"/>
              </w:rPr>
            </w:pPr>
            <w:r>
              <w:rPr>
                <w:rFonts w:hint="eastAsia"/>
                <w:szCs w:val="24"/>
              </w:rPr>
              <w:t>70</w:t>
            </w:r>
          </w:p>
        </w:tc>
        <w:tc>
          <w:tcPr>
            <w:tcW w:w="1818" w:type="dxa"/>
          </w:tcPr>
          <w:p w:rsidR="00A2035A"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625-725</w:t>
            </w:r>
          </w:p>
        </w:tc>
        <w:tc>
          <w:tcPr>
            <w:tcW w:w="3427" w:type="dxa"/>
          </w:tcPr>
          <w:p w:rsidR="00A2035A" w:rsidRDefault="00A2035A" w:rsidP="007523C7">
            <w:pPr>
              <w:jc w:val="center"/>
              <w:rPr>
                <w:szCs w:val="24"/>
              </w:rPr>
            </w:pPr>
            <w:r>
              <w:rPr>
                <w:rFonts w:hint="eastAsia"/>
                <w:szCs w:val="24"/>
              </w:rPr>
              <w:t>100</w:t>
            </w:r>
          </w:p>
        </w:tc>
        <w:tc>
          <w:tcPr>
            <w:tcW w:w="1818" w:type="dxa"/>
          </w:tcPr>
          <w:p w:rsidR="00A2035A" w:rsidRDefault="00A2035A" w:rsidP="007523C7">
            <w:pPr>
              <w:jc w:val="center"/>
              <w:rPr>
                <w:szCs w:val="24"/>
              </w:rPr>
            </w:pPr>
            <w:r>
              <w:rPr>
                <w:rFonts w:hint="eastAsia"/>
                <w:szCs w:val="24"/>
              </w:rPr>
              <w:t>&lt; 100</w:t>
            </w:r>
          </w:p>
        </w:tc>
      </w:tr>
      <w:tr w:rsidR="00A2035A" w:rsidTr="008778C5">
        <w:tc>
          <w:tcPr>
            <w:tcW w:w="2835" w:type="dxa"/>
          </w:tcPr>
          <w:p w:rsidR="00A2035A" w:rsidRDefault="00A2035A" w:rsidP="007523C7">
            <w:pPr>
              <w:jc w:val="center"/>
              <w:rPr>
                <w:szCs w:val="24"/>
              </w:rPr>
            </w:pPr>
            <w:r>
              <w:rPr>
                <w:rFonts w:hint="eastAsia"/>
                <w:szCs w:val="24"/>
              </w:rPr>
              <w:t>780-910</w:t>
            </w:r>
          </w:p>
        </w:tc>
        <w:tc>
          <w:tcPr>
            <w:tcW w:w="3427" w:type="dxa"/>
          </w:tcPr>
          <w:p w:rsidR="00A2035A" w:rsidRDefault="00A2035A" w:rsidP="007523C7">
            <w:pPr>
              <w:jc w:val="center"/>
              <w:rPr>
                <w:szCs w:val="24"/>
              </w:rPr>
            </w:pPr>
            <w:r>
              <w:rPr>
                <w:rFonts w:hint="eastAsia"/>
                <w:szCs w:val="24"/>
              </w:rPr>
              <w:t>130</w:t>
            </w:r>
          </w:p>
        </w:tc>
        <w:tc>
          <w:tcPr>
            <w:tcW w:w="1818" w:type="dxa"/>
          </w:tcPr>
          <w:p w:rsidR="00A2035A" w:rsidRDefault="00A2035A" w:rsidP="007523C7">
            <w:pPr>
              <w:jc w:val="center"/>
              <w:rPr>
                <w:szCs w:val="24"/>
              </w:rPr>
            </w:pPr>
            <w:r>
              <w:rPr>
                <w:rFonts w:hint="eastAsia"/>
                <w:szCs w:val="24"/>
              </w:rPr>
              <w:t>&lt; 100</w:t>
            </w:r>
          </w:p>
        </w:tc>
      </w:tr>
    </w:tbl>
    <w:p w:rsidR="00D93706" w:rsidRDefault="00D93706" w:rsidP="00636112">
      <w:pPr>
        <w:rPr>
          <w:szCs w:val="24"/>
        </w:rPr>
      </w:pPr>
    </w:p>
    <w:p w:rsidR="00D93706" w:rsidRPr="00A2035A" w:rsidRDefault="00A2035A" w:rsidP="00636112">
      <w:pPr>
        <w:rPr>
          <w:b/>
          <w:szCs w:val="24"/>
        </w:rPr>
      </w:pPr>
      <w:r w:rsidRPr="00A2035A">
        <w:rPr>
          <w:rFonts w:hint="eastAsia"/>
          <w:b/>
          <w:szCs w:val="24"/>
        </w:rPr>
        <w:t>Reference</w:t>
      </w:r>
    </w:p>
    <w:p w:rsidR="00D93706" w:rsidRPr="00636112" w:rsidRDefault="00A2035A" w:rsidP="00636112">
      <w:pPr>
        <w:rPr>
          <w:szCs w:val="24"/>
        </w:rPr>
      </w:pPr>
      <w:r>
        <w:rPr>
          <w:rFonts w:hint="eastAsia"/>
          <w:szCs w:val="24"/>
        </w:rPr>
        <w:t xml:space="preserve">[1] </w:t>
      </w:r>
      <w:r w:rsidR="00577AA5" w:rsidRPr="00577AA5">
        <w:rPr>
          <w:szCs w:val="24"/>
        </w:rPr>
        <w:t>Recommendation ITU-R P.676-9</w:t>
      </w:r>
      <w:r w:rsidR="00577AA5">
        <w:rPr>
          <w:rFonts w:hint="eastAsia"/>
          <w:szCs w:val="24"/>
        </w:rPr>
        <w:t xml:space="preserve">, </w:t>
      </w:r>
      <w:r w:rsidR="00577AA5">
        <w:rPr>
          <w:szCs w:val="24"/>
        </w:rPr>
        <w:t>“</w:t>
      </w:r>
      <w:r w:rsidR="00577AA5" w:rsidRPr="00577AA5">
        <w:rPr>
          <w:szCs w:val="24"/>
        </w:rPr>
        <w:t>Attenuation by atmospheric gases</w:t>
      </w:r>
      <w:r w:rsidR="00577AA5">
        <w:rPr>
          <w:szCs w:val="24"/>
        </w:rPr>
        <w:t>”</w:t>
      </w:r>
    </w:p>
    <w:p w:rsidR="008F051D" w:rsidRPr="008F051D" w:rsidRDefault="008F051D" w:rsidP="008F051D"/>
    <w:sectPr w:rsidR="008F051D" w:rsidRPr="008F051D" w:rsidSect="00261CA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29" w:rsidRDefault="00F93629" w:rsidP="00764CD9">
      <w:r>
        <w:separator/>
      </w:r>
    </w:p>
  </w:endnote>
  <w:endnote w:type="continuationSeparator" w:id="0">
    <w:p w:rsidR="00F93629" w:rsidRDefault="00F93629"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7" w:rsidRDefault="003105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4218B0">
      <w:rPr>
        <w:rFonts w:hint="eastAsia"/>
        <w:lang w:val="de-DE"/>
      </w:rPr>
      <w:t>Akifumi Kasamatsu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29" w:rsidRDefault="00F93629" w:rsidP="00764CD9">
      <w:r>
        <w:separator/>
      </w:r>
    </w:p>
  </w:footnote>
  <w:footnote w:type="continuationSeparator" w:id="0">
    <w:p w:rsidR="00F93629" w:rsidRDefault="00F93629"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7" w:rsidRDefault="003105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0336A6" w:rsidRDefault="004218B0"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October</w:t>
    </w:r>
    <w:r>
      <w:rPr>
        <w:b/>
        <w:sz w:val="28"/>
      </w:rPr>
      <w:t xml:space="preserve"> 201</w:t>
    </w:r>
    <w:r>
      <w:rPr>
        <w:rFonts w:hint="eastAsia"/>
        <w:b/>
        <w:sz w:val="28"/>
      </w:rPr>
      <w:t>4</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C03BB0">
      <w:rPr>
        <w:b/>
        <w:sz w:val="28"/>
      </w:rPr>
      <w:t>14</w:t>
    </w:r>
    <w:r w:rsidR="003105B7">
      <w:rPr>
        <w:rFonts w:hint="eastAsia"/>
        <w:b/>
        <w:sz w:val="28"/>
      </w:rPr>
      <w:t>-0613</w:t>
    </w:r>
    <w:r w:rsidR="00A21B85">
      <w:rPr>
        <w:rFonts w:hint="eastAsia"/>
        <w:b/>
        <w:sz w:val="28"/>
      </w:rPr>
      <w:t>-0</w:t>
    </w:r>
    <w:r w:rsidR="00A9435B">
      <w:rPr>
        <w:b/>
        <w:sz w:val="28"/>
      </w:rPr>
      <w:t>1</w:t>
    </w:r>
    <w:bookmarkStart w:id="0" w:name="_GoBack"/>
    <w:bookmarkEnd w:id="0"/>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47C21"/>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04C"/>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05B7"/>
    <w:rsid w:val="003110F0"/>
    <w:rsid w:val="00311142"/>
    <w:rsid w:val="00311558"/>
    <w:rsid w:val="0031348B"/>
    <w:rsid w:val="00313D19"/>
    <w:rsid w:val="00320B25"/>
    <w:rsid w:val="003211E3"/>
    <w:rsid w:val="00322E4F"/>
    <w:rsid w:val="003236EA"/>
    <w:rsid w:val="00325FD6"/>
    <w:rsid w:val="00330B27"/>
    <w:rsid w:val="00331C09"/>
    <w:rsid w:val="00334E6F"/>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428B"/>
    <w:rsid w:val="00376269"/>
    <w:rsid w:val="00382880"/>
    <w:rsid w:val="003835C2"/>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18B0"/>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3F9A"/>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AA5"/>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9F5"/>
    <w:rsid w:val="005E1C6C"/>
    <w:rsid w:val="005E1F73"/>
    <w:rsid w:val="005E2AB7"/>
    <w:rsid w:val="005E35FC"/>
    <w:rsid w:val="005E3959"/>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112"/>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70E"/>
    <w:rsid w:val="00744AF2"/>
    <w:rsid w:val="007473A5"/>
    <w:rsid w:val="007523C7"/>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13F6"/>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778C5"/>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2A24"/>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035A"/>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1DA3"/>
    <w:rsid w:val="00A93185"/>
    <w:rsid w:val="00A939ED"/>
    <w:rsid w:val="00A9435B"/>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14A"/>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1CBB"/>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3706"/>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3320"/>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E36"/>
    <w:rsid w:val="00F80FDA"/>
    <w:rsid w:val="00F83043"/>
    <w:rsid w:val="00F8681F"/>
    <w:rsid w:val="00F93629"/>
    <w:rsid w:val="00F93D6B"/>
    <w:rsid w:val="00F94817"/>
    <w:rsid w:val="00F9797D"/>
    <w:rsid w:val="00FA2CBD"/>
    <w:rsid w:val="00FA2DF5"/>
    <w:rsid w:val="00FA7191"/>
    <w:rsid w:val="00FB0600"/>
    <w:rsid w:val="00FB30FC"/>
    <w:rsid w:val="00FB419D"/>
    <w:rsid w:val="00FB5CC1"/>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BF4FA-8C55-4758-B64A-3351B38D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380</Words>
  <Characters>2168</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2543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hiroyo ogawa</cp:lastModifiedBy>
  <cp:revision>26</cp:revision>
  <cp:lastPrinted>2013-02-07T14:59:00Z</cp:lastPrinted>
  <dcterms:created xsi:type="dcterms:W3CDTF">2014-07-17T00:23:00Z</dcterms:created>
  <dcterms:modified xsi:type="dcterms:W3CDTF">2014-10-20T12:39:00Z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