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825082">
        <w:trPr>
          <w:trHeight w:val="359"/>
          <w:jc w:val="center"/>
        </w:trPr>
        <w:tc>
          <w:tcPr>
            <w:tcW w:w="9576" w:type="dxa"/>
            <w:gridSpan w:val="5"/>
            <w:vAlign w:val="center"/>
          </w:tcPr>
          <w:p w:rsidR="00C723BC" w:rsidRPr="005A6346" w:rsidRDefault="00C723BC" w:rsidP="005A6346">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w:t>
            </w:r>
            <w:r w:rsidR="005A6346">
              <w:rPr>
                <w:rFonts w:eastAsia="ＭＳ 明朝" w:hint="eastAsia"/>
                <w:b w:val="0"/>
                <w:sz w:val="20"/>
                <w:lang w:eastAsia="ja-JP"/>
              </w:rPr>
              <w:t>6</w:t>
            </w:r>
            <w:r>
              <w:rPr>
                <w:rFonts w:hint="eastAsia"/>
                <w:b w:val="0"/>
                <w:sz w:val="20"/>
                <w:lang w:eastAsia="ko-KR"/>
              </w:rPr>
              <w:t>-</w:t>
            </w:r>
            <w:r w:rsidR="005A6346">
              <w:rPr>
                <w:rFonts w:eastAsia="ＭＳ 明朝" w:hint="eastAsia"/>
                <w:b w:val="0"/>
                <w:sz w:val="20"/>
                <w:lang w:eastAsia="ja-JP"/>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026CA" w:rsidRDefault="004D78F8"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p>
        </w:tc>
        <w:tc>
          <w:tcPr>
            <w:tcW w:w="1440" w:type="dxa"/>
            <w:vAlign w:val="center"/>
          </w:tcPr>
          <w:p w:rsidR="00C723BC" w:rsidRDefault="00C723BC" w:rsidP="00825082">
            <w:pPr>
              <w:pStyle w:val="T2"/>
              <w:spacing w:after="0"/>
              <w:ind w:left="0" w:right="0"/>
              <w:jc w:val="left"/>
              <w:rPr>
                <w:b w:val="0"/>
                <w:sz w:val="18"/>
                <w:szCs w:val="18"/>
                <w:lang w:eastAsia="ko-KR"/>
              </w:rPr>
            </w:pP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723BC"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w:t>
                            </w:r>
                            <w:r w:rsidR="005A6346">
                              <w:rPr>
                                <w:rFonts w:eastAsia="ＭＳ 明朝" w:hint="eastAsia"/>
                                <w:lang w:eastAsia="ja-JP"/>
                              </w:rPr>
                              <w:t>1</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CID</w:t>
                            </w:r>
                            <w:r w:rsidR="005A6346">
                              <w:rPr>
                                <w:rFonts w:eastAsia="ＭＳ 明朝" w:hint="eastAsia"/>
                                <w:lang w:eastAsia="ja-JP"/>
                              </w:rPr>
                              <w:t xml:space="preserve"> 207.</w:t>
                            </w:r>
                          </w:p>
                          <w:p w:rsidR="005E4BB5" w:rsidRDefault="005E4BB5" w:rsidP="006A605E">
                            <w:pPr>
                              <w:jc w:val="both"/>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w:t>
                      </w:r>
                      <w:r w:rsidR="005A6346">
                        <w:rPr>
                          <w:rFonts w:eastAsia="ＭＳ 明朝" w:hint="eastAsia"/>
                          <w:lang w:eastAsia="ja-JP"/>
                        </w:rPr>
                        <w:t>1</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CID</w:t>
                      </w:r>
                      <w:r w:rsidR="005A6346">
                        <w:rPr>
                          <w:rFonts w:eastAsia="ＭＳ 明朝" w:hint="eastAsia"/>
                          <w:lang w:eastAsia="ja-JP"/>
                        </w:rPr>
                        <w:t xml:space="preserve"> 207.</w:t>
                      </w:r>
                    </w:p>
                    <w:p w:rsidR="005E4BB5" w:rsidRDefault="005E4BB5" w:rsidP="006A605E">
                      <w:pPr>
                        <w:jc w:val="both"/>
                        <w:rPr>
                          <w:rFonts w:eastAsia="ＭＳ 明朝"/>
                          <w:lang w:eastAsia="ja-JP"/>
                        </w:rPr>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Pr="007C5D6D"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72148">
        <w:rPr>
          <w:rFonts w:eastAsia="ＭＳ 明朝" w:hint="eastAsia"/>
          <w:lang w:eastAsia="ja-JP"/>
        </w:rPr>
        <w:t>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3228A5">
      <w:pPr>
        <w:pStyle w:val="H4"/>
        <w:rPr>
          <w:rFonts w:eastAsia="ＭＳ 明朝"/>
          <w:w w:val="100"/>
          <w:lang w:eastAsia="ja-JP"/>
        </w:rPr>
      </w:pPr>
      <w:r>
        <w:rPr>
          <w:rFonts w:eastAsia="ＭＳ 明朝" w:hint="eastAsia"/>
          <w:w w:val="100"/>
          <w:lang w:eastAsia="ja-JP"/>
        </w:rPr>
        <w:t>2</w:t>
      </w:r>
      <w:r w:rsidR="005A6346">
        <w:rPr>
          <w:rFonts w:eastAsia="ＭＳ 明朝" w:hint="eastAsia"/>
          <w:w w:val="100"/>
          <w:lang w:eastAsia="ja-JP"/>
        </w:rPr>
        <w:t>8.1.1.</w:t>
      </w: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993"/>
        <w:gridCol w:w="2554"/>
        <w:gridCol w:w="2408"/>
        <w:gridCol w:w="1133"/>
      </w:tblGrid>
      <w:tr w:rsidR="001A6A35" w:rsidRPr="00957D5A" w:rsidTr="005A634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993"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554"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5A6346" w:rsidRPr="00957D5A" w:rsidTr="005A6346">
        <w:trPr>
          <w:trHeight w:val="2805"/>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A6346" w:rsidRPr="00A9438E" w:rsidRDefault="005A6346" w:rsidP="0084049D">
            <w:r w:rsidRPr="00A9438E">
              <w:t>207</w:t>
            </w:r>
          </w:p>
        </w:tc>
        <w:tc>
          <w:tcPr>
            <w:tcW w:w="708" w:type="dxa"/>
            <w:tcBorders>
              <w:top w:val="single" w:sz="4" w:space="0" w:color="auto"/>
              <w:left w:val="nil"/>
              <w:bottom w:val="single" w:sz="4" w:space="0" w:color="auto"/>
              <w:right w:val="single" w:sz="4" w:space="0" w:color="auto"/>
            </w:tcBorders>
            <w:shd w:val="clear" w:color="auto" w:fill="auto"/>
            <w:noWrap/>
          </w:tcPr>
          <w:p w:rsidR="005A6346" w:rsidRDefault="005A6346" w:rsidP="0084049D">
            <w:r w:rsidRPr="00A9438E">
              <w:t>1</w:t>
            </w:r>
          </w:p>
        </w:tc>
        <w:tc>
          <w:tcPr>
            <w:tcW w:w="992" w:type="dxa"/>
            <w:tcBorders>
              <w:top w:val="single" w:sz="4" w:space="0" w:color="auto"/>
              <w:left w:val="nil"/>
              <w:bottom w:val="single" w:sz="4" w:space="0" w:color="auto"/>
              <w:right w:val="single" w:sz="4" w:space="0" w:color="auto"/>
            </w:tcBorders>
            <w:shd w:val="clear" w:color="auto" w:fill="auto"/>
            <w:noWrap/>
          </w:tcPr>
          <w:p w:rsidR="005A6346" w:rsidRPr="005A6346" w:rsidRDefault="005A6346" w:rsidP="000F1A73">
            <w:pPr>
              <w:rPr>
                <w:rFonts w:eastAsia="ＭＳ 明朝"/>
                <w:lang w:eastAsia="ja-JP"/>
              </w:rPr>
            </w:pPr>
            <w:r>
              <w:rPr>
                <w:rFonts w:eastAsia="ＭＳ 明朝" w:hint="eastAsia"/>
                <w:lang w:eastAsia="ja-JP"/>
              </w:rPr>
              <w:t>21.2.2.1</w:t>
            </w:r>
          </w:p>
        </w:tc>
        <w:tc>
          <w:tcPr>
            <w:tcW w:w="993" w:type="dxa"/>
            <w:tcBorders>
              <w:top w:val="single" w:sz="4" w:space="0" w:color="auto"/>
              <w:left w:val="nil"/>
              <w:bottom w:val="single" w:sz="4" w:space="0" w:color="auto"/>
              <w:right w:val="single" w:sz="4" w:space="0" w:color="auto"/>
            </w:tcBorders>
            <w:shd w:val="clear" w:color="auto" w:fill="auto"/>
            <w:noWrap/>
          </w:tcPr>
          <w:p w:rsidR="005A6346" w:rsidRPr="005A6346" w:rsidRDefault="005A6346" w:rsidP="000F1A73">
            <w:pPr>
              <w:rPr>
                <w:rFonts w:eastAsia="ＭＳ 明朝"/>
                <w:lang w:eastAsia="ja-JP"/>
              </w:rPr>
            </w:pPr>
            <w:r>
              <w:rPr>
                <w:rFonts w:eastAsia="ＭＳ 明朝" w:hint="eastAsia"/>
                <w:lang w:eastAsia="ja-JP"/>
              </w:rPr>
              <w:t>18</w:t>
            </w:r>
          </w:p>
        </w:tc>
        <w:tc>
          <w:tcPr>
            <w:tcW w:w="2554" w:type="dxa"/>
            <w:tcBorders>
              <w:top w:val="single" w:sz="4" w:space="0" w:color="auto"/>
              <w:left w:val="nil"/>
              <w:bottom w:val="single" w:sz="4" w:space="0" w:color="auto"/>
              <w:right w:val="single" w:sz="4" w:space="0" w:color="auto"/>
            </w:tcBorders>
            <w:shd w:val="clear" w:color="000000" w:fill="FFFFFF"/>
          </w:tcPr>
          <w:p w:rsidR="005A6346" w:rsidRPr="005A6346" w:rsidRDefault="005A6346" w:rsidP="000F1A73">
            <w:pPr>
              <w:rPr>
                <w:rFonts w:ascii="Arial" w:hAnsi="Arial" w:cs="Arial"/>
              </w:rPr>
            </w:pPr>
            <w:r w:rsidRPr="005A6346">
              <w:rPr>
                <w:rFonts w:ascii="Arial" w:hAnsi="Arial" w:cs="Arial"/>
              </w:rPr>
              <w:t>The 50 kbps GFSK shall be supported? But Table 66d shows it is optional two out the three bands? BTW, in the same table, what does "common" mean? And how come 200 kbps shows as "common" for band 416 yet it is optional per clause 21.2?</w:t>
            </w:r>
          </w:p>
        </w:tc>
        <w:tc>
          <w:tcPr>
            <w:tcW w:w="2408" w:type="dxa"/>
            <w:tcBorders>
              <w:top w:val="single" w:sz="4" w:space="0" w:color="auto"/>
              <w:left w:val="nil"/>
              <w:bottom w:val="single" w:sz="4" w:space="0" w:color="auto"/>
              <w:right w:val="single" w:sz="4" w:space="0" w:color="auto"/>
            </w:tcBorders>
            <w:shd w:val="clear" w:color="000000" w:fill="FFFFFF"/>
          </w:tcPr>
          <w:p w:rsidR="005A6346" w:rsidRPr="00957D5A" w:rsidRDefault="005A6346" w:rsidP="006259D3">
            <w:pPr>
              <w:rPr>
                <w:rFonts w:ascii="Arial" w:eastAsia="ＭＳ Ｐゴシック" w:hAnsi="Arial" w:cs="Arial"/>
                <w:color w:val="000000"/>
                <w:sz w:val="20"/>
                <w:lang w:val="en-US" w:eastAsia="ja-JP"/>
              </w:rPr>
            </w:pPr>
            <w:r w:rsidRPr="005A6346">
              <w:rPr>
                <w:rFonts w:ascii="Arial" w:eastAsia="ＭＳ Ｐゴシック" w:hAnsi="Arial" w:cs="Arial"/>
                <w:color w:val="000000"/>
                <w:sz w:val="20"/>
                <w:lang w:val="en-US" w:eastAsia="ja-JP"/>
              </w:rPr>
              <w:t>see comment</w:t>
            </w:r>
          </w:p>
        </w:tc>
        <w:tc>
          <w:tcPr>
            <w:tcW w:w="1133" w:type="dxa"/>
            <w:tcBorders>
              <w:top w:val="single" w:sz="4" w:space="0" w:color="auto"/>
              <w:left w:val="nil"/>
              <w:bottom w:val="single" w:sz="4" w:space="0" w:color="auto"/>
              <w:right w:val="single" w:sz="4" w:space="0" w:color="auto"/>
            </w:tcBorders>
            <w:shd w:val="clear" w:color="auto" w:fill="auto"/>
          </w:tcPr>
          <w:p w:rsidR="005A6346" w:rsidRPr="00957D5A" w:rsidRDefault="005A6346" w:rsidP="00957D5A">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8B6B6F" w:rsidRDefault="008B6B6F">
      <w:pPr>
        <w:rPr>
          <w:rFonts w:eastAsia="ＭＳ 明朝"/>
          <w:szCs w:val="22"/>
          <w:lang w:val="en-US" w:eastAsia="ja-JP"/>
        </w:rPr>
      </w:pPr>
      <w:r w:rsidRPr="008B6B6F">
        <w:rPr>
          <w:rFonts w:eastAsia="ＭＳ 明朝"/>
          <w:szCs w:val="22"/>
          <w:lang w:val="en-US" w:eastAsia="ja-JP"/>
        </w:rPr>
        <w:t>CMB GFSK PHY with 50kb/s mode is prepared as a common mode for CMB GFSK PHY with modulation index 0.5 and 1.0 if a communication between these two modes</w:t>
      </w:r>
      <w:r w:rsidR="00272148">
        <w:rPr>
          <w:rFonts w:eastAsia="ＭＳ 明朝" w:hint="eastAsia"/>
          <w:szCs w:val="22"/>
          <w:lang w:val="en-US" w:eastAsia="ja-JP"/>
        </w:rPr>
        <w:t xml:space="preserve"> </w:t>
      </w:r>
      <w:r w:rsidR="00272148" w:rsidRPr="008B6B6F">
        <w:rPr>
          <w:rFonts w:eastAsia="ＭＳ 明朝"/>
          <w:szCs w:val="22"/>
          <w:lang w:val="en-US" w:eastAsia="ja-JP"/>
        </w:rPr>
        <w:t>is needed</w:t>
      </w:r>
      <w:r w:rsidRPr="008B6B6F">
        <w:rPr>
          <w:rFonts w:eastAsia="ＭＳ 明朝"/>
          <w:szCs w:val="22"/>
          <w:lang w:val="en-US" w:eastAsia="ja-JP"/>
        </w:rPr>
        <w:t>.</w:t>
      </w:r>
      <w:r>
        <w:rPr>
          <w:rFonts w:eastAsia="ＭＳ 明朝" w:hint="eastAsia"/>
          <w:szCs w:val="22"/>
          <w:lang w:val="en-US" w:eastAsia="ja-JP"/>
        </w:rPr>
        <w:t xml:space="preserve"> This is the same idea with CSM mode specified by IEEE802.15.4g</w:t>
      </w:r>
      <w:r w:rsidRPr="008B6B6F">
        <w:rPr>
          <w:rFonts w:eastAsia="ＭＳ 明朝"/>
          <w:szCs w:val="22"/>
          <w:lang w:val="en-US" w:eastAsia="ja-JP"/>
        </w:rPr>
        <w:t>. But current table 66d shown in below does not provide this information correctly as the commenter pointed out. The red colored part</w:t>
      </w:r>
      <w:r w:rsidR="00272148">
        <w:rPr>
          <w:rFonts w:eastAsia="ＭＳ 明朝" w:hint="eastAsia"/>
          <w:szCs w:val="22"/>
          <w:lang w:val="en-US" w:eastAsia="ja-JP"/>
        </w:rPr>
        <w:t xml:space="preserve"> is the part which provides wrong information</w:t>
      </w:r>
      <w:r w:rsidRPr="008B6B6F">
        <w:rPr>
          <w:rFonts w:eastAsia="ＭＳ 明朝"/>
          <w:szCs w:val="22"/>
          <w:lang w:val="en-US" w:eastAsia="ja-JP"/>
        </w:rPr>
        <w:t xml:space="preserve">. These parts </w:t>
      </w:r>
      <w:r>
        <w:rPr>
          <w:rFonts w:eastAsia="ＭＳ 明朝"/>
          <w:szCs w:val="22"/>
          <w:lang w:val="en-US" w:eastAsia="ja-JP"/>
        </w:rPr>
        <w:t>are not “optional” but “common”</w:t>
      </w:r>
      <w:r w:rsidR="004256AA">
        <w:rPr>
          <w:rFonts w:eastAsia="ＭＳ 明朝" w:hint="eastAsia"/>
          <w:szCs w:val="22"/>
          <w:lang w:val="en-US" w:eastAsia="ja-JP"/>
        </w:rPr>
        <w:t>.</w:t>
      </w:r>
    </w:p>
    <w:p w:rsidR="001A670B" w:rsidRPr="008B6B6F" w:rsidRDefault="001A670B">
      <w:pPr>
        <w:rPr>
          <w:rFonts w:eastAsia="ＭＳ 明朝"/>
          <w:szCs w:val="22"/>
          <w:lang w:val="en-US" w:eastAsia="ja-JP"/>
        </w:rPr>
      </w:pPr>
      <w:r>
        <w:rPr>
          <w:rFonts w:eastAsia="ＭＳ 明朝" w:hint="eastAsia"/>
          <w:szCs w:val="22"/>
          <w:lang w:val="en-US" w:eastAsia="ja-JP"/>
        </w:rPr>
        <w:t>Setting up of common mode follows IEEE802.15.4g.</w:t>
      </w:r>
    </w:p>
    <w:p w:rsidR="004256AA" w:rsidRPr="004256AA" w:rsidRDefault="004256AA">
      <w:pPr>
        <w:rPr>
          <w:rFonts w:eastAsia="ＭＳ 明朝"/>
          <w:szCs w:val="22"/>
          <w:lang w:val="en-US" w:eastAsia="ja-JP"/>
        </w:rPr>
      </w:pPr>
    </w:p>
    <w:p w:rsidR="008B6B6F" w:rsidRPr="001627DB" w:rsidRDefault="008B6B6F" w:rsidP="008B6B6F">
      <w:r w:rsidRPr="001627DB">
        <w:rPr>
          <w:noProof/>
          <w:lang w:val="en-US" w:eastAsia="ja-JP"/>
        </w:rPr>
        <mc:AlternateContent>
          <mc:Choice Requires="wps">
            <w:drawing>
              <wp:anchor distT="0" distB="0" distL="114300" distR="114300" simplePos="0" relativeHeight="251660800" behindDoc="0" locked="0" layoutInCell="1" allowOverlap="1" wp14:anchorId="1435E792" wp14:editId="730183B5">
                <wp:simplePos x="0" y="0"/>
                <wp:positionH relativeFrom="column">
                  <wp:posOffset>2189480</wp:posOffset>
                </wp:positionH>
                <wp:positionV relativeFrom="paragraph">
                  <wp:posOffset>1707292</wp:posOffset>
                </wp:positionV>
                <wp:extent cx="1616075" cy="131445"/>
                <wp:effectExtent l="0" t="0" r="22225" b="20955"/>
                <wp:wrapNone/>
                <wp:docPr id="3" name="正方形/長方形 3"/>
                <wp:cNvGraphicFramePr/>
                <a:graphic xmlns:a="http://schemas.openxmlformats.org/drawingml/2006/main">
                  <a:graphicData uri="http://schemas.microsoft.com/office/word/2010/wordprocessingShape">
                    <wps:wsp>
                      <wps:cNvSpPr/>
                      <wps:spPr>
                        <a:xfrm>
                          <a:off x="0" y="0"/>
                          <a:ext cx="1616075" cy="1314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172.4pt;margin-top:134.45pt;width:127.25pt;height:10.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" filled="f" strokecolor="red" strokeweight="2pt"/>
            </w:pict>
          </mc:Fallback>
        </mc:AlternateContent>
      </w:r>
      <w:r w:rsidRPr="001627DB">
        <w:rPr>
          <w:noProof/>
          <w:lang w:val="en-US" w:eastAsia="ja-JP"/>
        </w:rPr>
        <mc:AlternateContent>
          <mc:Choice Requires="wps">
            <w:drawing>
              <wp:anchor distT="0" distB="0" distL="114300" distR="114300" simplePos="0" relativeHeight="251659776" behindDoc="0" locked="0" layoutInCell="1" allowOverlap="1" wp14:anchorId="22A6A21D" wp14:editId="6DA5FF09">
                <wp:simplePos x="0" y="0"/>
                <wp:positionH relativeFrom="column">
                  <wp:posOffset>2189480</wp:posOffset>
                </wp:positionH>
                <wp:positionV relativeFrom="paragraph">
                  <wp:posOffset>1319942</wp:posOffset>
                </wp:positionV>
                <wp:extent cx="1616075" cy="131445"/>
                <wp:effectExtent l="0" t="0" r="22225" b="20955"/>
                <wp:wrapNone/>
                <wp:docPr id="2" name="正方形/長方形 2"/>
                <wp:cNvGraphicFramePr/>
                <a:graphic xmlns:a="http://schemas.openxmlformats.org/drawingml/2006/main">
                  <a:graphicData uri="http://schemas.microsoft.com/office/word/2010/wordprocessingShape">
                    <wps:wsp>
                      <wps:cNvSpPr/>
                      <wps:spPr>
                        <a:xfrm>
                          <a:off x="0" y="0"/>
                          <a:ext cx="1616075" cy="1314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72.4pt;margin-top:103.95pt;width:127.25pt;height:10.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" filled="f" strokecolor="red" strokeweight="2pt"/>
            </w:pict>
          </mc:Fallback>
        </mc:AlternateContent>
      </w:r>
      <w:r w:rsidRPr="001627DB">
        <w:rPr>
          <w:noProof/>
          <w:lang w:val="en-US" w:eastAsia="ja-JP"/>
        </w:rPr>
        <w:drawing>
          <wp:inline distT="0" distB="0" distL="0" distR="0" wp14:anchorId="4EE46299" wp14:editId="2AA769D1">
            <wp:extent cx="5400040" cy="217535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75359"/>
                    </a:xfrm>
                    <a:prstGeom prst="rect">
                      <a:avLst/>
                    </a:prstGeom>
                    <a:noFill/>
                    <a:ln>
                      <a:noFill/>
                    </a:ln>
                  </pic:spPr>
                </pic:pic>
              </a:graphicData>
            </a:graphic>
          </wp:inline>
        </w:drawing>
      </w:r>
    </w:p>
    <w:p w:rsidR="00FF7058" w:rsidRPr="00FF7058" w:rsidRDefault="00FF7058">
      <w:pPr>
        <w:rPr>
          <w:rFonts w:eastAsia="ＭＳ 明朝"/>
          <w:szCs w:val="22"/>
          <w:lang w:eastAsia="ja-JP"/>
        </w:rPr>
      </w:pPr>
    </w:p>
    <w:p w:rsidR="008B6B6F" w:rsidRDefault="008B6B6F">
      <w:pPr>
        <w:rPr>
          <w:rFonts w:eastAsia="ＭＳ 明朝"/>
          <w:szCs w:val="22"/>
          <w:lang w:eastAsia="ja-JP"/>
        </w:rPr>
      </w:pPr>
    </w:p>
    <w:p w:rsidR="008B6B6F" w:rsidRPr="008B6B6F" w:rsidRDefault="008B6B6F" w:rsidP="008B6B6F">
      <w:pPr>
        <w:rPr>
          <w:i/>
          <w:highlight w:val="yellow"/>
        </w:rPr>
      </w:pPr>
      <w:r w:rsidRPr="008B6B6F">
        <w:rPr>
          <w:i/>
          <w:highlight w:val="yellow"/>
        </w:rPr>
        <w:lastRenderedPageBreak/>
        <w:t xml:space="preserve">Instruction to </w:t>
      </w:r>
      <w:r w:rsidRPr="008B6B6F">
        <w:rPr>
          <w:rFonts w:eastAsia="ＭＳ 明朝" w:hint="eastAsia"/>
          <w:i/>
          <w:highlight w:val="yellow"/>
          <w:lang w:eastAsia="ja-JP"/>
        </w:rPr>
        <w:t>TG</w:t>
      </w:r>
      <w:r w:rsidRPr="008B6B6F">
        <w:rPr>
          <w:i/>
          <w:highlight w:val="yellow"/>
        </w:rPr>
        <w:t xml:space="preserve"> editor</w:t>
      </w:r>
    </w:p>
    <w:p w:rsidR="008B6B6F" w:rsidRPr="001627DB" w:rsidRDefault="008B6B6F" w:rsidP="008B6B6F">
      <w:r w:rsidRPr="008B6B6F">
        <w:rPr>
          <w:highlight w:val="yellow"/>
        </w:rPr>
        <w:t xml:space="preserve">Change GFSK mode with 50kb/s of band identifier 416 which is surrounded by a red border in the above table 66d from “GFSK(optional)” to “GFSK”(common).” And change GFSK mode with 50kb/s of band identifier 619 which is surrounded by a red border in the above table 66d </w:t>
      </w:r>
      <w:bookmarkStart w:id="0" w:name="_GoBack"/>
      <w:bookmarkEnd w:id="0"/>
      <w:r w:rsidRPr="008B6B6F">
        <w:rPr>
          <w:highlight w:val="yellow"/>
        </w:rPr>
        <w:t>from “GFSK(optional)” to “GFSK”(common)” as well.</w:t>
      </w:r>
    </w:p>
    <w:p w:rsidR="008B6B6F" w:rsidRPr="008B6B6F" w:rsidRDefault="008B6B6F">
      <w:pPr>
        <w:rPr>
          <w:rFonts w:eastAsia="ＭＳ 明朝"/>
          <w:szCs w:val="22"/>
          <w:lang w:eastAsia="ja-JP"/>
        </w:rPr>
      </w:pPr>
    </w:p>
    <w:sectPr w:rsidR="008B6B6F" w:rsidRPr="008B6B6F"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D4" w:rsidRDefault="000439D4">
      <w:r>
        <w:separator/>
      </w:r>
    </w:p>
  </w:endnote>
  <w:endnote w:type="continuationSeparator" w:id="0">
    <w:p w:rsidR="000439D4" w:rsidRDefault="000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0439D4">
    <w:pPr>
      <w:pStyle w:val="a3"/>
      <w:tabs>
        <w:tab w:val="clear" w:pos="6480"/>
        <w:tab w:val="center" w:pos="4680"/>
        <w:tab w:val="right" w:pos="9360"/>
      </w:tabs>
    </w:pPr>
    <w:r>
      <w:fldChar w:fldCharType="begin"/>
    </w:r>
    <w:r>
      <w:instrText xml:space="preserve"> SUBJECT  \* MERGEFORMAT </w:instrText>
    </w:r>
    <w:r>
      <w:fldChar w:fldCharType="separate"/>
    </w:r>
    <w:r w:rsidR="007C5D6D">
      <w:t>Submission</w:t>
    </w:r>
    <w:r>
      <w:fldChar w:fldCharType="end"/>
    </w:r>
    <w:r w:rsidR="00DA3D06">
      <w:tab/>
      <w:t xml:space="preserve">page </w:t>
    </w:r>
    <w:r w:rsidR="00DB5542">
      <w:fldChar w:fldCharType="begin"/>
    </w:r>
    <w:r w:rsidR="00DB5542">
      <w:instrText xml:space="preserve">page </w:instrText>
    </w:r>
    <w:r w:rsidR="00DB5542">
      <w:fldChar w:fldCharType="separate"/>
    </w:r>
    <w:r w:rsidR="00272148">
      <w:rPr>
        <w:noProof/>
      </w:rPr>
      <w:t>3</w:t>
    </w:r>
    <w:r w:rsidR="00DB5542">
      <w:rPr>
        <w:noProof/>
      </w:rPr>
      <w:fldChar w:fldCharType="end"/>
    </w:r>
    <w:r w:rsidR="00DA3D06">
      <w:tab/>
    </w:r>
    <w:r w:rsidR="00A02DE1">
      <w:rPr>
        <w:rFonts w:eastAsia="ＭＳ 明朝" w:hint="eastAsia"/>
        <w:lang w:eastAsia="ja-JP"/>
      </w:rPr>
      <w:t>Kenichi Mori</w:t>
    </w:r>
    <w:r w:rsidR="00DA3D06">
      <w:t xml:space="preserve">, </w:t>
    </w:r>
    <w:r w:rsidR="00A02DE1">
      <w:rPr>
        <w:rFonts w:eastAsia="ＭＳ 明朝" w:hint="eastAsia"/>
        <w:lang w:eastAsia="ja-JP"/>
      </w:rPr>
      <w:t>Panasonic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D4" w:rsidRDefault="000439D4">
      <w:r>
        <w:separator/>
      </w:r>
    </w:p>
  </w:footnote>
  <w:footnote w:type="continuationSeparator" w:id="0">
    <w:p w:rsidR="000439D4" w:rsidRDefault="00043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Pr="0072724E" w:rsidRDefault="005A6346">
    <w:pPr>
      <w:pStyle w:val="a4"/>
      <w:tabs>
        <w:tab w:val="clear" w:pos="6480"/>
        <w:tab w:val="center" w:pos="4680"/>
        <w:tab w:val="right" w:pos="9360"/>
      </w:tabs>
      <w:rPr>
        <w:rFonts w:eastAsia="ＭＳ 明朝"/>
        <w:lang w:eastAsia="ja-JP"/>
      </w:rPr>
    </w:pPr>
    <w:r>
      <w:rPr>
        <w:rFonts w:eastAsia="ＭＳ 明朝" w:hint="eastAsia"/>
        <w:lang w:eastAsia="ja-JP"/>
      </w:rPr>
      <w:t>June</w:t>
    </w:r>
    <w:r w:rsidR="00DA3D06">
      <w:rPr>
        <w:rFonts w:hint="eastAsia"/>
        <w:lang w:eastAsia="ko-KR"/>
      </w:rPr>
      <w:t xml:space="preserve"> </w:t>
    </w:r>
    <w:r w:rsidR="00DA3D06">
      <w:t>201</w:t>
    </w:r>
    <w:r w:rsidR="00422BE8">
      <w:rPr>
        <w:rFonts w:eastAsia="ＭＳ 明朝" w:hint="eastAsia"/>
        <w:lang w:eastAsia="ja-JP"/>
      </w:rPr>
      <w:t>4</w:t>
    </w:r>
    <w:r w:rsidR="00DA3D06">
      <w:tab/>
    </w:r>
    <w:r w:rsidR="00DA3D06">
      <w:tab/>
    </w:r>
    <w:r w:rsidR="00E827E9">
      <w:rPr>
        <w:rFonts w:eastAsia="ＭＳ 明朝" w:hint="eastAsia"/>
        <w:lang w:eastAsia="ja-JP"/>
      </w:rPr>
      <w:t>IEEE P802.</w:t>
    </w:r>
    <w:r w:rsidR="009611DC">
      <w:t>15-14-0369</w:t>
    </w:r>
    <w:r w:rsidR="00E827E9" w:rsidRPr="00E827E9">
      <w:t>-</w:t>
    </w:r>
    <w:r>
      <w:rPr>
        <w:rFonts w:eastAsia="ＭＳ 明朝" w:hint="eastAsia"/>
        <w:lang w:eastAsia="ja-JP"/>
      </w:rPr>
      <w:t>00</w:t>
    </w:r>
    <w:r w:rsidR="00E827E9" w:rsidRPr="00E827E9">
      <w:t>-004n</w:t>
    </w:r>
    <w:r w:rsidR="002952F8">
      <w:fldChar w:fldCharType="begin"/>
    </w:r>
    <w:r w:rsidR="002952F8">
      <w:instrText xml:space="preserve"> TITLE  \* MERGEFORMAT </w:instrText>
    </w:r>
    <w:r w:rsidR="002952F8">
      <w:fldChar w:fldCharType="end"/>
    </w:r>
    <w:r w:rsidR="00B2007F">
      <w:fldChar w:fldCharType="begin"/>
    </w:r>
    <w:r w:rsidR="00B2007F">
      <w:instrText xml:space="preserve"> TITLE  \* MERGEFORMAT </w:instrText>
    </w:r>
    <w:r w:rsidR="00B200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37344"/>
    <w:rsid w:val="000405C4"/>
    <w:rsid w:val="00040C33"/>
    <w:rsid w:val="000439D4"/>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70B"/>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139E"/>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2148"/>
    <w:rsid w:val="00273257"/>
    <w:rsid w:val="00277105"/>
    <w:rsid w:val="00281A5D"/>
    <w:rsid w:val="00282053"/>
    <w:rsid w:val="00284C5E"/>
    <w:rsid w:val="002854B6"/>
    <w:rsid w:val="00291A10"/>
    <w:rsid w:val="002920CB"/>
    <w:rsid w:val="00294B37"/>
    <w:rsid w:val="002952F8"/>
    <w:rsid w:val="002A195C"/>
    <w:rsid w:val="002A4A61"/>
    <w:rsid w:val="002A6923"/>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0B8A"/>
    <w:rsid w:val="003539C7"/>
    <w:rsid w:val="00360C87"/>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A6346"/>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8B4"/>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5D6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47619"/>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6B6F"/>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11DC"/>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A300-7198-4632-9089-14F4B3B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324</Words>
  <Characters>1853</Characters>
  <Application>Microsoft Office Word</Application>
  <DocSecurity>0</DocSecurity>
  <Lines>15</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2173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9</cp:revision>
  <cp:lastPrinted>2014-06-16T05:19:00Z</cp:lastPrinted>
  <dcterms:created xsi:type="dcterms:W3CDTF">2014-06-14T09:54:00Z</dcterms:created>
  <dcterms:modified xsi:type="dcterms:W3CDTF">2014-06-19T22:42:00Z</dcterms:modified>
</cp:coreProperties>
</file>