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0729F5">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0729F5">
            <w:pPr>
              <w:pStyle w:val="covertext"/>
              <w:rPr>
                <w:lang w:eastAsia="ja-JP"/>
              </w:rPr>
            </w:pPr>
            <w:r>
              <w:rPr>
                <w:rFonts w:hint="eastAsia"/>
                <w:lang w:eastAsia="ja-JP"/>
              </w:rPr>
              <w:t>19 May,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0729F5" w:rsidP="000729F5">
            <w:pPr>
              <w:pStyle w:val="covertext"/>
              <w:rPr>
                <w:lang w:eastAsia="ja-JP"/>
              </w:rPr>
            </w:pPr>
            <w:r>
              <w:t>*</w:t>
            </w:r>
            <w:r w:rsidRPr="000729F5">
              <w:t xml:space="preserve">[Verotiana Rabarijaona, Fumihide Kojima], †[Hiroshi Harada] </w:t>
            </w:r>
            <w:r w:rsidR="00AE1FF6">
              <w:br/>
            </w:r>
            <w:r w:rsidRPr="000729F5">
              <w:t>*[NICT], †[Kyoto University]</w:t>
            </w:r>
            <w:r w:rsidR="00AE1FF6">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416F2C" w:rsidRDefault="000729F5" w:rsidP="000729F5">
            <w:pPr>
              <w:pStyle w:val="covertext"/>
              <w:tabs>
                <w:tab w:val="left" w:pos="1152"/>
              </w:tabs>
              <w:spacing w:before="0" w:after="0"/>
              <w:rPr>
                <w:sz w:val="18"/>
              </w:rPr>
            </w:pPr>
            <w:r>
              <w:t>Voice:</w:t>
            </w:r>
            <w:r>
              <w:tab/>
              <w:t>[</w:t>
            </w:r>
            <w:r w:rsidRPr="000729F5">
              <w:t>+81-46-847-5075</w:t>
            </w:r>
            <w:r>
              <w:t>]</w:t>
            </w:r>
            <w:r>
              <w:br/>
              <w:t>Fax:</w:t>
            </w:r>
            <w:r>
              <w:tab/>
              <w:t>[</w:t>
            </w:r>
            <w:r w:rsidRPr="000729F5">
              <w:t>+81-46-847-5089</w:t>
            </w:r>
            <w:r>
              <w:t>]</w:t>
            </w:r>
            <w:r>
              <w:br/>
              <w:t>E-mail:</w:t>
            </w:r>
            <w:r>
              <w:tab/>
              <w:t>[</w:t>
            </w:r>
            <w:r w:rsidRPr="000729F5">
              <w:t>rverotiana@nict.go.jp</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8"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 xml:space="preserve">Scenario Parameters for </w:t>
            </w:r>
            <w:proofErr w:type="spellStart"/>
            <w:r w:rsidR="000729F5">
              <w:t>CfFP</w:t>
            </w:r>
            <w:proofErr w:type="spellEnd"/>
            <w:r w:rsidR="000729F5">
              <w:t xml:space="preserve">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bookmarkStart w:id="0" w:name="_GoBack"/>
            <w:bookmarkEnd w:id="0"/>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0729F5" w:rsidRDefault="00AE1FF6">
      <w:pPr>
        <w:widowControl w:val="0"/>
        <w:spacing w:before="120"/>
      </w:pPr>
      <w:r>
        <w:rPr>
          <w:b/>
          <w:sz w:val="28"/>
        </w:rPr>
        <w:br w:type="page"/>
      </w:r>
    </w:p>
    <w:tbl>
      <w:tblPr>
        <w:tblStyle w:val="TableGrid"/>
        <w:tblW w:w="0" w:type="auto"/>
        <w:tblLook w:val="04A0" w:firstRow="1" w:lastRow="0" w:firstColumn="1" w:lastColumn="0" w:noHBand="0" w:noVBand="1"/>
      </w:tblPr>
      <w:tblGrid>
        <w:gridCol w:w="1828"/>
        <w:gridCol w:w="1816"/>
        <w:gridCol w:w="2505"/>
        <w:gridCol w:w="1756"/>
        <w:gridCol w:w="1671"/>
      </w:tblGrid>
      <w:tr w:rsidR="00004211" w:rsidTr="00004211">
        <w:tc>
          <w:tcPr>
            <w:tcW w:w="3643" w:type="dxa"/>
            <w:gridSpan w:val="2"/>
            <w:tcBorders>
              <w:top w:val="nil"/>
              <w:left w:val="nil"/>
            </w:tcBorders>
          </w:tcPr>
          <w:p w:rsidR="000729F5" w:rsidRPr="00D67542" w:rsidRDefault="000729F5" w:rsidP="00C57B45">
            <w:pPr>
              <w:jc w:val="center"/>
              <w:rPr>
                <w:rFonts w:ascii="Arial" w:eastAsia="Malgun Gothic" w:hAnsi="Arial" w:cs="Arial"/>
                <w:b/>
                <w:sz w:val="22"/>
                <w:szCs w:val="24"/>
                <w:lang w:eastAsia="ko-KR"/>
              </w:rPr>
            </w:pPr>
          </w:p>
        </w:tc>
        <w:tc>
          <w:tcPr>
            <w:tcW w:w="5933" w:type="dxa"/>
            <w:gridSpan w:val="3"/>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32"/>
                <w:szCs w:val="24"/>
                <w:lang w:eastAsia="ko-KR"/>
              </w:rPr>
              <w:t>Scenarios</w:t>
            </w:r>
          </w:p>
        </w:tc>
      </w:tr>
      <w:tr w:rsidR="000729F5" w:rsidTr="00004211">
        <w:tc>
          <w:tcPr>
            <w:tcW w:w="3643" w:type="dxa"/>
            <w:gridSpan w:val="2"/>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Parameter</w:t>
            </w:r>
          </w:p>
        </w:tc>
        <w:tc>
          <w:tcPr>
            <w:tcW w:w="2506" w:type="dxa"/>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Upstream:</w:t>
            </w:r>
          </w:p>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Smart metering, infrastructure monitoring, Irrigation Optimization</w:t>
            </w:r>
          </w:p>
        </w:tc>
        <w:tc>
          <w:tcPr>
            <w:tcW w:w="1756" w:type="dxa"/>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Downstream:</w:t>
            </w:r>
          </w:p>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Street lighting, smart lighting</w:t>
            </w:r>
          </w:p>
        </w:tc>
        <w:tc>
          <w:tcPr>
            <w:tcW w:w="1671" w:type="dxa"/>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Balanced upstream and downstream:</w:t>
            </w:r>
          </w:p>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CEMS, BEMS, HEMS</w:t>
            </w:r>
          </w:p>
        </w:tc>
      </w:tr>
      <w:tr w:rsidR="000729F5" w:rsidTr="00004211">
        <w:tc>
          <w:tcPr>
            <w:tcW w:w="3643" w:type="dxa"/>
            <w:gridSpan w:val="2"/>
          </w:tcPr>
          <w:p w:rsidR="000729F5" w:rsidRDefault="000729F5" w:rsidP="00C57B45">
            <w:pPr>
              <w:rPr>
                <w:lang w:eastAsia="ja-JP"/>
              </w:rPr>
            </w:pPr>
            <w:r>
              <w:rPr>
                <w:rFonts w:hint="eastAsia"/>
                <w:lang w:eastAsia="ja-JP"/>
              </w:rPr>
              <w:t>Packet size</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Tr="00004211">
        <w:tc>
          <w:tcPr>
            <w:tcW w:w="3643" w:type="dxa"/>
            <w:gridSpan w:val="2"/>
          </w:tcPr>
          <w:p w:rsidR="000729F5" w:rsidRDefault="000729F5" w:rsidP="00C57B45">
            <w:pPr>
              <w:rPr>
                <w:lang w:eastAsia="ja-JP"/>
              </w:rPr>
            </w:pPr>
            <w:r>
              <w:rPr>
                <w:rFonts w:hint="eastAsia"/>
                <w:lang w:eastAsia="ja-JP"/>
              </w:rPr>
              <w:t>Data rate</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Tr="00004211">
        <w:tc>
          <w:tcPr>
            <w:tcW w:w="3643" w:type="dxa"/>
            <w:gridSpan w:val="2"/>
          </w:tcPr>
          <w:p w:rsidR="000729F5" w:rsidRDefault="000729F5" w:rsidP="00C57B45">
            <w:pPr>
              <w:rPr>
                <w:lang w:eastAsia="ja-JP"/>
              </w:rPr>
            </w:pPr>
            <w:r>
              <w:rPr>
                <w:rFonts w:hint="eastAsia"/>
                <w:lang w:eastAsia="ja-JP"/>
              </w:rPr>
              <w:t>Packet birth rate</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Tr="00004211">
        <w:tc>
          <w:tcPr>
            <w:tcW w:w="3643" w:type="dxa"/>
            <w:gridSpan w:val="2"/>
          </w:tcPr>
          <w:p w:rsidR="000729F5" w:rsidRDefault="000729F5" w:rsidP="00C57B45">
            <w:pPr>
              <w:rPr>
                <w:lang w:eastAsia="ja-JP"/>
              </w:rPr>
            </w:pPr>
            <w:r>
              <w:rPr>
                <w:rFonts w:hint="eastAsia"/>
                <w:lang w:eastAsia="ja-JP"/>
              </w:rPr>
              <w:t>Duty cycle</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Tr="00004211">
        <w:tc>
          <w:tcPr>
            <w:tcW w:w="3643" w:type="dxa"/>
            <w:gridSpan w:val="2"/>
          </w:tcPr>
          <w:p w:rsidR="000729F5" w:rsidRDefault="000729F5" w:rsidP="00C57B45">
            <w:pPr>
              <w:rPr>
                <w:lang w:eastAsia="ja-JP"/>
              </w:rPr>
            </w:pPr>
            <w:r>
              <w:rPr>
                <w:rFonts w:hint="eastAsia"/>
                <w:lang w:eastAsia="ja-JP"/>
              </w:rPr>
              <w:t>Node density</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RPr="000A33E0" w:rsidTr="00004211">
        <w:tc>
          <w:tcPr>
            <w:tcW w:w="3643" w:type="dxa"/>
            <w:gridSpan w:val="2"/>
          </w:tcPr>
          <w:p w:rsidR="000729F5" w:rsidRPr="00685083" w:rsidRDefault="000729F5" w:rsidP="00C57B45">
            <w:pPr>
              <w:rPr>
                <w:lang w:val="fr-FR" w:eastAsia="ja-JP"/>
              </w:rPr>
            </w:pPr>
            <w:r w:rsidRPr="00685083">
              <w:rPr>
                <w:rFonts w:hint="eastAsia"/>
                <w:lang w:val="fr-FR" w:eastAsia="ja-JP"/>
              </w:rPr>
              <w:t xml:space="preserve">Mobile </w:t>
            </w:r>
            <w:proofErr w:type="spellStart"/>
            <w:r w:rsidRPr="00685083">
              <w:rPr>
                <w:rFonts w:hint="eastAsia"/>
                <w:lang w:val="fr-FR" w:eastAsia="ja-JP"/>
              </w:rPr>
              <w:t>devices</w:t>
            </w:r>
            <w:proofErr w:type="spellEnd"/>
            <w:r w:rsidRPr="00685083">
              <w:rPr>
                <w:rFonts w:hint="eastAsia"/>
                <w:lang w:val="fr-FR" w:eastAsia="ja-JP"/>
              </w:rPr>
              <w:t xml:space="preserve"> (Y/N</w:t>
            </w:r>
            <w:r>
              <w:rPr>
                <w:rFonts w:hint="eastAsia"/>
                <w:lang w:val="fr-FR" w:eastAsia="ja-JP"/>
              </w:rPr>
              <w:t>) -</w:t>
            </w:r>
            <w:r w:rsidRPr="00685083">
              <w:rPr>
                <w:rFonts w:hint="eastAsia"/>
                <w:lang w:val="fr-FR" w:eastAsia="ja-JP"/>
              </w:rPr>
              <w:t xml:space="preserve"> speed</w:t>
            </w:r>
          </w:p>
        </w:tc>
        <w:tc>
          <w:tcPr>
            <w:tcW w:w="2506" w:type="dxa"/>
          </w:tcPr>
          <w:p w:rsidR="000729F5" w:rsidRPr="00685083" w:rsidRDefault="000729F5" w:rsidP="00C57B45">
            <w:pPr>
              <w:rPr>
                <w:lang w:val="fr-FR"/>
              </w:rPr>
            </w:pPr>
          </w:p>
        </w:tc>
        <w:tc>
          <w:tcPr>
            <w:tcW w:w="1756" w:type="dxa"/>
          </w:tcPr>
          <w:p w:rsidR="000729F5" w:rsidRPr="00685083" w:rsidRDefault="000729F5" w:rsidP="00C57B45">
            <w:pPr>
              <w:rPr>
                <w:lang w:val="fr-FR"/>
              </w:rPr>
            </w:pPr>
          </w:p>
        </w:tc>
        <w:tc>
          <w:tcPr>
            <w:tcW w:w="1671" w:type="dxa"/>
          </w:tcPr>
          <w:p w:rsidR="000729F5" w:rsidRPr="00685083" w:rsidRDefault="000729F5" w:rsidP="00C57B45">
            <w:pPr>
              <w:rPr>
                <w:lang w:val="fr-FR" w:eastAsia="ja-JP"/>
              </w:rPr>
            </w:pPr>
          </w:p>
        </w:tc>
      </w:tr>
      <w:tr w:rsidR="00004211" w:rsidTr="00004211">
        <w:trPr>
          <w:trHeight w:val="163"/>
        </w:trPr>
        <w:tc>
          <w:tcPr>
            <w:tcW w:w="1826" w:type="dxa"/>
            <w:vMerge w:val="restart"/>
          </w:tcPr>
          <w:p w:rsidR="000729F5" w:rsidRDefault="000729F5" w:rsidP="00C57B45">
            <w:pPr>
              <w:rPr>
                <w:lang w:eastAsia="ja-JP"/>
              </w:rPr>
            </w:pPr>
            <w:r>
              <w:rPr>
                <w:rFonts w:hint="eastAsia"/>
                <w:lang w:eastAsia="ja-JP"/>
              </w:rPr>
              <w:t xml:space="preserve">PAN </w:t>
            </w:r>
            <w:proofErr w:type="spellStart"/>
            <w:r>
              <w:rPr>
                <w:rFonts w:hint="eastAsia"/>
                <w:lang w:eastAsia="ja-JP"/>
              </w:rPr>
              <w:t>Coord</w:t>
            </w:r>
            <w:proofErr w:type="spellEnd"/>
            <w:r>
              <w:rPr>
                <w:rFonts w:hint="eastAsia"/>
                <w:lang w:eastAsia="ja-JP"/>
              </w:rPr>
              <w:t xml:space="preserve"> to Device</w:t>
            </w:r>
          </w:p>
        </w:tc>
        <w:tc>
          <w:tcPr>
            <w:tcW w:w="1817" w:type="dxa"/>
          </w:tcPr>
          <w:p w:rsidR="000729F5" w:rsidRDefault="000729F5" w:rsidP="00C57B45">
            <w:pPr>
              <w:rPr>
                <w:lang w:eastAsia="ja-JP"/>
              </w:rPr>
            </w:pPr>
            <w:r>
              <w:rPr>
                <w:rFonts w:hint="eastAsia"/>
                <w:lang w:eastAsia="ja-JP"/>
              </w:rPr>
              <w:t>Unicast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04211" w:rsidTr="00004211">
        <w:trPr>
          <w:trHeight w:val="163"/>
        </w:trPr>
        <w:tc>
          <w:tcPr>
            <w:tcW w:w="1826" w:type="dxa"/>
            <w:vMerge/>
          </w:tcPr>
          <w:p w:rsidR="000729F5" w:rsidRDefault="000729F5" w:rsidP="00C57B45">
            <w:pPr>
              <w:rPr>
                <w:lang w:eastAsia="ja-JP"/>
              </w:rPr>
            </w:pPr>
          </w:p>
        </w:tc>
        <w:tc>
          <w:tcPr>
            <w:tcW w:w="1817" w:type="dxa"/>
          </w:tcPr>
          <w:p w:rsidR="000729F5" w:rsidRDefault="000729F5" w:rsidP="00C57B45">
            <w:pPr>
              <w:rPr>
                <w:lang w:eastAsia="ja-JP"/>
              </w:rPr>
            </w:pPr>
            <w:r>
              <w:rPr>
                <w:rFonts w:hint="eastAsia"/>
                <w:lang w:eastAsia="ja-JP"/>
              </w:rPr>
              <w:t>Multicast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04211" w:rsidTr="00004211">
        <w:trPr>
          <w:trHeight w:val="163"/>
        </w:trPr>
        <w:tc>
          <w:tcPr>
            <w:tcW w:w="1826" w:type="dxa"/>
            <w:vMerge/>
          </w:tcPr>
          <w:p w:rsidR="000729F5" w:rsidRDefault="000729F5" w:rsidP="00C57B45">
            <w:pPr>
              <w:rPr>
                <w:lang w:eastAsia="ja-JP"/>
              </w:rPr>
            </w:pPr>
          </w:p>
        </w:tc>
        <w:tc>
          <w:tcPr>
            <w:tcW w:w="1817" w:type="dxa"/>
          </w:tcPr>
          <w:p w:rsidR="000729F5" w:rsidRDefault="000729F5" w:rsidP="00C57B45">
            <w:pPr>
              <w:rPr>
                <w:lang w:eastAsia="ja-JP"/>
              </w:rPr>
            </w:pPr>
            <w:r>
              <w:rPr>
                <w:rFonts w:hint="eastAsia"/>
                <w:lang w:eastAsia="ja-JP"/>
              </w:rPr>
              <w:t>Broadcast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rPr>
          <w:trHeight w:val="236"/>
        </w:trPr>
        <w:tc>
          <w:tcPr>
            <w:tcW w:w="3643" w:type="dxa"/>
            <w:gridSpan w:val="2"/>
          </w:tcPr>
          <w:p w:rsidR="000729F5" w:rsidRDefault="000729F5" w:rsidP="00C57B45">
            <w:pPr>
              <w:rPr>
                <w:lang w:eastAsia="ja-JP"/>
              </w:rPr>
            </w:pPr>
            <w:r>
              <w:rPr>
                <w:rFonts w:hint="eastAsia"/>
                <w:lang w:eastAsia="ja-JP"/>
              </w:rPr>
              <w:t xml:space="preserve">Device to PAN </w:t>
            </w:r>
            <w:proofErr w:type="spellStart"/>
            <w:r>
              <w:rPr>
                <w:rFonts w:hint="eastAsia"/>
                <w:lang w:eastAsia="ja-JP"/>
              </w:rPr>
              <w:t>Coord</w:t>
            </w:r>
            <w:proofErr w:type="spellEnd"/>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rPr>
          <w:trHeight w:val="83"/>
        </w:trPr>
        <w:tc>
          <w:tcPr>
            <w:tcW w:w="0" w:type="auto"/>
            <w:vMerge w:val="restart"/>
          </w:tcPr>
          <w:p w:rsidR="000729F5" w:rsidRDefault="000729F5" w:rsidP="00C57B45">
            <w:pPr>
              <w:rPr>
                <w:lang w:eastAsia="ja-JP"/>
              </w:rPr>
            </w:pPr>
            <w:r>
              <w:rPr>
                <w:rFonts w:hint="eastAsia"/>
                <w:lang w:eastAsia="ja-JP"/>
              </w:rPr>
              <w:t>Device to device</w:t>
            </w:r>
          </w:p>
        </w:tc>
        <w:tc>
          <w:tcPr>
            <w:tcW w:w="1817" w:type="dxa"/>
          </w:tcPr>
          <w:p w:rsidR="000729F5" w:rsidRDefault="000729F5" w:rsidP="00C57B45">
            <w:pPr>
              <w:rPr>
                <w:lang w:eastAsia="ja-JP"/>
              </w:rPr>
            </w:pPr>
            <w:r>
              <w:rPr>
                <w:rFonts w:hint="eastAsia"/>
                <w:lang w:eastAsia="ja-JP"/>
              </w:rPr>
              <w:t>Unicast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rPr>
          <w:trHeight w:val="81"/>
        </w:trPr>
        <w:tc>
          <w:tcPr>
            <w:tcW w:w="0" w:type="auto"/>
            <w:vMerge/>
          </w:tcPr>
          <w:p w:rsidR="000729F5" w:rsidRDefault="000729F5" w:rsidP="00C57B45">
            <w:pPr>
              <w:rPr>
                <w:lang w:eastAsia="ja-JP"/>
              </w:rPr>
            </w:pPr>
          </w:p>
        </w:tc>
        <w:tc>
          <w:tcPr>
            <w:tcW w:w="1817" w:type="dxa"/>
          </w:tcPr>
          <w:p w:rsidR="000729F5" w:rsidRDefault="000729F5" w:rsidP="00C57B45">
            <w:pPr>
              <w:rPr>
                <w:lang w:eastAsia="ja-JP"/>
              </w:rPr>
            </w:pPr>
            <w:r>
              <w:rPr>
                <w:rFonts w:hint="eastAsia"/>
                <w:lang w:eastAsia="ja-JP"/>
              </w:rPr>
              <w:t>Multicast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rPr>
          <w:trHeight w:val="81"/>
        </w:trPr>
        <w:tc>
          <w:tcPr>
            <w:tcW w:w="0" w:type="auto"/>
            <w:vMerge/>
          </w:tcPr>
          <w:p w:rsidR="000729F5" w:rsidRDefault="000729F5" w:rsidP="00C57B45">
            <w:pPr>
              <w:rPr>
                <w:lang w:eastAsia="ja-JP"/>
              </w:rPr>
            </w:pPr>
          </w:p>
        </w:tc>
        <w:tc>
          <w:tcPr>
            <w:tcW w:w="1817" w:type="dxa"/>
          </w:tcPr>
          <w:p w:rsidR="000729F5" w:rsidRDefault="000729F5" w:rsidP="00C57B45">
            <w:pPr>
              <w:rPr>
                <w:lang w:eastAsia="ja-JP"/>
              </w:rPr>
            </w:pPr>
            <w:r>
              <w:rPr>
                <w:rFonts w:hint="eastAsia"/>
                <w:lang w:eastAsia="ja-JP"/>
              </w:rPr>
              <w:t>Broadcast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c>
          <w:tcPr>
            <w:tcW w:w="3643" w:type="dxa"/>
            <w:gridSpan w:val="2"/>
          </w:tcPr>
          <w:p w:rsidR="000729F5" w:rsidRDefault="000729F5" w:rsidP="00C57B45">
            <w:pPr>
              <w:rPr>
                <w:lang w:eastAsia="ja-JP"/>
              </w:rPr>
            </w:pPr>
            <w:r>
              <w:rPr>
                <w:rFonts w:hint="eastAsia"/>
                <w:lang w:eastAsia="ja-JP"/>
              </w:rPr>
              <w:t>Linear Topology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0729F5" w:rsidRDefault="000729F5" w:rsidP="000729F5">
      <w:pPr>
        <w:spacing w:line="276" w:lineRule="auto"/>
        <w:rPr>
          <w:lang w:eastAsia="ja-JP"/>
        </w:rPr>
      </w:pPr>
      <w:r>
        <w:rPr>
          <w:rFonts w:hint="eastAsia"/>
          <w:lang w:eastAsia="ja-JP"/>
        </w:rPr>
        <w:t>Device: node other than the PAN coordinator</w:t>
      </w:r>
    </w:p>
    <w:p w:rsidR="000729F5" w:rsidRDefault="000729F5" w:rsidP="000729F5">
      <w:pPr>
        <w:spacing w:line="276" w:lineRule="auto"/>
        <w:rPr>
          <w:lang w:eastAsia="ja-JP"/>
        </w:rPr>
      </w:pPr>
      <w:r>
        <w:rPr>
          <w:rFonts w:hint="eastAsia"/>
          <w:lang w:eastAsia="ja-JP"/>
        </w:rPr>
        <w:t>N: Number of nodes in the PAN</w:t>
      </w:r>
    </w:p>
    <w:p w:rsidR="000729F5" w:rsidRDefault="000729F5" w:rsidP="000729F5">
      <w:pPr>
        <w:spacing w:line="276" w:lineRule="auto"/>
        <w:rPr>
          <w:lang w:eastAsia="ja-JP"/>
        </w:rPr>
      </w:pPr>
      <w:r>
        <w:rPr>
          <w:rFonts w:hint="eastAsia"/>
          <w:lang w:eastAsia="ja-JP"/>
        </w:rPr>
        <w:t>Unicast: transmission from 1 source to 1 destination</w:t>
      </w:r>
    </w:p>
    <w:p w:rsidR="000729F5" w:rsidRDefault="000729F5" w:rsidP="000729F5">
      <w:pPr>
        <w:spacing w:line="276" w:lineRule="auto"/>
        <w:rPr>
          <w:lang w:eastAsia="ja-JP"/>
        </w:rPr>
      </w:pPr>
      <w:r>
        <w:rPr>
          <w:rFonts w:hint="eastAsia"/>
          <w:lang w:eastAsia="ja-JP"/>
        </w:rPr>
        <w:t>Multicast: transmission from 1 source to n destinations (n &lt; N-1)</w:t>
      </w:r>
    </w:p>
    <w:p w:rsidR="000729F5" w:rsidRDefault="000729F5" w:rsidP="000729F5">
      <w:pPr>
        <w:spacing w:line="276" w:lineRule="auto"/>
        <w:rPr>
          <w:lang w:eastAsia="ja-JP"/>
        </w:rPr>
      </w:pPr>
      <w:r>
        <w:rPr>
          <w:rFonts w:hint="eastAsia"/>
          <w:lang w:eastAsia="ja-JP"/>
        </w:rPr>
        <w:t xml:space="preserve">Broadcast: transmission from 1 source to N-1 destinations </w:t>
      </w:r>
    </w:p>
    <w:p w:rsidR="000729F5" w:rsidRDefault="000729F5">
      <w:pPr>
        <w:widowControl w:val="0"/>
        <w:spacing w:before="120"/>
        <w:rPr>
          <w:lang w:eastAsia="ja-JP"/>
        </w:rPr>
      </w:pPr>
    </w:p>
    <w:sectPr w:rsidR="000729F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2C" w:rsidRDefault="00267B2C">
      <w:r>
        <w:separator/>
      </w:r>
    </w:p>
  </w:endnote>
  <w:endnote w:type="continuationSeparator" w:id="0">
    <w:p w:rsidR="00267B2C" w:rsidRDefault="0026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0729F5">
        <w:rPr>
          <w:noProof/>
        </w:rPr>
        <w:t>Verotiana</w:t>
      </w:r>
    </w:fldSimple>
    <w:r>
      <w:t xml:space="preserve">, </w:t>
    </w:r>
    <w:fldSimple w:instr=" DOCPROPERTY &quot;Company&quot;  \* MERGEFORMAT ">
      <w:r w:rsidR="000729F5">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2C" w:rsidRDefault="00267B2C">
      <w:r>
        <w:separator/>
      </w:r>
    </w:p>
  </w:footnote>
  <w:footnote w:type="continuationSeparator" w:id="0">
    <w:p w:rsidR="00267B2C" w:rsidRDefault="00267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E4603">
      <w:rPr>
        <w:b/>
        <w:noProof/>
        <w:sz w:val="28"/>
        <w:lang w:eastAsia="ja-JP"/>
      </w:rPr>
      <w:t>May</w:t>
    </w:r>
    <w:r w:rsidR="009E4603">
      <w:rPr>
        <w:b/>
        <w:noProof/>
        <w:sz w:val="28"/>
      </w:rPr>
      <w:t>, 2014</w:t>
    </w:r>
    <w:r>
      <w:rPr>
        <w:b/>
        <w:sz w:val="28"/>
      </w:rPr>
      <w:fldChar w:fldCharType="end"/>
    </w:r>
    <w:r>
      <w:rPr>
        <w:b/>
        <w:sz w:val="28"/>
      </w:rPr>
      <w:tab/>
      <w:t xml:space="preserve"> IEEE P802.15-</w:t>
    </w:r>
    <w:r w:rsidR="000729F5" w:rsidRPr="000729F5">
      <w:rPr>
        <w:b/>
        <w:sz w:val="28"/>
      </w:rPr>
      <w:t xml:space="preserve"> 14-0338-00-0010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729F5"/>
    <w:rsid w:val="000A33E0"/>
    <w:rsid w:val="00267B2C"/>
    <w:rsid w:val="00416F2C"/>
    <w:rsid w:val="009E4603"/>
    <w:rsid w:val="00AE1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319-00-0010-tgd-scenario-parameters.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17</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dc:creator>
  <dc:description>*[3-4, Hikarino-oka, Yokosuka, 239-0847 Japan], †[36-1 Yoshida-Honmachi, Sakyo-ku, Kyoto 606-8501 Japan]</dc:description>
  <cp:lastModifiedBy>Verotiana</cp:lastModifiedBy>
  <cp:revision>4</cp:revision>
  <cp:lastPrinted>1900-12-31T15:00:00Z</cp:lastPrinted>
  <dcterms:created xsi:type="dcterms:W3CDTF">2014-05-19T08:02:00Z</dcterms:created>
  <dcterms:modified xsi:type="dcterms:W3CDTF">2014-05-19T08:21:00Z</dcterms:modified>
  <cp:category>14-0338-00-0010</cp:category>
</cp:coreProperties>
</file>