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2B5756" w:rsidRDefault="00694C1F" w:rsidP="00DB7A2C">
            <w:pPr>
              <w:pStyle w:val="covertext"/>
              <w:rPr>
                <w:rFonts w:eastAsiaTheme="minorEastAsia" w:hint="eastAsia"/>
                <w:lang w:eastAsia="ko-KR"/>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DB7A2C">
              <w:rPr>
                <w:rFonts w:eastAsiaTheme="minorEastAsia" w:hint="eastAsia"/>
                <w:b/>
                <w:sz w:val="28"/>
                <w:lang w:eastAsia="ko-KR"/>
              </w:rPr>
              <w:t>:</w:t>
            </w:r>
            <w:r w:rsidR="00BF3885">
              <w:rPr>
                <w:b/>
                <w:sz w:val="28"/>
                <w:lang w:eastAsia="ja-JP"/>
              </w:rPr>
              <w:t xml:space="preserve"> </w:t>
            </w:r>
            <w:r w:rsidR="002B5756">
              <w:rPr>
                <w:rFonts w:eastAsiaTheme="minorEastAsia" w:hint="eastAsia"/>
                <w:b/>
                <w:sz w:val="28"/>
                <w:lang w:eastAsia="ko-KR"/>
              </w:rPr>
              <w:t>Methodology</w:t>
            </w:r>
            <w:r w:rsidR="00DB7A2C">
              <w:rPr>
                <w:rFonts w:eastAsiaTheme="minorEastAsia" w:hint="eastAsia"/>
                <w:b/>
                <w:sz w:val="28"/>
                <w:lang w:eastAsia="ko-KR"/>
              </w:rPr>
              <w:t xml:space="preserve"> in Subsection 1</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2B5756">
              <w:rPr>
                <w:rFonts w:eastAsiaTheme="minorEastAsia" w:hint="eastAsia"/>
                <w:lang w:eastAsia="ko-KR"/>
              </w:rPr>
              <w:t>Febr</w:t>
            </w:r>
            <w:r w:rsidR="002B5756">
              <w:t xml:space="preserve">uary </w:t>
            </w:r>
            <w:r w:rsidR="002B5756">
              <w:rPr>
                <w:rFonts w:eastAsiaTheme="minorEastAsia" w:hint="eastAsia"/>
                <w:lang w:eastAsia="ko-KR"/>
              </w:rPr>
              <w:t>16</w:t>
            </w:r>
            <w:r w:rsidR="00240D54">
              <w:t>, 2014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2B5756" w:rsidRDefault="00240D54" w:rsidP="009B5F24">
            <w:pPr>
              <w:pStyle w:val="covertext"/>
              <w:spacing w:before="0" w:after="0"/>
              <w:rPr>
                <w:rFonts w:eastAsiaTheme="minorEastAsia" w:hint="eastAsia"/>
                <w:lang w:val="pl-PL" w:eastAsia="ko-KR"/>
              </w:rPr>
            </w:pPr>
            <w:r>
              <w:rPr>
                <w:lang w:val="pl-PL"/>
              </w:rPr>
              <w:t>Soo-Young Chang</w:t>
            </w:r>
            <w:r w:rsidR="002B5756">
              <w:rPr>
                <w:rFonts w:eastAsiaTheme="minorEastAsia" w:hint="eastAsia"/>
                <w:lang w:val="pl-PL" w:eastAsia="ko-KR"/>
              </w:rPr>
              <w:t xml:space="preserve"> (SYCA), Jaehwan Kim (ETRI), and Sangsung Choi (ETRI)</w:t>
            </w:r>
            <w:r w:rsidR="009B5F24">
              <w:rPr>
                <w:lang w:val="pl-PL"/>
              </w:rPr>
              <w:t xml:space="preserve"> </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00240D54">
              <w:t>+1 530 574 2741</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r w:rsidR="00240D54">
              <w:t>sychang@ecs.csus.edu</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377EE2">
            <w:pPr>
              <w:pStyle w:val="covertext"/>
            </w:pPr>
            <w:r w:rsidRPr="00B167C9">
              <w:t>[</w:t>
            </w:r>
            <w:r w:rsidR="002B5756">
              <w:rPr>
                <w:rFonts w:eastAsiaTheme="minorEastAsia" w:hint="eastAsia"/>
                <w:lang w:eastAsia="ko-KR"/>
              </w:rPr>
              <w:t>Methodology</w:t>
            </w:r>
            <w:r w:rsidR="00377EE2">
              <w:t xml:space="preserve"> </w:t>
            </w:r>
            <w:r w:rsidR="00377EE2">
              <w:rPr>
                <w:rFonts w:eastAsiaTheme="minorEastAsia" w:hint="eastAsia"/>
                <w:lang w:eastAsia="ko-KR"/>
              </w:rPr>
              <w:t xml:space="preserve">in </w:t>
            </w:r>
            <w:r w:rsidR="00377EE2">
              <w:t xml:space="preserve">Subsection </w:t>
            </w:r>
            <w:r w:rsidR="00377EE2">
              <w:rPr>
                <w:rFonts w:eastAsiaTheme="minorEastAsia" w:hint="eastAsia"/>
                <w:lang w:eastAsia="ko-KR"/>
              </w:rPr>
              <w:t>1</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rFonts w:eastAsiaTheme="minorEastAsia" w:hint="eastAsia"/>
          <w:lang w:eastAsia="ko-KR"/>
        </w:rPr>
      </w:pPr>
    </w:p>
    <w:p w:rsidR="002B5756" w:rsidRDefault="002B5756" w:rsidP="00DC2536">
      <w:pPr>
        <w:rPr>
          <w:rFonts w:eastAsiaTheme="minorEastAsia" w:hint="eastAsia"/>
          <w:lang w:eastAsia="ko-KR"/>
        </w:rPr>
      </w:pPr>
      <w:r>
        <w:rPr>
          <w:rFonts w:eastAsiaTheme="minorEastAsia" w:hint="eastAsia"/>
          <w:lang w:eastAsia="ko-KR"/>
        </w:rPr>
        <w:t>(Last paragraph of Subsection 1)</w:t>
      </w:r>
    </w:p>
    <w:p w:rsidR="002B5756" w:rsidRDefault="002B5756" w:rsidP="00DC2536">
      <w:pPr>
        <w:rPr>
          <w:rFonts w:eastAsiaTheme="minorEastAsia" w:hint="eastAsia"/>
          <w:lang w:eastAsia="ko-KR"/>
        </w:rPr>
      </w:pPr>
    </w:p>
    <w:p w:rsidR="002B5756" w:rsidRPr="002B5756" w:rsidRDefault="002B5756" w:rsidP="002B5756">
      <w:pPr>
        <w:rPr>
          <w:rFonts w:eastAsiaTheme="minorEastAsia"/>
          <w:color w:val="FF0000"/>
          <w:lang w:eastAsia="ko-KR"/>
        </w:rPr>
      </w:pPr>
      <w:r w:rsidRPr="002B5756">
        <w:rPr>
          <w:rFonts w:eastAsiaTheme="minorEastAsia"/>
          <w:b/>
          <w:bCs/>
          <w:i/>
          <w:iCs/>
          <w:color w:val="FF0000"/>
          <w:lang w:eastAsia="ko-KR"/>
        </w:rPr>
        <w:t>Methodology</w:t>
      </w:r>
    </w:p>
    <w:p w:rsidR="002B5756" w:rsidRPr="002B5756" w:rsidRDefault="002B5756" w:rsidP="002B5756">
      <w:pPr>
        <w:rPr>
          <w:rFonts w:eastAsiaTheme="minorEastAsia" w:hint="eastAsia"/>
          <w:color w:val="FF0000"/>
          <w:lang w:eastAsia="ko-KR"/>
        </w:rPr>
      </w:pPr>
      <w:r w:rsidRPr="002B5756">
        <w:rPr>
          <w:rFonts w:eastAsiaTheme="minorEastAsia"/>
          <w:color w:val="FF0000"/>
          <w:lang w:eastAsia="ko-KR"/>
        </w:rPr>
        <w:tab/>
      </w:r>
    </w:p>
    <w:p w:rsidR="002B5756" w:rsidRPr="002B5756" w:rsidRDefault="002B5756" w:rsidP="002B5756">
      <w:pPr>
        <w:rPr>
          <w:rFonts w:eastAsiaTheme="minorEastAsia"/>
          <w:color w:val="FF0000"/>
          <w:lang w:eastAsia="ko-KR"/>
        </w:rPr>
      </w:pPr>
      <w:r w:rsidRPr="002B5756">
        <w:rPr>
          <w:rFonts w:eastAsiaTheme="minorEastAsia"/>
          <w:color w:val="FF0000"/>
          <w:lang w:eastAsia="ko-KR"/>
        </w:rPr>
        <w:t xml:space="preserve">The methodology is based on a consensus approach to defining a minimal set of features, characteristics, performance and constraints to be considered when making a proposal. </w:t>
      </w:r>
    </w:p>
    <w:p w:rsidR="002B5756" w:rsidRDefault="002B5756" w:rsidP="002B5756">
      <w:pPr>
        <w:rPr>
          <w:rFonts w:eastAsiaTheme="minorEastAsia" w:hint="eastAsia"/>
          <w:color w:val="FF0000"/>
          <w:lang w:eastAsia="ko-KR"/>
        </w:rPr>
      </w:pPr>
    </w:p>
    <w:p w:rsidR="002B5756" w:rsidRPr="002B5756" w:rsidRDefault="002B5756" w:rsidP="002B5756">
      <w:pPr>
        <w:rPr>
          <w:rFonts w:eastAsiaTheme="minorEastAsia"/>
          <w:color w:val="FF0000"/>
          <w:lang w:eastAsia="ko-KR"/>
        </w:rPr>
      </w:pPr>
      <w:r w:rsidRPr="002B5756">
        <w:rPr>
          <w:rFonts w:eastAsiaTheme="minorEastAsia"/>
          <w:color w:val="FF0000"/>
          <w:lang w:eastAsia="ko-KR"/>
        </w:rPr>
        <w:t>This document provides:</w:t>
      </w:r>
    </w:p>
    <w:p w:rsidR="00000000" w:rsidRPr="002B5756" w:rsidRDefault="00D450FF" w:rsidP="002B5756">
      <w:pPr>
        <w:numPr>
          <w:ilvl w:val="0"/>
          <w:numId w:val="45"/>
        </w:numPr>
        <w:rPr>
          <w:rFonts w:eastAsiaTheme="minorEastAsia"/>
          <w:color w:val="FF0000"/>
          <w:lang w:eastAsia="ko-KR"/>
        </w:rPr>
      </w:pPr>
      <w:r w:rsidRPr="002B5756">
        <w:rPr>
          <w:rFonts w:eastAsiaTheme="minorEastAsia"/>
          <w:color w:val="FF0000"/>
          <w:lang w:eastAsia="ko-KR"/>
        </w:rPr>
        <w:t xml:space="preserve">A functional view of the L2R characteristics, in the form of specific parameters which define externally verifiable performance and </w:t>
      </w:r>
      <w:r w:rsidR="002B5756">
        <w:rPr>
          <w:rFonts w:eastAsiaTheme="minorEastAsia"/>
          <w:color w:val="FF0000"/>
          <w:lang w:eastAsia="ko-KR"/>
        </w:rPr>
        <w:t>interoperability considerations</w:t>
      </w:r>
      <w:r w:rsidRPr="002B5756">
        <w:rPr>
          <w:rFonts w:eastAsiaTheme="minorEastAsia"/>
          <w:color w:val="FF0000"/>
          <w:lang w:eastAsia="ko-KR"/>
        </w:rPr>
        <w:t>;</w:t>
      </w:r>
    </w:p>
    <w:p w:rsidR="00000000" w:rsidRPr="002B5756" w:rsidRDefault="00830C89" w:rsidP="002B5756">
      <w:pPr>
        <w:numPr>
          <w:ilvl w:val="0"/>
          <w:numId w:val="45"/>
        </w:numPr>
        <w:rPr>
          <w:rFonts w:eastAsiaTheme="minorEastAsia"/>
          <w:color w:val="FF0000"/>
          <w:lang w:eastAsia="ko-KR"/>
        </w:rPr>
      </w:pPr>
      <w:r>
        <w:rPr>
          <w:rFonts w:eastAsiaTheme="minorEastAsia"/>
          <w:color w:val="FF0000"/>
          <w:lang w:eastAsia="ko-KR"/>
        </w:rPr>
        <w:t xml:space="preserve">Performance </w:t>
      </w:r>
      <w:r>
        <w:rPr>
          <w:rFonts w:eastAsiaTheme="minorEastAsia" w:hint="eastAsia"/>
          <w:color w:val="FF0000"/>
          <w:lang w:eastAsia="ko-KR"/>
        </w:rPr>
        <w:t>requirement</w:t>
      </w:r>
      <w:r w:rsidR="00D450FF" w:rsidRPr="002B5756">
        <w:rPr>
          <w:rFonts w:eastAsiaTheme="minorEastAsia"/>
          <w:color w:val="FF0000"/>
          <w:lang w:eastAsia="ko-KR"/>
        </w:rPr>
        <w:t xml:space="preserve">s which characterize the Layer 2 routing with any required </w:t>
      </w:r>
      <w:r w:rsidR="00D450FF" w:rsidRPr="002B5756">
        <w:rPr>
          <w:rFonts w:eastAsiaTheme="minorEastAsia"/>
          <w:color w:val="FF0000"/>
          <w:lang w:eastAsia="ko-KR"/>
        </w:rPr>
        <w:t>MAC information elements.</w:t>
      </w:r>
    </w:p>
    <w:p w:rsidR="002B5756" w:rsidRPr="002B5756" w:rsidRDefault="002B5756" w:rsidP="002B5756">
      <w:pPr>
        <w:rPr>
          <w:rFonts w:eastAsiaTheme="minorEastAsia"/>
          <w:color w:val="FF0000"/>
          <w:lang w:eastAsia="ko-KR"/>
        </w:rPr>
      </w:pPr>
      <w:r w:rsidRPr="002B5756">
        <w:rPr>
          <w:rFonts w:eastAsiaTheme="minorEastAsia"/>
          <w:color w:val="FF0000"/>
          <w:lang w:val="en-GB" w:eastAsia="ko-KR"/>
        </w:rPr>
        <w:tab/>
      </w:r>
    </w:p>
    <w:p w:rsidR="002B5756" w:rsidRPr="002B5756" w:rsidRDefault="002B5756" w:rsidP="002B5756">
      <w:pPr>
        <w:rPr>
          <w:rFonts w:eastAsiaTheme="minorEastAsia"/>
          <w:color w:val="FF0000"/>
          <w:lang w:eastAsia="ko-KR"/>
        </w:rPr>
      </w:pPr>
      <w:r w:rsidRPr="002B5756">
        <w:rPr>
          <w:rFonts w:eastAsiaTheme="minorEastAsia"/>
          <w:color w:val="FF0000"/>
          <w:lang w:val="en-GB" w:eastAsia="ko-KR"/>
        </w:rPr>
        <w:t xml:space="preserve">In preparing proposals, this can be used as a framework to produce a concise summary of the characteristics of each given proposal, and will allow the group to see the similarities and differences in submitted proposals. </w:t>
      </w:r>
    </w:p>
    <w:p w:rsidR="002B5756" w:rsidRPr="002B5756" w:rsidRDefault="002B5756" w:rsidP="00DC2536">
      <w:pPr>
        <w:rPr>
          <w:rFonts w:eastAsiaTheme="minorEastAsia" w:hint="eastAsia"/>
          <w:lang w:eastAsia="ko-KR"/>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0" w:name="OLE_LINK17"/>
      <w:bookmarkStart w:id="1" w:name="OLE_LINK18"/>
      <w:bookmarkStart w:id="2"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0"/>
    <w:bookmarkEnd w:id="1"/>
    <w:bookmarkEnd w:id="2"/>
    <w:p w:rsidR="00376332" w:rsidRPr="00225E60" w:rsidRDefault="00376332" w:rsidP="00513CD0">
      <w:pPr>
        <w:pStyle w:val="Heading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3" w:name="OLE_LINK13"/>
      <w:bookmarkStart w:id="4" w:name="OLE_LINK14"/>
      <w:bookmarkStart w:id="5" w:name="OLE_LINK19"/>
      <w:bookmarkStart w:id="6" w:name="OLE_LINK20"/>
    </w:p>
    <w:p w:rsidR="00C9397D" w:rsidRDefault="00C9397D" w:rsidP="00225E60">
      <w:pPr>
        <w:pStyle w:val="ListParagraph"/>
        <w:ind w:left="567"/>
        <w:rPr>
          <w:u w:val="single"/>
        </w:rPr>
      </w:pPr>
    </w:p>
    <w:p w:rsidR="00225E60" w:rsidRPr="00C9397D" w:rsidRDefault="00C9397D" w:rsidP="00647D5D">
      <w:pPr>
        <w:pStyle w:val="Heading3"/>
      </w:pPr>
      <w:r w:rsidRPr="00C9397D">
        <w:t>Scope</w:t>
      </w:r>
    </w:p>
    <w:p w:rsidR="00C9397D" w:rsidRDefault="00C9397D" w:rsidP="00C9397D">
      <w:pPr>
        <w:pStyle w:val="ListParagraph"/>
        <w:ind w:left="567"/>
        <w:rPr>
          <w:u w:val="single"/>
        </w:rPr>
      </w:pPr>
    </w:p>
    <w:p w:rsidR="00C9397D" w:rsidRPr="00C9397D" w:rsidRDefault="00C9397D" w:rsidP="00647D5D">
      <w:pPr>
        <w:pStyle w:val="Heading3"/>
      </w:pPr>
      <w:r>
        <w:t>Purpose</w:t>
      </w:r>
    </w:p>
    <w:bookmarkEnd w:id="3"/>
    <w:bookmarkEnd w:id="4"/>
    <w:bookmarkEnd w:id="5"/>
    <w:bookmarkEnd w:id="6"/>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Heading2"/>
      </w:pPr>
      <w:r w:rsidRPr="00225E60">
        <w:lastRenderedPageBreak/>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7" w:name="OLE_LINK24"/>
      <w:bookmarkStart w:id="8" w:name="OLE_LINK25"/>
      <w:r w:rsidRPr="00225E60">
        <w:t>Mesh Topology Discovery</w:t>
      </w:r>
    </w:p>
    <w:p w:rsidR="00225E60" w:rsidRPr="00225E60" w:rsidRDefault="00225E60" w:rsidP="00225E60">
      <w:pPr>
        <w:pStyle w:val="ListParagraph"/>
        <w:ind w:left="709"/>
        <w:rPr>
          <w:lang w:eastAsia="ja-JP"/>
        </w:rPr>
      </w:pPr>
    </w:p>
    <w:bookmarkEnd w:id="7"/>
    <w:bookmarkEnd w:id="8"/>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C32F2">
      <w:pPr>
        <w:pStyle w:val="ListParagraph"/>
      </w:pPr>
    </w:p>
    <w:p w:rsidR="006C32F2" w:rsidRDefault="006C32F2" w:rsidP="00647D5D">
      <w:pPr>
        <w:pStyle w:val="Heading2"/>
      </w:pPr>
      <w:r w:rsidRPr="006C32F2">
        <w:lastRenderedPageBreak/>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F30C85">
      <w:pPr>
        <w:pStyle w:val="Heading2"/>
        <w:rPr>
          <w:lang w:eastAsia="ja-JP"/>
        </w:rPr>
      </w:pPr>
      <w:bookmarkStart w:id="9" w:name="OLE_LINK21"/>
      <w:bookmarkStart w:id="10" w:name="OLE_LINK22"/>
      <w:r>
        <w:rPr>
          <w:lang w:eastAsia="ja-JP"/>
        </w:rPr>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9"/>
    <w:bookmarkEnd w:id="10"/>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E74A12" w:rsidRPr="00E74A12" w:rsidRDefault="00E74A12" w:rsidP="00E74A12">
      <w:pPr>
        <w:rPr>
          <w:lang w:eastAsia="ja-JP"/>
        </w:rPr>
      </w:pP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FF" w:rsidRDefault="00D450FF">
      <w:r>
        <w:separator/>
      </w:r>
    </w:p>
  </w:endnote>
  <w:endnote w:type="continuationSeparator" w:id="0">
    <w:p w:rsidR="00D450FF" w:rsidRDefault="00D450FF">
      <w:r>
        <w:continuationSeparator/>
      </w:r>
    </w:p>
  </w:endnote>
  <w:endnote w:type="continuationNotice" w:id="1">
    <w:p w:rsidR="00D450FF" w:rsidRDefault="00D450FF"/>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proofErr w:type="spellStart"/>
    <w:r w:rsidR="006963FF">
      <w:t>Soo</w:t>
    </w:r>
    <w:proofErr w:type="spellEnd"/>
    <w:r w:rsidR="006963FF">
      <w:t>-Young Chang</w:t>
    </w:r>
    <w:r>
      <w:rPr>
        <w:rFonts w:hint="eastAsia"/>
        <w:lang w:eastAsia="ja-JP"/>
      </w:rPr>
      <w:t xml:space="preserve"> </w:t>
    </w:r>
    <w:r>
      <w:t>(</w:t>
    </w:r>
    <w:r w:rsidR="006963FF">
      <w:t>SYCA</w:t>
    </w:r>
    <w:r>
      <w:t>)</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FF" w:rsidRDefault="00D450FF">
      <w:r>
        <w:separator/>
      </w:r>
    </w:p>
  </w:footnote>
  <w:footnote w:type="continuationSeparator" w:id="0">
    <w:p w:rsidR="00D450FF" w:rsidRDefault="00D450FF">
      <w:r>
        <w:continuationSeparator/>
      </w:r>
    </w:p>
  </w:footnote>
  <w:footnote w:type="continuationNotice" w:id="1">
    <w:p w:rsidR="00D450FF" w:rsidRDefault="00D450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694C1F">
      <w:rPr>
        <w:b/>
        <w:sz w:val="28"/>
      </w:rPr>
      <w:fldChar w:fldCharType="begin"/>
    </w:r>
    <w:r>
      <w:rPr>
        <w:b/>
        <w:sz w:val="28"/>
      </w:rPr>
      <w:instrText xml:space="preserve"> SAVEDATE \@ "MMMM, yyyy" \* MERGEFORMAT </w:instrText>
    </w:r>
    <w:r w:rsidR="00694C1F">
      <w:rPr>
        <w:b/>
        <w:sz w:val="28"/>
      </w:rPr>
      <w:fldChar w:fldCharType="separate"/>
    </w:r>
    <w:r w:rsidR="00125CC0">
      <w:rPr>
        <w:rFonts w:eastAsiaTheme="minorEastAsia" w:hint="eastAsia"/>
        <w:b/>
        <w:noProof/>
        <w:sz w:val="28"/>
        <w:lang w:eastAsia="ko-KR"/>
      </w:rPr>
      <w:t>Febr</w:t>
    </w:r>
    <w:r w:rsidR="002B5756">
      <w:rPr>
        <w:b/>
        <w:noProof/>
        <w:sz w:val="28"/>
        <w:lang w:eastAsia="ja-JP"/>
      </w:rPr>
      <w:t>uary</w:t>
    </w:r>
    <w:r w:rsidR="002B5756">
      <w:rPr>
        <w:b/>
        <w:noProof/>
        <w:sz w:val="28"/>
      </w:rPr>
      <w:t xml:space="preserve">, </w:t>
    </w:r>
    <w:r w:rsidR="002B5756">
      <w:rPr>
        <w:b/>
        <w:noProof/>
        <w:sz w:val="28"/>
        <w:lang w:eastAsia="ja-JP"/>
      </w:rPr>
      <w:t>2014</w:t>
    </w:r>
    <w:r w:rsidR="00694C1F">
      <w:rPr>
        <w:b/>
        <w:sz w:val="28"/>
      </w:rPr>
      <w:fldChar w:fldCharType="end"/>
    </w:r>
    <w:r>
      <w:rPr>
        <w:b/>
        <w:sz w:val="28"/>
      </w:rPr>
      <w:tab/>
      <w:t xml:space="preserve"> IEEE P802.</w:t>
    </w:r>
    <w:r w:rsidRPr="00513CD0">
      <w:rPr>
        <w:b/>
        <w:sz w:val="28"/>
      </w:rPr>
      <w:t xml:space="preserve">15 </w:t>
    </w:r>
    <w:r w:rsidRPr="00513CD0">
      <w:rPr>
        <w:b/>
        <w:sz w:val="28"/>
        <w:szCs w:val="28"/>
      </w:rPr>
      <w:t>-14-0</w:t>
    </w:r>
    <w:r w:rsidR="00D710AE">
      <w:rPr>
        <w:rFonts w:eastAsiaTheme="minorEastAsia" w:hint="eastAsia"/>
        <w:b/>
        <w:sz w:val="28"/>
        <w:szCs w:val="28"/>
        <w:lang w:eastAsia="ko-KR"/>
      </w:rPr>
      <w:t>109</w:t>
    </w:r>
    <w:r w:rsidR="00125CC0">
      <w:rPr>
        <w:b/>
        <w:sz w:val="28"/>
        <w:szCs w:val="28"/>
      </w:rPr>
      <w:t>-0</w:t>
    </w:r>
    <w:r w:rsidR="00D710AE">
      <w:rPr>
        <w:rFonts w:eastAsiaTheme="minorEastAsia" w:hint="eastAsia"/>
        <w:b/>
        <w:sz w:val="28"/>
        <w:szCs w:val="28"/>
        <w:lang w:eastAsia="ko-KR"/>
      </w:rPr>
      <w:t>0</w:t>
    </w:r>
    <w:r w:rsidRPr="00513CD0">
      <w:rPr>
        <w:b/>
        <w:sz w:val="28"/>
        <w:szCs w:val="28"/>
      </w:rPr>
      <w:t>-0010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179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C50B40"/>
    <w:multiLevelType w:val="hybridMultilevel"/>
    <w:tmpl w:val="7FF0BAB0"/>
    <w:lvl w:ilvl="0" w:tplc="9022DD0C">
      <w:start w:val="1"/>
      <w:numFmt w:val="bullet"/>
      <w:lvlText w:val="–"/>
      <w:lvlJc w:val="left"/>
      <w:pPr>
        <w:tabs>
          <w:tab w:val="num" w:pos="720"/>
        </w:tabs>
        <w:ind w:left="720" w:hanging="360"/>
      </w:pPr>
      <w:rPr>
        <w:rFonts w:ascii="Arial" w:hAnsi="Arial" w:hint="default"/>
      </w:rPr>
    </w:lvl>
    <w:lvl w:ilvl="1" w:tplc="9B7C54B2">
      <w:start w:val="1"/>
      <w:numFmt w:val="bullet"/>
      <w:lvlText w:val="–"/>
      <w:lvlJc w:val="left"/>
      <w:pPr>
        <w:tabs>
          <w:tab w:val="num" w:pos="1440"/>
        </w:tabs>
        <w:ind w:left="1440" w:hanging="360"/>
      </w:pPr>
      <w:rPr>
        <w:rFonts w:ascii="Arial" w:hAnsi="Arial" w:hint="default"/>
      </w:rPr>
    </w:lvl>
    <w:lvl w:ilvl="2" w:tplc="9AA075A2" w:tentative="1">
      <w:start w:val="1"/>
      <w:numFmt w:val="bullet"/>
      <w:lvlText w:val="–"/>
      <w:lvlJc w:val="left"/>
      <w:pPr>
        <w:tabs>
          <w:tab w:val="num" w:pos="2160"/>
        </w:tabs>
        <w:ind w:left="2160" w:hanging="360"/>
      </w:pPr>
      <w:rPr>
        <w:rFonts w:ascii="Arial" w:hAnsi="Arial" w:hint="default"/>
      </w:rPr>
    </w:lvl>
    <w:lvl w:ilvl="3" w:tplc="6D8AE6D6" w:tentative="1">
      <w:start w:val="1"/>
      <w:numFmt w:val="bullet"/>
      <w:lvlText w:val="–"/>
      <w:lvlJc w:val="left"/>
      <w:pPr>
        <w:tabs>
          <w:tab w:val="num" w:pos="2880"/>
        </w:tabs>
        <w:ind w:left="2880" w:hanging="360"/>
      </w:pPr>
      <w:rPr>
        <w:rFonts w:ascii="Arial" w:hAnsi="Arial" w:hint="default"/>
      </w:rPr>
    </w:lvl>
    <w:lvl w:ilvl="4" w:tplc="46B4C752" w:tentative="1">
      <w:start w:val="1"/>
      <w:numFmt w:val="bullet"/>
      <w:lvlText w:val="–"/>
      <w:lvlJc w:val="left"/>
      <w:pPr>
        <w:tabs>
          <w:tab w:val="num" w:pos="3600"/>
        </w:tabs>
        <w:ind w:left="3600" w:hanging="360"/>
      </w:pPr>
      <w:rPr>
        <w:rFonts w:ascii="Arial" w:hAnsi="Arial" w:hint="default"/>
      </w:rPr>
    </w:lvl>
    <w:lvl w:ilvl="5" w:tplc="300A6798" w:tentative="1">
      <w:start w:val="1"/>
      <w:numFmt w:val="bullet"/>
      <w:lvlText w:val="–"/>
      <w:lvlJc w:val="left"/>
      <w:pPr>
        <w:tabs>
          <w:tab w:val="num" w:pos="4320"/>
        </w:tabs>
        <w:ind w:left="4320" w:hanging="360"/>
      </w:pPr>
      <w:rPr>
        <w:rFonts w:ascii="Arial" w:hAnsi="Arial" w:hint="default"/>
      </w:rPr>
    </w:lvl>
    <w:lvl w:ilvl="6" w:tplc="A54CF250" w:tentative="1">
      <w:start w:val="1"/>
      <w:numFmt w:val="bullet"/>
      <w:lvlText w:val="–"/>
      <w:lvlJc w:val="left"/>
      <w:pPr>
        <w:tabs>
          <w:tab w:val="num" w:pos="5040"/>
        </w:tabs>
        <w:ind w:left="5040" w:hanging="360"/>
      </w:pPr>
      <w:rPr>
        <w:rFonts w:ascii="Arial" w:hAnsi="Arial" w:hint="default"/>
      </w:rPr>
    </w:lvl>
    <w:lvl w:ilvl="7" w:tplc="A4781D8C" w:tentative="1">
      <w:start w:val="1"/>
      <w:numFmt w:val="bullet"/>
      <w:lvlText w:val="–"/>
      <w:lvlJc w:val="left"/>
      <w:pPr>
        <w:tabs>
          <w:tab w:val="num" w:pos="5760"/>
        </w:tabs>
        <w:ind w:left="5760" w:hanging="360"/>
      </w:pPr>
      <w:rPr>
        <w:rFonts w:ascii="Arial" w:hAnsi="Arial" w:hint="default"/>
      </w:rPr>
    </w:lvl>
    <w:lvl w:ilvl="8" w:tplc="F37092B2" w:tentative="1">
      <w:start w:val="1"/>
      <w:numFmt w:val="bullet"/>
      <w:lvlText w:val="–"/>
      <w:lvlJc w:val="left"/>
      <w:pPr>
        <w:tabs>
          <w:tab w:val="num" w:pos="6480"/>
        </w:tabs>
        <w:ind w:left="6480" w:hanging="360"/>
      </w:pPr>
      <w:rPr>
        <w:rFonts w:ascii="Arial" w:hAnsi="Arial" w:hint="default"/>
      </w:rPr>
    </w:lvl>
  </w:abstractNum>
  <w:abstractNum w:abstractNumId="8">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04D78CC"/>
    <w:multiLevelType w:val="multilevel"/>
    <w:tmpl w:val="32682D12"/>
    <w:numStyleLink w:val="Headings"/>
  </w:abstractNum>
  <w:abstractNum w:abstractNumId="21">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5">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7">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9">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41"/>
  </w:num>
  <w:num w:numId="4">
    <w:abstractNumId w:val="13"/>
  </w:num>
  <w:num w:numId="5">
    <w:abstractNumId w:val="12"/>
  </w:num>
  <w:num w:numId="6">
    <w:abstractNumId w:val="22"/>
  </w:num>
  <w:num w:numId="7">
    <w:abstractNumId w:val="18"/>
  </w:num>
  <w:num w:numId="8">
    <w:abstractNumId w:val="23"/>
  </w:num>
  <w:num w:numId="9">
    <w:abstractNumId w:val="30"/>
  </w:num>
  <w:num w:numId="10">
    <w:abstractNumId w:val="25"/>
  </w:num>
  <w:num w:numId="11">
    <w:abstractNumId w:val="33"/>
  </w:num>
  <w:num w:numId="12">
    <w:abstractNumId w:val="6"/>
  </w:num>
  <w:num w:numId="13">
    <w:abstractNumId w:val="40"/>
  </w:num>
  <w:num w:numId="14">
    <w:abstractNumId w:val="16"/>
  </w:num>
  <w:num w:numId="15">
    <w:abstractNumId w:val="21"/>
  </w:num>
  <w:num w:numId="16">
    <w:abstractNumId w:val="31"/>
  </w:num>
  <w:num w:numId="17">
    <w:abstractNumId w:val="15"/>
  </w:num>
  <w:num w:numId="18">
    <w:abstractNumId w:val="42"/>
  </w:num>
  <w:num w:numId="19">
    <w:abstractNumId w:val="24"/>
  </w:num>
  <w:num w:numId="20">
    <w:abstractNumId w:val="8"/>
  </w:num>
  <w:num w:numId="21">
    <w:abstractNumId w:val="43"/>
  </w:num>
  <w:num w:numId="22">
    <w:abstractNumId w:val="28"/>
  </w:num>
  <w:num w:numId="23">
    <w:abstractNumId w:val="36"/>
  </w:num>
  <w:num w:numId="24">
    <w:abstractNumId w:val="0"/>
  </w:num>
  <w:num w:numId="25">
    <w:abstractNumId w:val="3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27"/>
  </w:num>
  <w:num w:numId="30">
    <w:abstractNumId w:val="10"/>
  </w:num>
  <w:num w:numId="31">
    <w:abstractNumId w:val="11"/>
  </w:num>
  <w:num w:numId="32">
    <w:abstractNumId w:val="14"/>
  </w:num>
  <w:num w:numId="33">
    <w:abstractNumId w:val="19"/>
  </w:num>
  <w:num w:numId="34">
    <w:abstractNumId w:val="35"/>
  </w:num>
  <w:num w:numId="35">
    <w:abstractNumId w:val="9"/>
  </w:num>
  <w:num w:numId="36">
    <w:abstractNumId w:val="38"/>
  </w:num>
  <w:num w:numId="37">
    <w:abstractNumId w:val="29"/>
  </w:num>
  <w:num w:numId="38">
    <w:abstractNumId w:val="2"/>
  </w:num>
  <w:num w:numId="39">
    <w:abstractNumId w:val="32"/>
  </w:num>
  <w:num w:numId="40">
    <w:abstractNumId w:val="3"/>
  </w:num>
  <w:num w:numId="41">
    <w:abstractNumId w:val="1"/>
  </w:num>
  <w:num w:numId="42">
    <w:abstractNumId w:val="39"/>
  </w:num>
  <w:num w:numId="43">
    <w:abstractNumId w:val="17"/>
  </w:num>
  <w:num w:numId="44">
    <w:abstractNumId w:val="20"/>
  </w:num>
  <w:num w:numId="45">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6">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4984"/>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E4D83"/>
    <w:rsid w:val="000F4949"/>
    <w:rsid w:val="0010001D"/>
    <w:rsid w:val="00101E95"/>
    <w:rsid w:val="00103A35"/>
    <w:rsid w:val="00106959"/>
    <w:rsid w:val="001137BE"/>
    <w:rsid w:val="0011511A"/>
    <w:rsid w:val="001166CC"/>
    <w:rsid w:val="00117079"/>
    <w:rsid w:val="00124F89"/>
    <w:rsid w:val="00125CC0"/>
    <w:rsid w:val="00125EF7"/>
    <w:rsid w:val="001268EB"/>
    <w:rsid w:val="00130DB9"/>
    <w:rsid w:val="00136534"/>
    <w:rsid w:val="00137570"/>
    <w:rsid w:val="00144D17"/>
    <w:rsid w:val="001475F8"/>
    <w:rsid w:val="00147C33"/>
    <w:rsid w:val="0015381A"/>
    <w:rsid w:val="0015657F"/>
    <w:rsid w:val="0016771E"/>
    <w:rsid w:val="00167B30"/>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60CC"/>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40D54"/>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5756"/>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77EE2"/>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4FC9"/>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24F"/>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8"/>
    <w:rsid w:val="00681C39"/>
    <w:rsid w:val="00683A2E"/>
    <w:rsid w:val="00687B1E"/>
    <w:rsid w:val="00687B2A"/>
    <w:rsid w:val="00691F94"/>
    <w:rsid w:val="00692249"/>
    <w:rsid w:val="00693B47"/>
    <w:rsid w:val="0069439F"/>
    <w:rsid w:val="00694547"/>
    <w:rsid w:val="00694C1F"/>
    <w:rsid w:val="00694F3A"/>
    <w:rsid w:val="006963FF"/>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0C89"/>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B521A"/>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3D3"/>
    <w:rsid w:val="009B3633"/>
    <w:rsid w:val="009B44E5"/>
    <w:rsid w:val="009B5F24"/>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05D"/>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450FF"/>
    <w:rsid w:val="00D53202"/>
    <w:rsid w:val="00D60066"/>
    <w:rsid w:val="00D710AE"/>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B7A2C"/>
    <w:rsid w:val="00DC2054"/>
    <w:rsid w:val="00DC2536"/>
    <w:rsid w:val="00DC2CDB"/>
    <w:rsid w:val="00DC3D7C"/>
    <w:rsid w:val="00DC507B"/>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36B3"/>
    <w:rsid w:val="00E74A12"/>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1976"/>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3373"/>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681668725">
      <w:bodyDiv w:val="1"/>
      <w:marLeft w:val="0"/>
      <w:marRight w:val="0"/>
      <w:marTop w:val="0"/>
      <w:marBottom w:val="0"/>
      <w:divBdr>
        <w:top w:val="none" w:sz="0" w:space="0" w:color="auto"/>
        <w:left w:val="none" w:sz="0" w:space="0" w:color="auto"/>
        <w:bottom w:val="none" w:sz="0" w:space="0" w:color="auto"/>
        <w:right w:val="none" w:sz="0" w:space="0" w:color="auto"/>
      </w:divBdr>
      <w:divsChild>
        <w:div w:id="392239463">
          <w:marLeft w:val="1166"/>
          <w:marRight w:val="0"/>
          <w:marTop w:val="77"/>
          <w:marBottom w:val="0"/>
          <w:divBdr>
            <w:top w:val="none" w:sz="0" w:space="0" w:color="auto"/>
            <w:left w:val="none" w:sz="0" w:space="0" w:color="auto"/>
            <w:bottom w:val="none" w:sz="0" w:space="0" w:color="auto"/>
            <w:right w:val="none" w:sz="0" w:space="0" w:color="auto"/>
          </w:divBdr>
        </w:div>
        <w:div w:id="338503100">
          <w:marLeft w:val="1166"/>
          <w:marRight w:val="0"/>
          <w:marTop w:val="77"/>
          <w:marBottom w:val="0"/>
          <w:divBdr>
            <w:top w:val="none" w:sz="0" w:space="0" w:color="auto"/>
            <w:left w:val="none" w:sz="0" w:space="0" w:color="auto"/>
            <w:bottom w:val="none" w:sz="0" w:space="0" w:color="auto"/>
            <w:right w:val="none" w:sz="0" w:space="0" w:color="auto"/>
          </w:divBdr>
        </w:div>
      </w:divsChild>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FCAA4-55F6-46CA-A681-FC5EEC57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Soo-Young Chang</cp:lastModifiedBy>
  <cp:revision>4</cp:revision>
  <cp:lastPrinted>2012-01-19T21:14:00Z</cp:lastPrinted>
  <dcterms:created xsi:type="dcterms:W3CDTF">2014-02-18T03:01:00Z</dcterms:created>
  <dcterms:modified xsi:type="dcterms:W3CDTF">2014-02-18T03:02:00Z</dcterms:modified>
  <cp:category>&lt;15-13-0295-00-0000&gt;</cp:category>
</cp:coreProperties>
</file>