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E4" w:rsidRDefault="003862F4">
      <w:pPr>
        <w:jc w:val="center"/>
        <w:rPr>
          <w:b/>
          <w:sz w:val="28"/>
        </w:rPr>
      </w:pPr>
      <w:r>
        <w:rPr>
          <w:b/>
          <w:sz w:val="28"/>
        </w:rPr>
        <w:t>IEEE P802.15</w:t>
      </w:r>
    </w:p>
    <w:p w:rsidR="001E5FE4" w:rsidRDefault="003862F4">
      <w:pPr>
        <w:jc w:val="center"/>
        <w:rPr>
          <w:b/>
          <w:sz w:val="28"/>
        </w:rPr>
      </w:pPr>
      <w:r>
        <w:rPr>
          <w:b/>
          <w:sz w:val="28"/>
        </w:rPr>
        <w:t>Wireless Personal Area Networks</w:t>
      </w:r>
    </w:p>
    <w:p w:rsidR="001E5FE4" w:rsidRDefault="001E5FE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E5FE4">
        <w:tc>
          <w:tcPr>
            <w:tcW w:w="1260" w:type="dxa"/>
            <w:tcBorders>
              <w:top w:val="single" w:sz="6" w:space="0" w:color="auto"/>
            </w:tcBorders>
          </w:tcPr>
          <w:p w:rsidR="001E5FE4" w:rsidRDefault="003862F4">
            <w:pPr>
              <w:pStyle w:val="covertext"/>
            </w:pPr>
            <w:r>
              <w:t>Project</w:t>
            </w:r>
          </w:p>
        </w:tc>
        <w:tc>
          <w:tcPr>
            <w:tcW w:w="8190" w:type="dxa"/>
            <w:gridSpan w:val="2"/>
            <w:tcBorders>
              <w:top w:val="single" w:sz="6" w:space="0" w:color="auto"/>
            </w:tcBorders>
          </w:tcPr>
          <w:p w:rsidR="001E5FE4" w:rsidRDefault="003862F4">
            <w:pPr>
              <w:pStyle w:val="covertext"/>
            </w:pPr>
            <w:r>
              <w:t>IEEE P802.15 Working Group for Wireless Personal Area Networks (WPANs)</w:t>
            </w:r>
          </w:p>
        </w:tc>
      </w:tr>
      <w:tr w:rsidR="001E5FE4" w:rsidRPr="005004B8">
        <w:tc>
          <w:tcPr>
            <w:tcW w:w="1260" w:type="dxa"/>
            <w:tcBorders>
              <w:top w:val="single" w:sz="6" w:space="0" w:color="auto"/>
            </w:tcBorders>
          </w:tcPr>
          <w:p w:rsidR="001E5FE4" w:rsidRDefault="003862F4">
            <w:pPr>
              <w:pStyle w:val="covertext"/>
            </w:pPr>
            <w:r>
              <w:t>Title</w:t>
            </w:r>
          </w:p>
        </w:tc>
        <w:tc>
          <w:tcPr>
            <w:tcW w:w="8190" w:type="dxa"/>
            <w:gridSpan w:val="2"/>
            <w:tcBorders>
              <w:top w:val="single" w:sz="6" w:space="0" w:color="auto"/>
            </w:tcBorders>
          </w:tcPr>
          <w:p w:rsidR="001E5FE4" w:rsidRPr="005004B8" w:rsidRDefault="00C21B04">
            <w:pPr>
              <w:pStyle w:val="covertext"/>
            </w:pPr>
            <w:r>
              <w:fldChar w:fldCharType="begin"/>
            </w:r>
            <w:r>
              <w:instrText xml:space="preserve"> TITLE  \* MERGEFORMAT </w:instrText>
            </w:r>
            <w:r>
              <w:fldChar w:fldCharType="separate"/>
            </w:r>
            <w:r w:rsidR="0004149F" w:rsidRPr="0004149F">
              <w:rPr>
                <w:b/>
                <w:sz w:val="28"/>
              </w:rPr>
              <w:t>SG SRU Teleconference Minutes for December 2013</w:t>
            </w:r>
            <w:r>
              <w:rPr>
                <w:b/>
                <w:sz w:val="28"/>
              </w:rPr>
              <w:fldChar w:fldCharType="end"/>
            </w:r>
          </w:p>
        </w:tc>
      </w:tr>
      <w:tr w:rsidR="001E5FE4">
        <w:tc>
          <w:tcPr>
            <w:tcW w:w="1260" w:type="dxa"/>
            <w:tcBorders>
              <w:top w:val="single" w:sz="6" w:space="0" w:color="auto"/>
            </w:tcBorders>
          </w:tcPr>
          <w:p w:rsidR="001E5FE4" w:rsidRDefault="003862F4">
            <w:pPr>
              <w:pStyle w:val="covertext"/>
            </w:pPr>
            <w:r>
              <w:t>Date Submitted</w:t>
            </w:r>
          </w:p>
        </w:tc>
        <w:tc>
          <w:tcPr>
            <w:tcW w:w="8190" w:type="dxa"/>
            <w:gridSpan w:val="2"/>
            <w:tcBorders>
              <w:top w:val="single" w:sz="6" w:space="0" w:color="auto"/>
            </w:tcBorders>
          </w:tcPr>
          <w:p w:rsidR="001E5FE4" w:rsidRDefault="003862F4" w:rsidP="007C5A10">
            <w:pPr>
              <w:pStyle w:val="covertext"/>
            </w:pPr>
            <w:r>
              <w:t>[</w:t>
            </w:r>
            <w:r w:rsidR="007C5A10">
              <w:rPr>
                <w:rFonts w:hint="eastAsia"/>
              </w:rPr>
              <w:t>8</w:t>
            </w:r>
            <w:r>
              <w:t xml:space="preserve"> </w:t>
            </w:r>
            <w:r w:rsidR="007C5A10">
              <w:rPr>
                <w:rFonts w:hint="eastAsia"/>
              </w:rPr>
              <w:t>January</w:t>
            </w:r>
            <w:r>
              <w:t xml:space="preserve">, </w:t>
            </w:r>
            <w:r w:rsidR="005004B8">
              <w:rPr>
                <w:rFonts w:hint="eastAsia"/>
              </w:rPr>
              <w:t>201</w:t>
            </w:r>
            <w:r w:rsidR="007C5A10">
              <w:rPr>
                <w:rFonts w:hint="eastAsia"/>
              </w:rPr>
              <w:t>4</w:t>
            </w:r>
            <w:r>
              <w:t>]</w:t>
            </w:r>
          </w:p>
        </w:tc>
      </w:tr>
      <w:tr w:rsidR="001E5FE4">
        <w:tc>
          <w:tcPr>
            <w:tcW w:w="1260" w:type="dxa"/>
            <w:tcBorders>
              <w:top w:val="single" w:sz="4" w:space="0" w:color="auto"/>
              <w:bottom w:val="single" w:sz="4" w:space="0" w:color="auto"/>
            </w:tcBorders>
          </w:tcPr>
          <w:p w:rsidR="001E5FE4" w:rsidRDefault="003862F4">
            <w:pPr>
              <w:pStyle w:val="covertext"/>
            </w:pPr>
            <w:r>
              <w:t>Source</w:t>
            </w:r>
          </w:p>
        </w:tc>
        <w:tc>
          <w:tcPr>
            <w:tcW w:w="4050" w:type="dxa"/>
            <w:tcBorders>
              <w:top w:val="single" w:sz="4" w:space="0" w:color="auto"/>
              <w:bottom w:val="single" w:sz="4" w:space="0" w:color="auto"/>
            </w:tcBorders>
          </w:tcPr>
          <w:p w:rsidR="001E5FE4" w:rsidRDefault="003862F4">
            <w:pPr>
              <w:pStyle w:val="covertext"/>
              <w:spacing w:before="0" w:after="0"/>
            </w:pPr>
            <w:r>
              <w:t>[</w:t>
            </w:r>
            <w:r w:rsidR="00C21B04">
              <w:fldChar w:fldCharType="begin"/>
            </w:r>
            <w:r w:rsidR="00C21B04">
              <w:instrText xml:space="preserve"> AUTHOR  \* MERGEFORMAT </w:instrText>
            </w:r>
            <w:r w:rsidR="00C21B04">
              <w:fldChar w:fldCharType="separate"/>
            </w:r>
            <w:r w:rsidR="00C2071A">
              <w:rPr>
                <w:noProof/>
              </w:rPr>
              <w:t>Shoichi Kitazawa</w:t>
            </w:r>
            <w:r w:rsidR="00C21B04">
              <w:rPr>
                <w:noProof/>
              </w:rPr>
              <w:fldChar w:fldCharType="end"/>
            </w:r>
            <w:r>
              <w:t>]</w:t>
            </w:r>
            <w:r>
              <w:br/>
              <w:t>[</w:t>
            </w:r>
            <w:r w:rsidR="00C21B04">
              <w:fldChar w:fldCharType="begin"/>
            </w:r>
            <w:r w:rsidR="00C21B04">
              <w:instrText xml:space="preserve"> DOCPROPERTY "Company"  \* MERGEFORMAT </w:instrText>
            </w:r>
            <w:r w:rsidR="00C21B04">
              <w:fldChar w:fldCharType="separate"/>
            </w:r>
            <w:r w:rsidR="00C2071A">
              <w:t>ATR</w:t>
            </w:r>
            <w:r w:rsidR="00C21B04">
              <w:fldChar w:fldCharType="end"/>
            </w:r>
            <w:r>
              <w:t>]</w:t>
            </w:r>
            <w:r>
              <w:br/>
            </w:r>
            <w:r w:rsidR="00317523">
              <w:t>[</w:t>
            </w:r>
            <w:r w:rsidR="00317523">
              <w:rPr>
                <w:rFonts w:hint="eastAsia"/>
              </w:rPr>
              <w:t>Kyoto Japan</w:t>
            </w:r>
            <w:r>
              <w:t>]</w:t>
            </w:r>
          </w:p>
        </w:tc>
        <w:tc>
          <w:tcPr>
            <w:tcW w:w="4140" w:type="dxa"/>
            <w:tcBorders>
              <w:top w:val="single" w:sz="4" w:space="0" w:color="auto"/>
              <w:bottom w:val="single" w:sz="4" w:space="0" w:color="auto"/>
            </w:tcBorders>
          </w:tcPr>
          <w:p w:rsidR="001E5FE4" w:rsidRDefault="003862F4" w:rsidP="005004B8">
            <w:pPr>
              <w:pStyle w:val="covertext"/>
              <w:tabs>
                <w:tab w:val="left" w:pos="1152"/>
              </w:tabs>
              <w:spacing w:before="0" w:after="0"/>
              <w:rPr>
                <w:sz w:val="18"/>
              </w:rPr>
            </w:pPr>
            <w:r>
              <w:t>Voice:</w:t>
            </w:r>
            <w:r>
              <w:tab/>
              <w:t xml:space="preserve">[  </w:t>
            </w:r>
            <w:r w:rsidR="005004B8">
              <w:rPr>
                <w:rFonts w:hint="eastAsia"/>
              </w:rPr>
              <w:t>+81-774-95-1565</w:t>
            </w:r>
            <w:r w:rsidR="007F6D86">
              <w:t>]</w:t>
            </w:r>
            <w:r w:rsidR="007F6D86">
              <w:br/>
              <w:t>Fax:</w:t>
            </w:r>
            <w:r w:rsidR="007F6D86">
              <w:tab/>
              <w:t>[   ]</w:t>
            </w:r>
            <w:r w:rsidR="007F6D86">
              <w:br/>
              <w:t>E-mail:</w:t>
            </w:r>
            <w:r w:rsidR="007F6D86">
              <w:tab/>
              <w:t>[</w:t>
            </w:r>
            <w:r w:rsidR="005004B8">
              <w:rPr>
                <w:rFonts w:hint="eastAsia"/>
              </w:rPr>
              <w:t>kitazawa@atr.jp</w:t>
            </w:r>
            <w:r>
              <w:t>]</w:t>
            </w:r>
          </w:p>
        </w:tc>
      </w:tr>
      <w:tr w:rsidR="001E5FE4">
        <w:tc>
          <w:tcPr>
            <w:tcW w:w="1260" w:type="dxa"/>
            <w:tcBorders>
              <w:top w:val="single" w:sz="6" w:space="0" w:color="auto"/>
            </w:tcBorders>
          </w:tcPr>
          <w:p w:rsidR="001E5FE4" w:rsidRDefault="003862F4">
            <w:pPr>
              <w:pStyle w:val="covertext"/>
            </w:pPr>
            <w:r>
              <w:t>Re:</w:t>
            </w:r>
          </w:p>
        </w:tc>
        <w:tc>
          <w:tcPr>
            <w:tcW w:w="8190" w:type="dxa"/>
            <w:gridSpan w:val="2"/>
            <w:tcBorders>
              <w:top w:val="single" w:sz="6" w:space="0" w:color="auto"/>
            </w:tcBorders>
          </w:tcPr>
          <w:p w:rsidR="001E5FE4" w:rsidRDefault="001E5FE4">
            <w:pPr>
              <w:pStyle w:val="covertext"/>
            </w:pPr>
          </w:p>
        </w:tc>
      </w:tr>
      <w:tr w:rsidR="001E5FE4">
        <w:tc>
          <w:tcPr>
            <w:tcW w:w="1260" w:type="dxa"/>
            <w:tcBorders>
              <w:top w:val="single" w:sz="6" w:space="0" w:color="auto"/>
            </w:tcBorders>
          </w:tcPr>
          <w:p w:rsidR="001E5FE4" w:rsidRDefault="003862F4">
            <w:pPr>
              <w:pStyle w:val="covertext"/>
            </w:pPr>
            <w:r>
              <w:t>Abstract</w:t>
            </w:r>
          </w:p>
        </w:tc>
        <w:tc>
          <w:tcPr>
            <w:tcW w:w="8190" w:type="dxa"/>
            <w:gridSpan w:val="2"/>
            <w:tcBorders>
              <w:top w:val="single" w:sz="6" w:space="0" w:color="auto"/>
            </w:tcBorders>
          </w:tcPr>
          <w:p w:rsidR="001E5FE4" w:rsidRPr="005004B8" w:rsidRDefault="00064050" w:rsidP="0004149F">
            <w:pPr>
              <w:pStyle w:val="covertext"/>
            </w:pPr>
            <w:r>
              <w:rPr>
                <w:rFonts w:hint="eastAsia"/>
              </w:rPr>
              <w:t xml:space="preserve">Meeting note of </w:t>
            </w:r>
            <w:r w:rsidR="007B41E6">
              <w:rPr>
                <w:rFonts w:hint="eastAsia"/>
              </w:rPr>
              <w:t>S</w:t>
            </w:r>
            <w:r>
              <w:rPr>
                <w:rFonts w:hint="eastAsia"/>
              </w:rPr>
              <w:t>G SRU</w:t>
            </w:r>
            <w:r w:rsidR="005004B8">
              <w:rPr>
                <w:rFonts w:hint="eastAsia"/>
              </w:rPr>
              <w:t xml:space="preserve"> </w:t>
            </w:r>
            <w:r w:rsidR="005004B8">
              <w:t>teleconference</w:t>
            </w:r>
            <w:r w:rsidR="005004B8">
              <w:rPr>
                <w:rFonts w:hint="eastAsia"/>
              </w:rPr>
              <w:t xml:space="preserve"> held on </w:t>
            </w:r>
            <w:r w:rsidR="0004149F">
              <w:rPr>
                <w:rFonts w:hint="eastAsia"/>
              </w:rPr>
              <w:t>December</w:t>
            </w:r>
            <w:r w:rsidR="007C5A10">
              <w:rPr>
                <w:rFonts w:hint="eastAsia"/>
              </w:rPr>
              <w:t xml:space="preserve"> 2nd</w:t>
            </w:r>
            <w:r w:rsidR="00EC1CE1">
              <w:rPr>
                <w:rFonts w:hint="eastAsia"/>
              </w:rPr>
              <w:t>.</w:t>
            </w:r>
          </w:p>
        </w:tc>
      </w:tr>
      <w:tr w:rsidR="001E5FE4">
        <w:tc>
          <w:tcPr>
            <w:tcW w:w="1260" w:type="dxa"/>
            <w:tcBorders>
              <w:top w:val="single" w:sz="6" w:space="0" w:color="auto"/>
            </w:tcBorders>
          </w:tcPr>
          <w:p w:rsidR="001E5FE4" w:rsidRDefault="003862F4">
            <w:pPr>
              <w:pStyle w:val="covertext"/>
            </w:pPr>
            <w:r>
              <w:t>Purpose</w:t>
            </w:r>
          </w:p>
        </w:tc>
        <w:tc>
          <w:tcPr>
            <w:tcW w:w="8190" w:type="dxa"/>
            <w:gridSpan w:val="2"/>
            <w:tcBorders>
              <w:top w:val="single" w:sz="6" w:space="0" w:color="auto"/>
            </w:tcBorders>
          </w:tcPr>
          <w:p w:rsidR="001E5FE4" w:rsidRDefault="005004B8" w:rsidP="00064050">
            <w:pPr>
              <w:pStyle w:val="covertext"/>
            </w:pPr>
            <w:r>
              <w:t>Meeting minutes</w:t>
            </w:r>
          </w:p>
        </w:tc>
      </w:tr>
      <w:tr w:rsidR="001E5FE4">
        <w:tc>
          <w:tcPr>
            <w:tcW w:w="1260" w:type="dxa"/>
            <w:tcBorders>
              <w:top w:val="single" w:sz="6" w:space="0" w:color="auto"/>
              <w:bottom w:val="single" w:sz="6" w:space="0" w:color="auto"/>
            </w:tcBorders>
          </w:tcPr>
          <w:p w:rsidR="001E5FE4" w:rsidRDefault="003862F4">
            <w:pPr>
              <w:pStyle w:val="covertext"/>
            </w:pPr>
            <w:r>
              <w:t>Notice</w:t>
            </w:r>
          </w:p>
        </w:tc>
        <w:tc>
          <w:tcPr>
            <w:tcW w:w="8190" w:type="dxa"/>
            <w:gridSpan w:val="2"/>
            <w:tcBorders>
              <w:top w:val="single" w:sz="6" w:space="0" w:color="auto"/>
              <w:bottom w:val="single" w:sz="6" w:space="0" w:color="auto"/>
            </w:tcBorders>
          </w:tcPr>
          <w:p w:rsidR="001E5FE4" w:rsidRDefault="003862F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E5FE4">
        <w:tc>
          <w:tcPr>
            <w:tcW w:w="1260" w:type="dxa"/>
            <w:tcBorders>
              <w:top w:val="single" w:sz="6" w:space="0" w:color="auto"/>
              <w:bottom w:val="single" w:sz="6" w:space="0" w:color="auto"/>
            </w:tcBorders>
          </w:tcPr>
          <w:p w:rsidR="001E5FE4" w:rsidRDefault="003862F4">
            <w:pPr>
              <w:pStyle w:val="covertext"/>
            </w:pPr>
            <w:r>
              <w:t>Release</w:t>
            </w:r>
          </w:p>
        </w:tc>
        <w:tc>
          <w:tcPr>
            <w:tcW w:w="8190" w:type="dxa"/>
            <w:gridSpan w:val="2"/>
            <w:tcBorders>
              <w:top w:val="single" w:sz="6" w:space="0" w:color="auto"/>
              <w:bottom w:val="single" w:sz="6" w:space="0" w:color="auto"/>
            </w:tcBorders>
          </w:tcPr>
          <w:p w:rsidR="001E5FE4" w:rsidRDefault="003862F4">
            <w:pPr>
              <w:pStyle w:val="covertext"/>
            </w:pPr>
            <w:r>
              <w:t>The contributor acknowledges and accepts that this contribution becomes the property of IEEE and may be made publicly available by P802.15.</w:t>
            </w:r>
          </w:p>
        </w:tc>
      </w:tr>
    </w:tbl>
    <w:p w:rsidR="00680C12" w:rsidRDefault="003862F4" w:rsidP="00064050">
      <w:pPr>
        <w:widowControl w:val="0"/>
        <w:spacing w:before="120"/>
        <w:jc w:val="center"/>
        <w:rPr>
          <w:b/>
          <w:sz w:val="28"/>
        </w:rPr>
      </w:pPr>
      <w:r>
        <w:rPr>
          <w:b/>
          <w:sz w:val="28"/>
        </w:rPr>
        <w:br w:type="page"/>
      </w:r>
      <w:r w:rsidR="00680C12">
        <w:rPr>
          <w:rFonts w:hint="eastAsia"/>
          <w:b/>
          <w:sz w:val="28"/>
        </w:rPr>
        <w:lastRenderedPageBreak/>
        <w:t>IEEE 802.15 SG SRU Teleconference</w:t>
      </w:r>
    </w:p>
    <w:p w:rsidR="00064050" w:rsidRDefault="007F6D86" w:rsidP="00064050">
      <w:pPr>
        <w:widowControl w:val="0"/>
        <w:spacing w:before="120"/>
        <w:jc w:val="center"/>
        <w:rPr>
          <w:b/>
          <w:sz w:val="28"/>
        </w:rPr>
      </w:pPr>
      <w:r>
        <w:rPr>
          <w:rFonts w:hint="eastAsia"/>
          <w:b/>
          <w:sz w:val="28"/>
        </w:rPr>
        <w:t>Mon</w:t>
      </w:r>
      <w:r w:rsidR="007B41E6">
        <w:rPr>
          <w:b/>
          <w:sz w:val="28"/>
        </w:rPr>
        <w:t>day</w:t>
      </w:r>
      <w:r w:rsidR="0004149F">
        <w:rPr>
          <w:rFonts w:hint="eastAsia"/>
          <w:b/>
          <w:sz w:val="28"/>
        </w:rPr>
        <w:t xml:space="preserve"> 2</w:t>
      </w:r>
      <w:r w:rsidR="0004149F" w:rsidRPr="0004149F">
        <w:rPr>
          <w:rFonts w:hint="eastAsia"/>
          <w:b/>
          <w:sz w:val="28"/>
          <w:vertAlign w:val="superscript"/>
        </w:rPr>
        <w:t>nd</w:t>
      </w:r>
      <w:r w:rsidR="00064050">
        <w:rPr>
          <w:rFonts w:hint="eastAsia"/>
          <w:b/>
          <w:sz w:val="28"/>
        </w:rPr>
        <w:t xml:space="preserve"> </w:t>
      </w:r>
      <w:r w:rsidR="0004149F">
        <w:rPr>
          <w:b/>
          <w:sz w:val="28"/>
        </w:rPr>
        <w:t>December</w:t>
      </w:r>
      <w:r w:rsidR="00064050">
        <w:rPr>
          <w:rFonts w:hint="eastAsia"/>
          <w:b/>
          <w:sz w:val="28"/>
        </w:rPr>
        <w:t>, 2013</w:t>
      </w:r>
    </w:p>
    <w:p w:rsidR="00680C12" w:rsidRDefault="00680C12" w:rsidP="00064050">
      <w:pPr>
        <w:widowControl w:val="0"/>
        <w:spacing w:before="120"/>
        <w:jc w:val="center"/>
        <w:rPr>
          <w:b/>
          <w:sz w:val="28"/>
        </w:rPr>
      </w:pPr>
      <w:r>
        <w:rPr>
          <w:rFonts w:hint="eastAsia"/>
          <w:b/>
          <w:sz w:val="28"/>
        </w:rPr>
        <w:t>Chair: Shoichi Kitazawa</w:t>
      </w:r>
    </w:p>
    <w:p w:rsidR="00064050" w:rsidRDefault="00064050" w:rsidP="00064050">
      <w:pPr>
        <w:widowControl w:val="0"/>
        <w:spacing w:before="120"/>
        <w:jc w:val="center"/>
        <w:rPr>
          <w:b/>
          <w:sz w:val="28"/>
        </w:rPr>
      </w:pPr>
    </w:p>
    <w:p w:rsidR="00064050" w:rsidRDefault="00680C12" w:rsidP="00064050">
      <w:r>
        <w:rPr>
          <w:rFonts w:hint="eastAsia"/>
        </w:rPr>
        <w:t>C</w:t>
      </w:r>
      <w:r w:rsidR="00064050">
        <w:t xml:space="preserve">hair </w:t>
      </w:r>
      <w:r w:rsidR="000820DA">
        <w:rPr>
          <w:rFonts w:hint="eastAsia"/>
        </w:rPr>
        <w:t xml:space="preserve">Kitazawa </w:t>
      </w:r>
      <w:r w:rsidR="00064050">
        <w:t xml:space="preserve">called the meeting to order at </w:t>
      </w:r>
      <w:r w:rsidR="007F6D86">
        <w:rPr>
          <w:rFonts w:hint="eastAsia"/>
        </w:rPr>
        <w:t>02:00ET</w:t>
      </w:r>
      <w:r w:rsidR="005004B8">
        <w:rPr>
          <w:rFonts w:hint="eastAsia"/>
        </w:rPr>
        <w:t xml:space="preserve"> </w:t>
      </w:r>
      <w:r w:rsidR="00495DB6">
        <w:rPr>
          <w:rFonts w:hint="eastAsia"/>
        </w:rPr>
        <w:t>(</w:t>
      </w:r>
      <w:r w:rsidR="007F6D86">
        <w:t>1</w:t>
      </w:r>
      <w:r w:rsidR="007F6D86">
        <w:rPr>
          <w:rFonts w:hint="eastAsia"/>
        </w:rPr>
        <w:t>6</w:t>
      </w:r>
      <w:r w:rsidR="007F6D86">
        <w:t>:0</w:t>
      </w:r>
      <w:r w:rsidR="007F6D86">
        <w:rPr>
          <w:rFonts w:hint="eastAsia"/>
        </w:rPr>
        <w:t>0JST</w:t>
      </w:r>
      <w:r w:rsidR="00495DB6">
        <w:rPr>
          <w:rFonts w:hint="eastAsia"/>
        </w:rPr>
        <w:t>)</w:t>
      </w:r>
      <w:r w:rsidR="00AC493D">
        <w:rPr>
          <w:rFonts w:hint="eastAsia"/>
        </w:rPr>
        <w:t>.</w:t>
      </w:r>
    </w:p>
    <w:p w:rsidR="00ED7D4B" w:rsidRDefault="00ED7D4B" w:rsidP="00064050">
      <w:r>
        <w:rPr>
          <w:rFonts w:hint="eastAsia"/>
        </w:rPr>
        <w:t xml:space="preserve">There </w:t>
      </w:r>
      <w:r>
        <w:t>were</w:t>
      </w:r>
      <w:r>
        <w:rPr>
          <w:rFonts w:hint="eastAsia"/>
        </w:rPr>
        <w:t xml:space="preserve"> </w:t>
      </w:r>
      <w:r w:rsidR="007F6D86">
        <w:rPr>
          <w:rFonts w:hint="eastAsia"/>
        </w:rPr>
        <w:t>7</w:t>
      </w:r>
      <w:r>
        <w:rPr>
          <w:rFonts w:hint="eastAsia"/>
        </w:rPr>
        <w:t xml:space="preserve"> attendees. </w:t>
      </w:r>
      <w:r>
        <w:t>Attendees are listed</w:t>
      </w:r>
      <w:r>
        <w:rPr>
          <w:rFonts w:hint="eastAsia"/>
        </w:rPr>
        <w:t xml:space="preserve"> below.</w:t>
      </w:r>
    </w:p>
    <w:p w:rsidR="00064050" w:rsidRDefault="00064050" w:rsidP="00064050">
      <w:pPr>
        <w:widowControl w:val="0"/>
        <w:spacing w:before="120"/>
        <w:rPr>
          <w:rFonts w:hint="eastAsia"/>
        </w:rPr>
      </w:pPr>
      <w:r>
        <w:t>Chair</w:t>
      </w:r>
      <w:r>
        <w:rPr>
          <w:rFonts w:hint="eastAsia"/>
        </w:rPr>
        <w:t xml:space="preserve"> presented </w:t>
      </w:r>
      <w:r w:rsidR="007B41E6">
        <w:t>SG SRU Teleconference Agenda for</w:t>
      </w:r>
      <w:r w:rsidR="00680C12">
        <w:rPr>
          <w:rFonts w:hint="eastAsia"/>
        </w:rPr>
        <w:t xml:space="preserve"> </w:t>
      </w:r>
      <w:r w:rsidR="0004149F">
        <w:t>December</w:t>
      </w:r>
      <w:r w:rsidR="007B41E6">
        <w:t xml:space="preserve"> 2013</w:t>
      </w:r>
      <w:r>
        <w:rPr>
          <w:rFonts w:hint="eastAsia"/>
        </w:rPr>
        <w:t xml:space="preserve"> (</w:t>
      </w:r>
      <w:r>
        <w:t>15-1</w:t>
      </w:r>
      <w:r>
        <w:rPr>
          <w:rFonts w:hint="eastAsia"/>
        </w:rPr>
        <w:t>3</w:t>
      </w:r>
      <w:r>
        <w:t>-0</w:t>
      </w:r>
      <w:r w:rsidR="0004149F">
        <w:rPr>
          <w:rFonts w:hint="eastAsia"/>
        </w:rPr>
        <w:t>731</w:t>
      </w:r>
      <w:r>
        <w:t>r</w:t>
      </w:r>
      <w:r w:rsidR="00E42E07">
        <w:rPr>
          <w:rFonts w:hint="eastAsia"/>
        </w:rPr>
        <w:t xml:space="preserve">0) and </w:t>
      </w:r>
      <w:r w:rsidR="00680C12">
        <w:rPr>
          <w:rFonts w:hint="eastAsia"/>
        </w:rPr>
        <w:t>pointed out</w:t>
      </w:r>
      <w:r w:rsidR="00E42E07" w:rsidRPr="00E42E07">
        <w:t xml:space="preserve"> </w:t>
      </w:r>
      <w:r w:rsidR="004C4BC0">
        <w:t>patent policy</w:t>
      </w:r>
      <w:r w:rsidR="004C4BC0">
        <w:rPr>
          <w:rFonts w:hint="eastAsia"/>
        </w:rPr>
        <w:t xml:space="preserve"> and other guideline</w:t>
      </w:r>
      <w:r w:rsidR="00680C12">
        <w:rPr>
          <w:rFonts w:hint="eastAsia"/>
        </w:rPr>
        <w:t>s.</w:t>
      </w:r>
    </w:p>
    <w:p w:rsidR="00EB4818" w:rsidRPr="00E42E07" w:rsidRDefault="00EB4818" w:rsidP="00064050">
      <w:pPr>
        <w:widowControl w:val="0"/>
        <w:spacing w:before="120"/>
      </w:pPr>
      <w:bookmarkStart w:id="0" w:name="_GoBack"/>
      <w:bookmarkEnd w:id="0"/>
    </w:p>
    <w:p w:rsidR="00B90545" w:rsidRDefault="00B90545" w:rsidP="00064050">
      <w:pPr>
        <w:widowControl w:val="0"/>
        <w:spacing w:before="120"/>
      </w:pPr>
      <w:r>
        <w:rPr>
          <w:rFonts w:hint="eastAsia"/>
        </w:rPr>
        <w:t>PAR</w:t>
      </w:r>
      <w:r w:rsidR="001740A5">
        <w:rPr>
          <w:rFonts w:hint="eastAsia"/>
        </w:rPr>
        <w:t>&amp;5C</w:t>
      </w:r>
      <w:r>
        <w:rPr>
          <w:rFonts w:hint="eastAsia"/>
        </w:rPr>
        <w:t xml:space="preserve"> issues</w:t>
      </w:r>
    </w:p>
    <w:p w:rsidR="005471C0" w:rsidRDefault="0006061F" w:rsidP="00B90545">
      <w:pPr>
        <w:widowControl w:val="0"/>
        <w:numPr>
          <w:ilvl w:val="0"/>
          <w:numId w:val="2"/>
        </w:numPr>
        <w:spacing w:before="120"/>
        <w:ind w:left="567" w:hanging="283"/>
      </w:pPr>
      <w:r>
        <w:rPr>
          <w:rFonts w:hint="eastAsia"/>
        </w:rPr>
        <w:t xml:space="preserve">The chair </w:t>
      </w:r>
      <w:r w:rsidR="003335E0">
        <w:rPr>
          <w:rFonts w:hint="eastAsia"/>
        </w:rPr>
        <w:t xml:space="preserve">revisited the latest </w:t>
      </w:r>
      <w:r w:rsidR="005471C0">
        <w:t>“</w:t>
      </w:r>
      <w:r w:rsidR="005471C0">
        <w:rPr>
          <w:rFonts w:hint="eastAsia"/>
        </w:rPr>
        <w:t>SRU working draft PAR</w:t>
      </w:r>
      <w:r w:rsidR="005471C0">
        <w:t>”</w:t>
      </w:r>
      <w:r w:rsidR="00EB4818">
        <w:rPr>
          <w:rFonts w:hint="eastAsia"/>
        </w:rPr>
        <w:t xml:space="preserve"> </w:t>
      </w:r>
      <w:r w:rsidR="005471C0">
        <w:rPr>
          <w:rFonts w:hint="eastAsia"/>
        </w:rPr>
        <w:t>(</w:t>
      </w:r>
      <w:r w:rsidR="005471C0" w:rsidRPr="005471C0">
        <w:t>15-13-0615</w:t>
      </w:r>
      <w:r w:rsidR="005471C0">
        <w:rPr>
          <w:rFonts w:hint="eastAsia"/>
        </w:rPr>
        <w:t>r</w:t>
      </w:r>
      <w:r w:rsidR="005471C0" w:rsidRPr="005471C0">
        <w:t>3</w:t>
      </w:r>
      <w:r w:rsidR="005471C0">
        <w:rPr>
          <w:rFonts w:hint="eastAsia"/>
        </w:rPr>
        <w:t>)</w:t>
      </w:r>
      <w:r w:rsidR="003335E0">
        <w:rPr>
          <w:rFonts w:hint="eastAsia"/>
        </w:rPr>
        <w:t>.</w:t>
      </w:r>
    </w:p>
    <w:p w:rsidR="00233E67" w:rsidRDefault="00233E67" w:rsidP="00233E67">
      <w:pPr>
        <w:widowControl w:val="0"/>
        <w:numPr>
          <w:ilvl w:val="0"/>
          <w:numId w:val="2"/>
        </w:numPr>
        <w:spacing w:before="120"/>
        <w:ind w:left="567" w:hanging="283"/>
      </w:pPr>
      <w:r>
        <w:rPr>
          <w:rFonts w:hint="eastAsia"/>
        </w:rPr>
        <w:t>SRU working draft 5C</w:t>
      </w:r>
      <w:r w:rsidRPr="00B90545">
        <w:rPr>
          <w:rFonts w:hint="eastAsia"/>
        </w:rPr>
        <w:t xml:space="preserve"> </w:t>
      </w:r>
      <w:r>
        <w:rPr>
          <w:rFonts w:hint="eastAsia"/>
        </w:rPr>
        <w:t>(</w:t>
      </w:r>
      <w:r>
        <w:t>15-1</w:t>
      </w:r>
      <w:r>
        <w:rPr>
          <w:rFonts w:hint="eastAsia"/>
        </w:rPr>
        <w:t>3</w:t>
      </w:r>
      <w:r>
        <w:t>-0</w:t>
      </w:r>
      <w:r>
        <w:rPr>
          <w:rFonts w:hint="eastAsia"/>
        </w:rPr>
        <w:t>616</w:t>
      </w:r>
      <w:r>
        <w:t>r</w:t>
      </w:r>
      <w:r>
        <w:rPr>
          <w:rFonts w:hint="eastAsia"/>
        </w:rPr>
        <w:t>1) was revisited by Ariyoshi</w:t>
      </w:r>
    </w:p>
    <w:p w:rsidR="00B90545" w:rsidRDefault="005471C0" w:rsidP="00B90545">
      <w:pPr>
        <w:widowControl w:val="0"/>
        <w:numPr>
          <w:ilvl w:val="0"/>
          <w:numId w:val="2"/>
        </w:numPr>
        <w:spacing w:before="120"/>
        <w:ind w:left="567" w:hanging="283"/>
      </w:pPr>
      <w:r>
        <w:rPr>
          <w:rFonts w:hint="eastAsia"/>
        </w:rPr>
        <w:t xml:space="preserve">The </w:t>
      </w:r>
      <w:proofErr w:type="spellStart"/>
      <w:r w:rsidR="00EB4818">
        <w:rPr>
          <w:rFonts w:hint="eastAsia"/>
        </w:rPr>
        <w:t>c</w:t>
      </w:r>
      <w:r w:rsidR="00EB4818">
        <w:rPr>
          <w:rFonts w:hint="eastAsia"/>
        </w:rPr>
        <w:t>hiar</w:t>
      </w:r>
      <w:proofErr w:type="spellEnd"/>
      <w:r w:rsidR="00EB4818">
        <w:rPr>
          <w:rFonts w:hint="eastAsia"/>
        </w:rPr>
        <w:t xml:space="preserve"> </w:t>
      </w:r>
      <w:r w:rsidR="003335E0">
        <w:rPr>
          <w:rFonts w:hint="eastAsia"/>
        </w:rPr>
        <w:t xml:space="preserve">reported that he </w:t>
      </w:r>
      <w:r w:rsidR="0006061F">
        <w:rPr>
          <w:rFonts w:hint="eastAsia"/>
        </w:rPr>
        <w:t xml:space="preserve">sent </w:t>
      </w:r>
      <w:r w:rsidR="003335E0">
        <w:rPr>
          <w:rFonts w:hint="eastAsia"/>
        </w:rPr>
        <w:t xml:space="preserve">the latest draft </w:t>
      </w:r>
      <w:r w:rsidR="0006061F">
        <w:rPr>
          <w:rFonts w:hint="eastAsia"/>
        </w:rPr>
        <w:t>of PAR&amp;5C to the WG Chair for review</w:t>
      </w:r>
      <w:r w:rsidR="001740A5">
        <w:rPr>
          <w:rFonts w:hint="eastAsia"/>
        </w:rPr>
        <w:t xml:space="preserve"> and </w:t>
      </w:r>
      <w:r w:rsidR="003335E0">
        <w:rPr>
          <w:rFonts w:hint="eastAsia"/>
        </w:rPr>
        <w:t xml:space="preserve">has been </w:t>
      </w:r>
      <w:r w:rsidR="001740A5">
        <w:rPr>
          <w:rFonts w:hint="eastAsia"/>
        </w:rPr>
        <w:t>waiting for reply</w:t>
      </w:r>
      <w:r w:rsidR="0006061F">
        <w:rPr>
          <w:rFonts w:hint="eastAsia"/>
        </w:rPr>
        <w:t>.</w:t>
      </w:r>
    </w:p>
    <w:p w:rsidR="00AB463C" w:rsidRDefault="005471C0" w:rsidP="00292A6A">
      <w:pPr>
        <w:widowControl w:val="0"/>
        <w:numPr>
          <w:ilvl w:val="0"/>
          <w:numId w:val="2"/>
        </w:numPr>
        <w:spacing w:before="120"/>
        <w:ind w:left="567" w:hanging="283"/>
      </w:pPr>
      <w:r>
        <w:rPr>
          <w:rFonts w:hint="eastAsia"/>
        </w:rPr>
        <w:t xml:space="preserve">Shimada commented on </w:t>
      </w:r>
      <w:r w:rsidR="003335E0">
        <w:rPr>
          <w:rFonts w:hint="eastAsia"/>
        </w:rPr>
        <w:t xml:space="preserve">the </w:t>
      </w:r>
      <w:r>
        <w:rPr>
          <w:rFonts w:hint="eastAsia"/>
        </w:rPr>
        <w:t>term</w:t>
      </w:r>
      <w:r w:rsidR="003335E0">
        <w:rPr>
          <w:rFonts w:hint="eastAsia"/>
        </w:rPr>
        <w:t>s</w:t>
      </w:r>
      <w:r>
        <w:rPr>
          <w:rFonts w:hint="eastAsia"/>
        </w:rPr>
        <w:t xml:space="preserve"> of </w:t>
      </w:r>
      <w:r>
        <w:t>“</w:t>
      </w:r>
      <w:r>
        <w:rPr>
          <w:rFonts w:hint="eastAsia"/>
        </w:rPr>
        <w:t>unlicensed</w:t>
      </w:r>
      <w:r>
        <w:t>”</w:t>
      </w:r>
      <w:r>
        <w:rPr>
          <w:rFonts w:hint="eastAsia"/>
        </w:rPr>
        <w:t xml:space="preserve"> and </w:t>
      </w:r>
      <w:r>
        <w:t>“</w:t>
      </w:r>
      <w:r>
        <w:rPr>
          <w:rFonts w:hint="eastAsia"/>
        </w:rPr>
        <w:t>license exempt</w:t>
      </w:r>
      <w:r>
        <w:t>”</w:t>
      </w:r>
      <w:r>
        <w:rPr>
          <w:rFonts w:hint="eastAsia"/>
        </w:rPr>
        <w:t xml:space="preserve"> in section 5.</w:t>
      </w:r>
      <w:r w:rsidR="00465663">
        <w:rPr>
          <w:rFonts w:hint="eastAsia"/>
        </w:rPr>
        <w:t>5</w:t>
      </w:r>
      <w:r w:rsidR="00292A6A">
        <w:rPr>
          <w:rFonts w:hint="eastAsia"/>
        </w:rPr>
        <w:t xml:space="preserve">. It is necessary to make clear these </w:t>
      </w:r>
      <w:r w:rsidR="003335E0">
        <w:rPr>
          <w:rFonts w:hint="eastAsia"/>
        </w:rPr>
        <w:t>words</w:t>
      </w:r>
      <w:r>
        <w:rPr>
          <w:rFonts w:hint="eastAsia"/>
        </w:rPr>
        <w:t>.</w:t>
      </w:r>
    </w:p>
    <w:p w:rsidR="00765EA5" w:rsidRDefault="00ED7D4B" w:rsidP="00A43698">
      <w:pPr>
        <w:widowControl w:val="0"/>
        <w:spacing w:before="120"/>
      </w:pPr>
      <w:r>
        <w:t>Plan for next teleconference</w:t>
      </w:r>
    </w:p>
    <w:p w:rsidR="00ED7D4B" w:rsidRDefault="00ED7D4B" w:rsidP="007F6D86">
      <w:pPr>
        <w:widowControl w:val="0"/>
        <w:numPr>
          <w:ilvl w:val="0"/>
          <w:numId w:val="2"/>
        </w:numPr>
        <w:spacing w:before="120"/>
        <w:ind w:left="567" w:hanging="283"/>
      </w:pPr>
      <w:r>
        <w:rPr>
          <w:rFonts w:hint="eastAsia"/>
        </w:rPr>
        <w:t>Next teleconference schedule</w:t>
      </w:r>
      <w:proofErr w:type="gramStart"/>
      <w:r w:rsidR="00233E67">
        <w:rPr>
          <w:rFonts w:hint="eastAsia"/>
        </w:rPr>
        <w:t>:</w:t>
      </w:r>
      <w:proofErr w:type="gramEnd"/>
      <w:r w:rsidR="00233E67">
        <w:br/>
      </w:r>
      <w:r w:rsidR="007F6D86">
        <w:t>December</w:t>
      </w:r>
      <w:r w:rsidR="00FF0063">
        <w:rPr>
          <w:rFonts w:hint="eastAsia"/>
        </w:rPr>
        <w:t xml:space="preserve"> 18</w:t>
      </w:r>
      <w:r w:rsidR="00FF0063" w:rsidRPr="00FF0063">
        <w:rPr>
          <w:rFonts w:hint="eastAsia"/>
          <w:vertAlign w:val="superscript"/>
        </w:rPr>
        <w:t>th</w:t>
      </w:r>
      <w:r>
        <w:rPr>
          <w:rFonts w:hint="eastAsia"/>
        </w:rPr>
        <w:t xml:space="preserve"> </w:t>
      </w:r>
      <w:r w:rsidR="007F6D86">
        <w:rPr>
          <w:rFonts w:hint="eastAsia"/>
        </w:rPr>
        <w:t xml:space="preserve">2:00 ET, </w:t>
      </w:r>
      <w:r w:rsidR="007F6D86">
        <w:t>1</w:t>
      </w:r>
      <w:r w:rsidR="007F6D86">
        <w:rPr>
          <w:rFonts w:hint="eastAsia"/>
        </w:rPr>
        <w:t>6</w:t>
      </w:r>
      <w:r w:rsidRPr="009C028A">
        <w:t>:00JST</w:t>
      </w:r>
      <w:r w:rsidR="007F6D86">
        <w:rPr>
          <w:rFonts w:hint="eastAsia"/>
        </w:rPr>
        <w:t>,</w:t>
      </w:r>
      <w:r>
        <w:rPr>
          <w:rFonts w:hint="eastAsia"/>
        </w:rPr>
        <w:t xml:space="preserve"> </w:t>
      </w:r>
      <w:r w:rsidR="007F6D86">
        <w:t>0</w:t>
      </w:r>
      <w:r w:rsidR="007F6D86">
        <w:rPr>
          <w:rFonts w:hint="eastAsia"/>
        </w:rPr>
        <w:t>7</w:t>
      </w:r>
      <w:r w:rsidRPr="009C028A">
        <w:t>:00UTC</w:t>
      </w:r>
      <w:r w:rsidR="00233E67">
        <w:rPr>
          <w:rFonts w:hint="eastAsia"/>
        </w:rPr>
        <w:t xml:space="preserve">; </w:t>
      </w:r>
      <w:r w:rsidR="00FF0063">
        <w:rPr>
          <w:rFonts w:hint="eastAsia"/>
        </w:rPr>
        <w:t xml:space="preserve"> </w:t>
      </w:r>
      <w:r w:rsidR="00233E67">
        <w:rPr>
          <w:rFonts w:hint="eastAsia"/>
        </w:rPr>
        <w:t>and</w:t>
      </w:r>
      <w:r w:rsidR="00233E67">
        <w:br/>
      </w:r>
      <w:r w:rsidR="00FF0063">
        <w:rPr>
          <w:rFonts w:hint="eastAsia"/>
        </w:rPr>
        <w:t>January 9</w:t>
      </w:r>
      <w:r w:rsidR="00FF0063" w:rsidRPr="00FF0063">
        <w:rPr>
          <w:rFonts w:hint="eastAsia"/>
          <w:vertAlign w:val="superscript"/>
        </w:rPr>
        <w:t>th</w:t>
      </w:r>
      <w:r w:rsidR="00FF0063">
        <w:rPr>
          <w:rFonts w:hint="eastAsia"/>
        </w:rPr>
        <w:t xml:space="preserve"> 2:00 ET, </w:t>
      </w:r>
      <w:r w:rsidR="00FF0063">
        <w:t>1</w:t>
      </w:r>
      <w:r w:rsidR="00FF0063">
        <w:rPr>
          <w:rFonts w:hint="eastAsia"/>
        </w:rPr>
        <w:t>6</w:t>
      </w:r>
      <w:r w:rsidR="00FF0063" w:rsidRPr="009C028A">
        <w:t>:00JST</w:t>
      </w:r>
      <w:r w:rsidR="00FF0063">
        <w:rPr>
          <w:rFonts w:hint="eastAsia"/>
        </w:rPr>
        <w:t xml:space="preserve">, </w:t>
      </w:r>
      <w:r w:rsidR="00FF0063">
        <w:t>0</w:t>
      </w:r>
      <w:r w:rsidR="00FF0063">
        <w:rPr>
          <w:rFonts w:hint="eastAsia"/>
        </w:rPr>
        <w:t>7</w:t>
      </w:r>
      <w:r w:rsidR="00FF0063" w:rsidRPr="009C028A">
        <w:t>:00UTC</w:t>
      </w:r>
      <w:r w:rsidR="00FF0063">
        <w:rPr>
          <w:rFonts w:hint="eastAsia"/>
        </w:rPr>
        <w:t>.</w:t>
      </w:r>
    </w:p>
    <w:p w:rsidR="00ED7D4B" w:rsidRDefault="00156ABC" w:rsidP="00ED7D4B">
      <w:pPr>
        <w:widowControl w:val="0"/>
        <w:numPr>
          <w:ilvl w:val="0"/>
          <w:numId w:val="2"/>
        </w:numPr>
        <w:spacing w:before="120"/>
        <w:ind w:left="567" w:hanging="283"/>
      </w:pPr>
      <w:r>
        <w:rPr>
          <w:rFonts w:hint="eastAsia"/>
        </w:rPr>
        <w:t>We will c</w:t>
      </w:r>
      <w:r w:rsidR="00ED7D4B">
        <w:rPr>
          <w:rFonts w:hint="eastAsia"/>
        </w:rPr>
        <w:t>ontinue to discuss PAR and 5C.</w:t>
      </w:r>
    </w:p>
    <w:p w:rsidR="00A06A62" w:rsidRDefault="0091011B" w:rsidP="00765EA5">
      <w:pPr>
        <w:widowControl w:val="0"/>
        <w:spacing w:before="120"/>
      </w:pPr>
      <w:r w:rsidRPr="00E10646">
        <w:t xml:space="preserve">Plan for </w:t>
      </w:r>
      <w:r w:rsidR="007F6D86">
        <w:rPr>
          <w:rFonts w:hint="eastAsia"/>
        </w:rPr>
        <w:t>January</w:t>
      </w:r>
      <w:r w:rsidR="009C028A">
        <w:rPr>
          <w:rFonts w:hint="eastAsia"/>
        </w:rPr>
        <w:t xml:space="preserve"> meeting slot</w:t>
      </w:r>
    </w:p>
    <w:p w:rsidR="005471C0" w:rsidRDefault="0006061F" w:rsidP="002875C2">
      <w:pPr>
        <w:widowControl w:val="0"/>
        <w:numPr>
          <w:ilvl w:val="0"/>
          <w:numId w:val="2"/>
        </w:numPr>
        <w:spacing w:before="120"/>
        <w:ind w:left="567" w:hanging="283"/>
      </w:pPr>
      <w:r>
        <w:rPr>
          <w:rFonts w:hint="eastAsia"/>
        </w:rPr>
        <w:t>The SG SRU meeting</w:t>
      </w:r>
      <w:r w:rsidR="00233E67">
        <w:rPr>
          <w:rFonts w:hint="eastAsia"/>
        </w:rPr>
        <w:t>s</w:t>
      </w:r>
      <w:r>
        <w:rPr>
          <w:rFonts w:hint="eastAsia"/>
        </w:rPr>
        <w:t xml:space="preserve"> </w:t>
      </w:r>
      <w:r w:rsidR="00233E67">
        <w:rPr>
          <w:rFonts w:hint="eastAsia"/>
        </w:rPr>
        <w:t xml:space="preserve">are </w:t>
      </w:r>
      <w:r>
        <w:t>assigned</w:t>
      </w:r>
      <w:r>
        <w:rPr>
          <w:rFonts w:hint="eastAsia"/>
        </w:rPr>
        <w:t xml:space="preserve"> </w:t>
      </w:r>
      <w:r w:rsidR="00233E67">
        <w:rPr>
          <w:rFonts w:hint="eastAsia"/>
        </w:rPr>
        <w:t xml:space="preserve">to </w:t>
      </w:r>
      <w:r w:rsidRPr="0006061F">
        <w:t>Tuesday</w:t>
      </w:r>
      <w:r w:rsidR="005471C0">
        <w:rPr>
          <w:rFonts w:hint="eastAsia"/>
        </w:rPr>
        <w:t xml:space="preserve"> PM1 and</w:t>
      </w:r>
      <w:r w:rsidRPr="0006061F">
        <w:t xml:space="preserve"> Thursday</w:t>
      </w:r>
      <w:r>
        <w:rPr>
          <w:rFonts w:hint="eastAsia"/>
        </w:rPr>
        <w:t xml:space="preserve"> </w:t>
      </w:r>
      <w:r>
        <w:t>AM1 and AM2</w:t>
      </w:r>
      <w:r w:rsidR="00233E67">
        <w:rPr>
          <w:rFonts w:hint="eastAsia"/>
        </w:rPr>
        <w:t>.</w:t>
      </w:r>
      <w:r w:rsidR="00233E67">
        <w:br/>
      </w:r>
      <w:r w:rsidR="00FF0063">
        <w:rPr>
          <w:rFonts w:hint="eastAsia"/>
        </w:rPr>
        <w:t>The SG SRU will request one session on Thursday move to Tuesday or Wednesday.</w:t>
      </w:r>
    </w:p>
    <w:p w:rsidR="00765EA5" w:rsidRDefault="00765EA5">
      <w:pPr>
        <w:widowControl w:val="0"/>
        <w:spacing w:before="120"/>
      </w:pPr>
      <w:r>
        <w:rPr>
          <w:rFonts w:hint="eastAsia"/>
        </w:rPr>
        <w:t>A</w:t>
      </w:r>
      <w:r w:rsidRPr="00C54550">
        <w:t xml:space="preserve">djourned </w:t>
      </w:r>
      <w:r w:rsidR="007F6D86">
        <w:rPr>
          <w:rFonts w:hint="eastAsia"/>
        </w:rPr>
        <w:t xml:space="preserve">at </w:t>
      </w:r>
      <w:proofErr w:type="gramStart"/>
      <w:r w:rsidR="00B90545">
        <w:rPr>
          <w:rFonts w:hint="eastAsia"/>
        </w:rPr>
        <w:t>0</w:t>
      </w:r>
      <w:r w:rsidR="007F6D86">
        <w:rPr>
          <w:rFonts w:hint="eastAsia"/>
        </w:rPr>
        <w:t>2</w:t>
      </w:r>
      <w:r w:rsidR="00495DB6">
        <w:rPr>
          <w:rFonts w:hint="eastAsia"/>
        </w:rPr>
        <w:t>:</w:t>
      </w:r>
      <w:r w:rsidR="007F6D86">
        <w:rPr>
          <w:rFonts w:hint="eastAsia"/>
        </w:rPr>
        <w:t>3</w:t>
      </w:r>
      <w:r w:rsidR="00495DB6">
        <w:rPr>
          <w:rFonts w:hint="eastAsia"/>
        </w:rPr>
        <w:t>0ET</w:t>
      </w:r>
      <w:r w:rsidR="007F6D86">
        <w:rPr>
          <w:rFonts w:hint="eastAsia"/>
        </w:rPr>
        <w:t>(</w:t>
      </w:r>
      <w:proofErr w:type="gramEnd"/>
      <w:r w:rsidR="007F6D86">
        <w:rPr>
          <w:rFonts w:hint="eastAsia"/>
        </w:rPr>
        <w:t>16:30JST</w:t>
      </w:r>
      <w:r w:rsidR="00495DB6">
        <w:rPr>
          <w:rFonts w:hint="eastAsia"/>
        </w:rPr>
        <w:t>)</w:t>
      </w:r>
      <w:r w:rsidR="00AC493D">
        <w:rPr>
          <w:rFonts w:hint="eastAsia"/>
        </w:rPr>
        <w:t>.</w:t>
      </w:r>
    </w:p>
    <w:p w:rsidR="00950032" w:rsidRDefault="00950032" w:rsidP="00765EA5">
      <w:pPr>
        <w:rPr>
          <w:b/>
          <w:sz w:val="28"/>
          <w:szCs w:val="28"/>
        </w:rPr>
      </w:pPr>
    </w:p>
    <w:p w:rsidR="00765EA5" w:rsidRDefault="005004B8" w:rsidP="00765EA5">
      <w:pPr>
        <w:rPr>
          <w:b/>
          <w:sz w:val="28"/>
          <w:szCs w:val="28"/>
        </w:rPr>
      </w:pPr>
      <w:r>
        <w:rPr>
          <w:rFonts w:hint="eastAsia"/>
          <w:b/>
          <w:sz w:val="28"/>
          <w:szCs w:val="28"/>
        </w:rPr>
        <w:t>Attendee</w:t>
      </w:r>
      <w:r w:rsidR="000820DA">
        <w:rPr>
          <w:rFonts w:hint="eastAsia"/>
          <w:b/>
          <w:sz w:val="28"/>
          <w:szCs w:val="28"/>
        </w:rPr>
        <w:t>s</w:t>
      </w:r>
    </w:p>
    <w:tbl>
      <w:tblPr>
        <w:tblW w:w="3985" w:type="pct"/>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137"/>
        <w:gridCol w:w="3967"/>
      </w:tblGrid>
      <w:tr w:rsidR="00765EA5" w:rsidRPr="00180620" w:rsidTr="00495DB6">
        <w:trPr>
          <w:trHeight w:val="284"/>
        </w:trPr>
        <w:tc>
          <w:tcPr>
            <w:tcW w:w="346" w:type="pct"/>
            <w:hideMark/>
          </w:tcPr>
          <w:p w:rsidR="00765EA5" w:rsidRPr="00180620" w:rsidRDefault="00765EA5" w:rsidP="006A7018">
            <w:pPr>
              <w:rPr>
                <w:rFonts w:eastAsia="PMingLiU-ExtB"/>
                <w:szCs w:val="21"/>
              </w:rPr>
            </w:pPr>
          </w:p>
        </w:tc>
        <w:tc>
          <w:tcPr>
            <w:tcW w:w="2055" w:type="pct"/>
            <w:hideMark/>
          </w:tcPr>
          <w:p w:rsidR="00765EA5" w:rsidRPr="00180620" w:rsidRDefault="00765EA5" w:rsidP="006A7018">
            <w:pPr>
              <w:rPr>
                <w:rFonts w:eastAsia="PMingLiU-ExtB"/>
                <w:szCs w:val="21"/>
              </w:rPr>
            </w:pPr>
            <w:r w:rsidRPr="00180620">
              <w:rPr>
                <w:rFonts w:eastAsia="PMingLiU-ExtB"/>
                <w:b/>
                <w:bCs/>
                <w:color w:val="000000"/>
                <w:kern w:val="24"/>
                <w:szCs w:val="21"/>
              </w:rPr>
              <w:t>Nam</w:t>
            </w:r>
            <w:r w:rsidRPr="00E93F2E">
              <w:rPr>
                <w:rFonts w:eastAsia="PMingLiU-ExtB"/>
                <w:b/>
                <w:bCs/>
                <w:color w:val="000000"/>
                <w:kern w:val="24"/>
                <w:szCs w:val="21"/>
              </w:rPr>
              <w:t>e</w:t>
            </w:r>
            <w:r w:rsidRPr="00180620">
              <w:rPr>
                <w:rFonts w:eastAsia="PMingLiU-ExtB"/>
                <w:b/>
                <w:bCs/>
                <w:color w:val="000000"/>
                <w:kern w:val="24"/>
                <w:szCs w:val="21"/>
              </w:rPr>
              <w:t xml:space="preserve"> </w:t>
            </w:r>
          </w:p>
        </w:tc>
        <w:tc>
          <w:tcPr>
            <w:tcW w:w="2599" w:type="pct"/>
            <w:hideMark/>
          </w:tcPr>
          <w:p w:rsidR="00765EA5" w:rsidRPr="00180620" w:rsidRDefault="00765EA5" w:rsidP="006A7018">
            <w:pPr>
              <w:rPr>
                <w:rFonts w:eastAsia="PMingLiU-ExtB"/>
                <w:szCs w:val="21"/>
              </w:rPr>
            </w:pPr>
            <w:r w:rsidRPr="00180620">
              <w:rPr>
                <w:rFonts w:eastAsia="PMingLiU-ExtB"/>
                <w:b/>
                <w:bCs/>
                <w:color w:val="000000"/>
                <w:kern w:val="24"/>
                <w:szCs w:val="21"/>
              </w:rPr>
              <w:t xml:space="preserve">Affiliation </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rPr>
              <w:t xml:space="preserve">1 </w:t>
            </w:r>
          </w:p>
        </w:tc>
        <w:tc>
          <w:tcPr>
            <w:tcW w:w="2055" w:type="pct"/>
            <w:hideMark/>
          </w:tcPr>
          <w:p w:rsidR="00765EA5" w:rsidRPr="007B24C7" w:rsidRDefault="00765EA5" w:rsidP="006A7018">
            <w:pPr>
              <w:rPr>
                <w:szCs w:val="21"/>
              </w:rPr>
            </w:pPr>
            <w:r>
              <w:rPr>
                <w:rFonts w:hint="eastAsia"/>
                <w:szCs w:val="21"/>
              </w:rPr>
              <w:t>Mitsuru Iwaoka</w:t>
            </w:r>
          </w:p>
        </w:tc>
        <w:tc>
          <w:tcPr>
            <w:tcW w:w="2599" w:type="pct"/>
            <w:hideMark/>
          </w:tcPr>
          <w:p w:rsidR="00765EA5" w:rsidRPr="007B24C7" w:rsidRDefault="00765EA5" w:rsidP="006A7018">
            <w:pPr>
              <w:rPr>
                <w:szCs w:val="21"/>
              </w:rPr>
            </w:pPr>
            <w:r>
              <w:rPr>
                <w:rFonts w:hint="eastAsia"/>
                <w:szCs w:val="21"/>
              </w:rPr>
              <w:t>Yokogawa Electric Co.</w:t>
            </w:r>
          </w:p>
        </w:tc>
      </w:tr>
      <w:tr w:rsidR="00765EA5" w:rsidRPr="00180620" w:rsidTr="00495DB6">
        <w:trPr>
          <w:trHeight w:val="284"/>
        </w:trPr>
        <w:tc>
          <w:tcPr>
            <w:tcW w:w="346" w:type="pct"/>
            <w:hideMark/>
          </w:tcPr>
          <w:p w:rsidR="00765EA5" w:rsidRPr="00180620" w:rsidRDefault="00765EA5" w:rsidP="006A7018">
            <w:pPr>
              <w:rPr>
                <w:rFonts w:eastAsia="PMingLiU-ExtB"/>
                <w:szCs w:val="21"/>
              </w:rPr>
            </w:pPr>
            <w:r w:rsidRPr="00180620">
              <w:rPr>
                <w:rFonts w:eastAsia="PMingLiU-ExtB"/>
                <w:color w:val="000000"/>
                <w:kern w:val="24"/>
                <w:szCs w:val="21"/>
              </w:rPr>
              <w:t xml:space="preserve">2 </w:t>
            </w:r>
          </w:p>
        </w:tc>
        <w:tc>
          <w:tcPr>
            <w:tcW w:w="2055" w:type="pct"/>
            <w:hideMark/>
          </w:tcPr>
          <w:p w:rsidR="00765EA5" w:rsidRDefault="00765EA5" w:rsidP="006A7018">
            <w:pPr>
              <w:rPr>
                <w:color w:val="000000"/>
                <w:kern w:val="24"/>
                <w:szCs w:val="21"/>
              </w:rPr>
            </w:pPr>
            <w:r>
              <w:rPr>
                <w:rFonts w:hint="eastAsia"/>
                <w:color w:val="000000"/>
                <w:kern w:val="24"/>
                <w:szCs w:val="21"/>
              </w:rPr>
              <w:t>Shusaku Shimada</w:t>
            </w:r>
          </w:p>
        </w:tc>
        <w:tc>
          <w:tcPr>
            <w:tcW w:w="2599" w:type="pct"/>
            <w:hideMark/>
          </w:tcPr>
          <w:p w:rsidR="00765EA5" w:rsidRDefault="00765EA5" w:rsidP="006A7018">
            <w:pPr>
              <w:rPr>
                <w:color w:val="000000"/>
                <w:kern w:val="24"/>
                <w:szCs w:val="21"/>
              </w:rPr>
            </w:pPr>
            <w:r>
              <w:rPr>
                <w:rFonts w:hint="eastAsia"/>
                <w:color w:val="000000"/>
                <w:kern w:val="24"/>
                <w:szCs w:val="21"/>
              </w:rPr>
              <w:t>Schubiquist Technologies Guild</w:t>
            </w:r>
          </w:p>
        </w:tc>
      </w:tr>
      <w:tr w:rsidR="00495DB6" w:rsidRPr="00180620" w:rsidTr="00495DB6">
        <w:trPr>
          <w:trHeight w:val="284"/>
        </w:trPr>
        <w:tc>
          <w:tcPr>
            <w:tcW w:w="346" w:type="pct"/>
          </w:tcPr>
          <w:p w:rsidR="00495DB6" w:rsidRDefault="00495DB6" w:rsidP="006A7018">
            <w:pPr>
              <w:rPr>
                <w:color w:val="000000"/>
                <w:kern w:val="24"/>
                <w:szCs w:val="21"/>
              </w:rPr>
            </w:pPr>
            <w:r>
              <w:rPr>
                <w:rFonts w:hint="eastAsia"/>
                <w:color w:val="000000"/>
                <w:kern w:val="24"/>
                <w:szCs w:val="21"/>
              </w:rPr>
              <w:t>3</w:t>
            </w:r>
          </w:p>
        </w:tc>
        <w:tc>
          <w:tcPr>
            <w:tcW w:w="2055" w:type="pct"/>
            <w:vAlign w:val="bottom"/>
          </w:tcPr>
          <w:p w:rsidR="00495DB6" w:rsidRPr="00F0660F" w:rsidRDefault="00495DB6" w:rsidP="006A7018">
            <w:pPr>
              <w:rPr>
                <w:rFonts w:eastAsia="ＭＳ Ｐゴシック"/>
                <w:color w:val="000000"/>
              </w:rPr>
            </w:pPr>
            <w:r w:rsidRPr="00F0660F">
              <w:rPr>
                <w:color w:val="000000"/>
              </w:rPr>
              <w:t>Takashi Yamamoto</w:t>
            </w:r>
          </w:p>
        </w:tc>
        <w:tc>
          <w:tcPr>
            <w:tcW w:w="2599" w:type="pct"/>
            <w:vAlign w:val="bottom"/>
          </w:tcPr>
          <w:p w:rsidR="00495DB6" w:rsidRPr="00F0660F" w:rsidRDefault="00495DB6" w:rsidP="006A7018">
            <w:pPr>
              <w:rPr>
                <w:rFonts w:eastAsia="ＭＳ Ｐゴシック"/>
                <w:color w:val="000000"/>
              </w:rPr>
            </w:pPr>
            <w:r w:rsidRPr="00495DB6">
              <w:rPr>
                <w:color w:val="000000"/>
              </w:rPr>
              <w:t>Sumitomo Electric Industries, Ltd</w:t>
            </w:r>
          </w:p>
        </w:tc>
      </w:tr>
      <w:tr w:rsidR="00B90545" w:rsidRPr="00180620" w:rsidTr="00495DB6">
        <w:trPr>
          <w:trHeight w:val="284"/>
        </w:trPr>
        <w:tc>
          <w:tcPr>
            <w:tcW w:w="346" w:type="pct"/>
          </w:tcPr>
          <w:p w:rsidR="00B90545" w:rsidRDefault="00B90545" w:rsidP="009E3D5A">
            <w:pPr>
              <w:rPr>
                <w:color w:val="000000"/>
                <w:kern w:val="24"/>
                <w:szCs w:val="21"/>
              </w:rPr>
            </w:pPr>
            <w:r>
              <w:rPr>
                <w:rFonts w:hint="eastAsia"/>
                <w:color w:val="000000"/>
                <w:kern w:val="24"/>
                <w:szCs w:val="21"/>
              </w:rPr>
              <w:t>4</w:t>
            </w:r>
          </w:p>
        </w:tc>
        <w:tc>
          <w:tcPr>
            <w:tcW w:w="2055" w:type="pct"/>
            <w:vAlign w:val="bottom"/>
          </w:tcPr>
          <w:p w:rsidR="00B90545" w:rsidRPr="00F0660F" w:rsidRDefault="0004149F" w:rsidP="006A7018">
            <w:pPr>
              <w:rPr>
                <w:color w:val="000000"/>
              </w:rPr>
            </w:pPr>
            <w:r>
              <w:rPr>
                <w:rFonts w:hint="eastAsia"/>
                <w:color w:val="000000"/>
              </w:rPr>
              <w:t>Mineo Takai</w:t>
            </w:r>
          </w:p>
        </w:tc>
        <w:tc>
          <w:tcPr>
            <w:tcW w:w="2599" w:type="pct"/>
            <w:vAlign w:val="bottom"/>
          </w:tcPr>
          <w:p w:rsidR="00B90545" w:rsidRPr="00495DB6" w:rsidRDefault="0004149F" w:rsidP="006A7018">
            <w:pPr>
              <w:rPr>
                <w:color w:val="000000"/>
              </w:rPr>
            </w:pPr>
            <w:r>
              <w:rPr>
                <w:rFonts w:hint="eastAsia"/>
                <w:color w:val="000000"/>
              </w:rPr>
              <w:t>STE</w:t>
            </w:r>
          </w:p>
        </w:tc>
      </w:tr>
      <w:tr w:rsidR="0004149F" w:rsidRPr="00180620" w:rsidTr="00495DB6">
        <w:trPr>
          <w:trHeight w:val="284"/>
        </w:trPr>
        <w:tc>
          <w:tcPr>
            <w:tcW w:w="346" w:type="pct"/>
          </w:tcPr>
          <w:p w:rsidR="0004149F" w:rsidRDefault="0004149F" w:rsidP="009E3D5A">
            <w:pPr>
              <w:rPr>
                <w:color w:val="000000"/>
                <w:kern w:val="24"/>
                <w:szCs w:val="21"/>
              </w:rPr>
            </w:pPr>
            <w:r>
              <w:rPr>
                <w:rFonts w:hint="eastAsia"/>
                <w:color w:val="000000"/>
                <w:kern w:val="24"/>
                <w:szCs w:val="21"/>
              </w:rPr>
              <w:t>5</w:t>
            </w:r>
          </w:p>
        </w:tc>
        <w:tc>
          <w:tcPr>
            <w:tcW w:w="2055" w:type="pct"/>
            <w:vAlign w:val="bottom"/>
          </w:tcPr>
          <w:p w:rsidR="0004149F" w:rsidRDefault="0004149F" w:rsidP="006A7018">
            <w:pPr>
              <w:rPr>
                <w:color w:val="000000"/>
              </w:rPr>
            </w:pPr>
            <w:proofErr w:type="spellStart"/>
            <w:r>
              <w:rPr>
                <w:rFonts w:hint="eastAsia"/>
                <w:color w:val="000000"/>
              </w:rPr>
              <w:t>Sigenobu</w:t>
            </w:r>
            <w:proofErr w:type="spellEnd"/>
            <w:r>
              <w:rPr>
                <w:rFonts w:hint="eastAsia"/>
                <w:color w:val="000000"/>
              </w:rPr>
              <w:t xml:space="preserve"> Sasaki</w:t>
            </w:r>
          </w:p>
        </w:tc>
        <w:tc>
          <w:tcPr>
            <w:tcW w:w="2599" w:type="pct"/>
            <w:vAlign w:val="bottom"/>
          </w:tcPr>
          <w:p w:rsidR="0004149F" w:rsidRDefault="0004149F" w:rsidP="006A7018">
            <w:pPr>
              <w:rPr>
                <w:color w:val="000000"/>
              </w:rPr>
            </w:pPr>
            <w:r>
              <w:rPr>
                <w:rFonts w:hint="eastAsia"/>
                <w:color w:val="000000"/>
              </w:rPr>
              <w:t>Niigata Univ.</w:t>
            </w:r>
          </w:p>
        </w:tc>
      </w:tr>
      <w:tr w:rsidR="00B90545" w:rsidRPr="00180620" w:rsidTr="00495DB6">
        <w:trPr>
          <w:trHeight w:val="284"/>
        </w:trPr>
        <w:tc>
          <w:tcPr>
            <w:tcW w:w="346" w:type="pct"/>
          </w:tcPr>
          <w:p w:rsidR="00B90545" w:rsidRDefault="0004149F" w:rsidP="009E3D5A">
            <w:pPr>
              <w:rPr>
                <w:color w:val="000000"/>
                <w:kern w:val="24"/>
                <w:szCs w:val="21"/>
              </w:rPr>
            </w:pPr>
            <w:r>
              <w:rPr>
                <w:rFonts w:hint="eastAsia"/>
                <w:color w:val="000000"/>
                <w:kern w:val="24"/>
                <w:szCs w:val="21"/>
              </w:rPr>
              <w:t>6</w:t>
            </w:r>
          </w:p>
        </w:tc>
        <w:tc>
          <w:tcPr>
            <w:tcW w:w="2055" w:type="pct"/>
          </w:tcPr>
          <w:p w:rsidR="00B90545" w:rsidRDefault="00B90545" w:rsidP="006A7018">
            <w:pPr>
              <w:rPr>
                <w:color w:val="000000"/>
                <w:kern w:val="24"/>
                <w:szCs w:val="21"/>
              </w:rPr>
            </w:pPr>
            <w:r>
              <w:rPr>
                <w:rFonts w:hint="eastAsia"/>
                <w:color w:val="000000"/>
                <w:kern w:val="24"/>
                <w:szCs w:val="21"/>
              </w:rPr>
              <w:t>Masayuki Ariyoshi</w:t>
            </w:r>
          </w:p>
        </w:tc>
        <w:tc>
          <w:tcPr>
            <w:tcW w:w="2599" w:type="pct"/>
          </w:tcPr>
          <w:p w:rsidR="00B90545" w:rsidRDefault="00B90545" w:rsidP="006A7018">
            <w:pPr>
              <w:rPr>
                <w:color w:val="000000"/>
                <w:kern w:val="24"/>
                <w:szCs w:val="21"/>
              </w:rPr>
            </w:pPr>
            <w:r>
              <w:rPr>
                <w:rFonts w:hint="eastAsia"/>
                <w:color w:val="000000"/>
                <w:kern w:val="24"/>
                <w:szCs w:val="21"/>
              </w:rPr>
              <w:t>ATR</w:t>
            </w:r>
          </w:p>
        </w:tc>
      </w:tr>
      <w:tr w:rsidR="00B90545" w:rsidRPr="00180620" w:rsidTr="00495DB6">
        <w:trPr>
          <w:trHeight w:val="284"/>
        </w:trPr>
        <w:tc>
          <w:tcPr>
            <w:tcW w:w="346" w:type="pct"/>
          </w:tcPr>
          <w:p w:rsidR="00B90545" w:rsidRDefault="0004149F" w:rsidP="006A7018">
            <w:pPr>
              <w:rPr>
                <w:color w:val="000000"/>
                <w:kern w:val="24"/>
                <w:szCs w:val="21"/>
              </w:rPr>
            </w:pPr>
            <w:r>
              <w:rPr>
                <w:rFonts w:hint="eastAsia"/>
                <w:color w:val="000000"/>
                <w:kern w:val="24"/>
                <w:szCs w:val="21"/>
              </w:rPr>
              <w:lastRenderedPageBreak/>
              <w:t>7</w:t>
            </w:r>
          </w:p>
        </w:tc>
        <w:tc>
          <w:tcPr>
            <w:tcW w:w="2055" w:type="pct"/>
          </w:tcPr>
          <w:p w:rsidR="00B90545" w:rsidRDefault="00B90545" w:rsidP="006A7018">
            <w:pPr>
              <w:rPr>
                <w:color w:val="000000"/>
                <w:kern w:val="24"/>
                <w:szCs w:val="21"/>
              </w:rPr>
            </w:pPr>
            <w:r>
              <w:rPr>
                <w:rFonts w:hint="eastAsia"/>
                <w:color w:val="000000"/>
                <w:kern w:val="24"/>
                <w:szCs w:val="21"/>
              </w:rPr>
              <w:t>Shoichi Kitazawa</w:t>
            </w:r>
          </w:p>
        </w:tc>
        <w:tc>
          <w:tcPr>
            <w:tcW w:w="2599" w:type="pct"/>
          </w:tcPr>
          <w:p w:rsidR="00B90545" w:rsidRDefault="00B90545" w:rsidP="006A7018">
            <w:pPr>
              <w:rPr>
                <w:color w:val="000000"/>
                <w:kern w:val="24"/>
                <w:szCs w:val="21"/>
              </w:rPr>
            </w:pPr>
            <w:r>
              <w:rPr>
                <w:rFonts w:hint="eastAsia"/>
                <w:color w:val="000000"/>
                <w:kern w:val="24"/>
                <w:szCs w:val="21"/>
              </w:rPr>
              <w:t>ATR</w:t>
            </w:r>
          </w:p>
        </w:tc>
      </w:tr>
    </w:tbl>
    <w:p w:rsidR="00055720" w:rsidRDefault="00055720" w:rsidP="00292A6A"/>
    <w:sectPr w:rsidR="00055720" w:rsidSect="00C33B2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F1" w:rsidRDefault="005676F1">
      <w:r>
        <w:separator/>
      </w:r>
    </w:p>
  </w:endnote>
  <w:endnote w:type="continuationSeparator" w:id="0">
    <w:p w:rsidR="005676F1" w:rsidRDefault="0056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3862F4">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C7204">
        <w:rPr>
          <w:noProof/>
        </w:rPr>
        <w:t>Shoichi Kitazawa</w:t>
      </w:r>
    </w:fldSimple>
    <w:r>
      <w:t xml:space="preserve">, </w:t>
    </w:r>
    <w:fldSimple w:instr=" DOCPROPERTY &quot;Company&quot;  \* MERGEFORMAT ">
      <w:r w:rsidR="00BC7204">
        <w:t>ATR</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3862F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F1" w:rsidRDefault="005676F1">
      <w:r>
        <w:separator/>
      </w:r>
    </w:p>
  </w:footnote>
  <w:footnote w:type="continuationSeparator" w:id="0">
    <w:p w:rsidR="005676F1" w:rsidRDefault="00567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1965B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762B26">
      <w:rPr>
        <w:b/>
        <w:sz w:val="28"/>
      </w:rPr>
      <w:instrText xml:space="preserve"> SAVEDATE  \@ "MMMM yyyy"  \* MERGEFORMAT </w:instrText>
    </w:r>
    <w:r>
      <w:rPr>
        <w:b/>
        <w:sz w:val="28"/>
      </w:rPr>
      <w:fldChar w:fldCharType="separate"/>
    </w:r>
    <w:r w:rsidR="00EB4818">
      <w:rPr>
        <w:b/>
        <w:noProof/>
        <w:sz w:val="28"/>
      </w:rPr>
      <w:t>January 2014</w:t>
    </w:r>
    <w:r>
      <w:rPr>
        <w:b/>
        <w:sz w:val="28"/>
      </w:rPr>
      <w:fldChar w:fldCharType="end"/>
    </w:r>
    <w:r w:rsidR="003862F4">
      <w:rPr>
        <w:b/>
        <w:sz w:val="28"/>
      </w:rPr>
      <w:tab/>
      <w:t xml:space="preserve"> IEEE P802.15-</w:t>
    </w:r>
    <w:fldSimple w:instr=" DOCPROPERTY &quot;Category&quot;  \* MERGEFORMAT ">
      <w:r w:rsidR="00F53BA9" w:rsidRPr="00F53BA9">
        <w:rPr>
          <w:b/>
          <w:sz w:val="28"/>
        </w:rPr>
        <w:t>14-0009-00-0sru</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E4" w:rsidRDefault="003862F4">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9C1"/>
    <w:multiLevelType w:val="hybridMultilevel"/>
    <w:tmpl w:val="20DE66BE"/>
    <w:lvl w:ilvl="0" w:tplc="F890309C">
      <w:numFmt w:val="bullet"/>
      <w:lvlText w:val="・"/>
      <w:lvlJc w:val="left"/>
      <w:pPr>
        <w:ind w:left="420" w:hanging="420"/>
      </w:pPr>
      <w:rPr>
        <w:rFonts w:ascii="Times New Roman" w:eastAsia="ＭＳ Ｐゴシック"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15"/>
    <w:rsid w:val="00032F0C"/>
    <w:rsid w:val="0004149F"/>
    <w:rsid w:val="00055720"/>
    <w:rsid w:val="0006061F"/>
    <w:rsid w:val="00064050"/>
    <w:rsid w:val="000820DA"/>
    <w:rsid w:val="0010413C"/>
    <w:rsid w:val="001327A7"/>
    <w:rsid w:val="001338A8"/>
    <w:rsid w:val="00150CD4"/>
    <w:rsid w:val="00154304"/>
    <w:rsid w:val="00156ABC"/>
    <w:rsid w:val="00156F51"/>
    <w:rsid w:val="001740A5"/>
    <w:rsid w:val="001965BC"/>
    <w:rsid w:val="001E5FE4"/>
    <w:rsid w:val="002131CB"/>
    <w:rsid w:val="00227B35"/>
    <w:rsid w:val="00233E67"/>
    <w:rsid w:val="002420E1"/>
    <w:rsid w:val="00282D04"/>
    <w:rsid w:val="002875C2"/>
    <w:rsid w:val="00292A6A"/>
    <w:rsid w:val="002F0DC7"/>
    <w:rsid w:val="002F3715"/>
    <w:rsid w:val="00312A0D"/>
    <w:rsid w:val="00317523"/>
    <w:rsid w:val="003335E0"/>
    <w:rsid w:val="0033508B"/>
    <w:rsid w:val="00385BC3"/>
    <w:rsid w:val="003862F4"/>
    <w:rsid w:val="00392551"/>
    <w:rsid w:val="00395B12"/>
    <w:rsid w:val="003E6C33"/>
    <w:rsid w:val="00411464"/>
    <w:rsid w:val="00465663"/>
    <w:rsid w:val="00490BE9"/>
    <w:rsid w:val="00494EFF"/>
    <w:rsid w:val="00495DB6"/>
    <w:rsid w:val="004C4BC0"/>
    <w:rsid w:val="005004B8"/>
    <w:rsid w:val="00511453"/>
    <w:rsid w:val="005471C0"/>
    <w:rsid w:val="005532F0"/>
    <w:rsid w:val="005676F1"/>
    <w:rsid w:val="00594D53"/>
    <w:rsid w:val="005D6361"/>
    <w:rsid w:val="005E0810"/>
    <w:rsid w:val="00606F8B"/>
    <w:rsid w:val="00640716"/>
    <w:rsid w:val="00680C12"/>
    <w:rsid w:val="006B15F1"/>
    <w:rsid w:val="006C7C7B"/>
    <w:rsid w:val="006E730F"/>
    <w:rsid w:val="007009F5"/>
    <w:rsid w:val="00762B26"/>
    <w:rsid w:val="00765EA5"/>
    <w:rsid w:val="00794BB8"/>
    <w:rsid w:val="007B41E6"/>
    <w:rsid w:val="007C52EE"/>
    <w:rsid w:val="007C5A10"/>
    <w:rsid w:val="007F6D86"/>
    <w:rsid w:val="008515EE"/>
    <w:rsid w:val="008A47AD"/>
    <w:rsid w:val="008C4FAE"/>
    <w:rsid w:val="00907755"/>
    <w:rsid w:val="0091011B"/>
    <w:rsid w:val="00913C0E"/>
    <w:rsid w:val="009272CB"/>
    <w:rsid w:val="00950032"/>
    <w:rsid w:val="00965C5B"/>
    <w:rsid w:val="00974D83"/>
    <w:rsid w:val="009C028A"/>
    <w:rsid w:val="00A035E5"/>
    <w:rsid w:val="00A06A62"/>
    <w:rsid w:val="00A40F7C"/>
    <w:rsid w:val="00A43698"/>
    <w:rsid w:val="00A5087B"/>
    <w:rsid w:val="00A9113F"/>
    <w:rsid w:val="00AB463C"/>
    <w:rsid w:val="00AC493D"/>
    <w:rsid w:val="00AD059A"/>
    <w:rsid w:val="00AF3C6E"/>
    <w:rsid w:val="00B207D1"/>
    <w:rsid w:val="00B603DE"/>
    <w:rsid w:val="00B90545"/>
    <w:rsid w:val="00BC7204"/>
    <w:rsid w:val="00C2071A"/>
    <w:rsid w:val="00C20A4E"/>
    <w:rsid w:val="00C21B04"/>
    <w:rsid w:val="00C33B22"/>
    <w:rsid w:val="00C37177"/>
    <w:rsid w:val="00CF208E"/>
    <w:rsid w:val="00D34633"/>
    <w:rsid w:val="00DF5DED"/>
    <w:rsid w:val="00E11670"/>
    <w:rsid w:val="00E42E07"/>
    <w:rsid w:val="00EB4818"/>
    <w:rsid w:val="00EC1CE1"/>
    <w:rsid w:val="00ED7D4B"/>
    <w:rsid w:val="00EE18AD"/>
    <w:rsid w:val="00EE34EE"/>
    <w:rsid w:val="00F53BA9"/>
    <w:rsid w:val="00F72F5F"/>
    <w:rsid w:val="00F771B7"/>
    <w:rsid w:val="00FC5571"/>
    <w:rsid w:val="00FD559D"/>
    <w:rsid w:val="00FF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80C12"/>
  </w:style>
  <w:style w:type="character" w:customStyle="1" w:styleId="ac">
    <w:name w:val="日付 (文字)"/>
    <w:basedOn w:val="a0"/>
    <w:link w:val="ab"/>
    <w:uiPriority w:val="99"/>
    <w:semiHidden/>
    <w:rsid w:val="00680C1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765EA5"/>
    <w:pPr>
      <w:ind w:leftChars="400" w:left="840"/>
    </w:pPr>
  </w:style>
  <w:style w:type="paragraph" w:styleId="Web">
    <w:name w:val="Normal (Web)"/>
    <w:basedOn w:val="a"/>
    <w:uiPriority w:val="99"/>
    <w:semiHidden/>
    <w:unhideWhenUsed/>
    <w:rsid w:val="00765EA5"/>
    <w:pPr>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semiHidden/>
    <w:unhideWhenUsed/>
    <w:rsid w:val="006407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71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80C12"/>
  </w:style>
  <w:style w:type="character" w:customStyle="1" w:styleId="ac">
    <w:name w:val="日付 (文字)"/>
    <w:basedOn w:val="a0"/>
    <w:link w:val="ab"/>
    <w:uiPriority w:val="99"/>
    <w:semiHidden/>
    <w:rsid w:val="00680C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580">
      <w:bodyDiv w:val="1"/>
      <w:marLeft w:val="0"/>
      <w:marRight w:val="0"/>
      <w:marTop w:val="0"/>
      <w:marBottom w:val="0"/>
      <w:divBdr>
        <w:top w:val="none" w:sz="0" w:space="0" w:color="auto"/>
        <w:left w:val="none" w:sz="0" w:space="0" w:color="auto"/>
        <w:bottom w:val="none" w:sz="0" w:space="0" w:color="auto"/>
        <w:right w:val="none" w:sz="0" w:space="0" w:color="auto"/>
      </w:divBdr>
    </w:div>
    <w:div w:id="365565000">
      <w:bodyDiv w:val="1"/>
      <w:marLeft w:val="0"/>
      <w:marRight w:val="0"/>
      <w:marTop w:val="0"/>
      <w:marBottom w:val="0"/>
      <w:divBdr>
        <w:top w:val="none" w:sz="0" w:space="0" w:color="auto"/>
        <w:left w:val="none" w:sz="0" w:space="0" w:color="auto"/>
        <w:bottom w:val="none" w:sz="0" w:space="0" w:color="auto"/>
        <w:right w:val="none" w:sz="0" w:space="0" w:color="auto"/>
      </w:divBdr>
    </w:div>
    <w:div w:id="688138505">
      <w:bodyDiv w:val="1"/>
      <w:marLeft w:val="0"/>
      <w:marRight w:val="0"/>
      <w:marTop w:val="0"/>
      <w:marBottom w:val="0"/>
      <w:divBdr>
        <w:top w:val="none" w:sz="0" w:space="0" w:color="auto"/>
        <w:left w:val="none" w:sz="0" w:space="0" w:color="auto"/>
        <w:bottom w:val="none" w:sz="0" w:space="0" w:color="auto"/>
        <w:right w:val="none" w:sz="0" w:space="0" w:color="auto"/>
      </w:divBdr>
    </w:div>
    <w:div w:id="993139540">
      <w:bodyDiv w:val="1"/>
      <w:marLeft w:val="0"/>
      <w:marRight w:val="0"/>
      <w:marTop w:val="0"/>
      <w:marBottom w:val="0"/>
      <w:divBdr>
        <w:top w:val="none" w:sz="0" w:space="0" w:color="auto"/>
        <w:left w:val="none" w:sz="0" w:space="0" w:color="auto"/>
        <w:bottom w:val="none" w:sz="0" w:space="0" w:color="auto"/>
        <w:right w:val="none" w:sz="0" w:space="0" w:color="auto"/>
      </w:divBdr>
    </w:div>
    <w:div w:id="12905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70BDA-F93B-4ECA-A63B-33A6BE8D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3</Pages>
  <Words>365</Words>
  <Characters>2082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SG SRU Teleconference Minutes for December 2013</vt:lpstr>
      <vt:lpstr>&lt;title&gt;</vt:lpstr>
    </vt:vector>
  </TitlesOfParts>
  <Company>ATR</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SRU Teleconference Minutes for December 2013</dc:title>
  <dc:creator>Shoichi Kitazawa</dc:creator>
  <dc:description>2-2-2, Hikaridai, Seika Kyoto Japan
TELEPHONE: &lt;+81-774-95-1565&gt;
FAX: &lt;fax#&gt;
EMAIL: &lt;kitazawa@atr.jp&gt;</dc:description>
  <cp:lastModifiedBy>Shoichi Kitazawa</cp:lastModifiedBy>
  <cp:revision>3</cp:revision>
  <cp:lastPrinted>2013-07-08T23:26:00Z</cp:lastPrinted>
  <dcterms:created xsi:type="dcterms:W3CDTF">2014-01-09T00:42:00Z</dcterms:created>
  <dcterms:modified xsi:type="dcterms:W3CDTF">2014-01-09T04:00:00Z</dcterms:modified>
  <cp:category>14-0009-00-0sru</cp:category>
</cp:coreProperties>
</file>