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6B" w:rsidRPr="00B5189C" w:rsidRDefault="0067006B" w:rsidP="0067006B">
      <w:pPr>
        <w:jc w:val="center"/>
        <w:rPr>
          <w:rFonts w:ascii="Times New Roman" w:hAnsi="Times New Roman" w:cs="Times New Roman"/>
          <w:b/>
          <w:sz w:val="28"/>
        </w:rPr>
      </w:pPr>
      <w:r w:rsidRPr="00B5189C">
        <w:rPr>
          <w:rFonts w:ascii="Times New Roman" w:hAnsi="Times New Roman" w:cs="Times New Roman"/>
          <w:b/>
          <w:sz w:val="28"/>
        </w:rPr>
        <w:t>IEEE P802.15</w:t>
      </w:r>
    </w:p>
    <w:p w:rsidR="0067006B" w:rsidRPr="00B5189C" w:rsidRDefault="0067006B" w:rsidP="0067006B">
      <w:pPr>
        <w:jc w:val="center"/>
        <w:rPr>
          <w:rFonts w:ascii="Times New Roman" w:hAnsi="Times New Roman" w:cs="Times New Roman"/>
          <w:b/>
          <w:sz w:val="28"/>
        </w:rPr>
      </w:pPr>
      <w:r w:rsidRPr="00B5189C">
        <w:rPr>
          <w:rFonts w:ascii="Times New Roman" w:hAnsi="Times New Roman" w:cs="Times New Roman"/>
          <w:b/>
          <w:sz w:val="28"/>
        </w:rPr>
        <w:t>Wireless Personal Area Networks</w:t>
      </w:r>
    </w:p>
    <w:p w:rsidR="0067006B" w:rsidRPr="00B5189C" w:rsidRDefault="0067006B" w:rsidP="0067006B">
      <w:pPr>
        <w:jc w:val="center"/>
        <w:rPr>
          <w:rFonts w:ascii="Times New Roman" w:hAnsi="Times New Roman" w:cs="Times New Roman"/>
          <w:b/>
          <w:sz w:val="28"/>
        </w:rPr>
      </w:pPr>
    </w:p>
    <w:p w:rsidR="0067006B" w:rsidRPr="00B5189C" w:rsidRDefault="0067006B" w:rsidP="0067006B">
      <w:pPr>
        <w:jc w:val="center"/>
        <w:rPr>
          <w:rFonts w:ascii="Times New Roman" w:hAnsi="Times New Roman" w:cs="Times New Roman"/>
          <w:b/>
          <w:sz w:val="28"/>
        </w:rPr>
      </w:pPr>
    </w:p>
    <w:tbl>
      <w:tblPr>
        <w:tblW w:w="945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4050"/>
        <w:gridCol w:w="4140"/>
      </w:tblGrid>
      <w:tr w:rsidR="0067006B" w:rsidRPr="00B5189C" w:rsidTr="00FD11FB">
        <w:trPr>
          <w:jc w:val="center"/>
        </w:trPr>
        <w:tc>
          <w:tcPr>
            <w:tcW w:w="1260" w:type="dxa"/>
          </w:tcPr>
          <w:p w:rsidR="0067006B" w:rsidRPr="00B5189C" w:rsidRDefault="0067006B" w:rsidP="00B07A56">
            <w:pPr>
              <w:pStyle w:val="covertext"/>
            </w:pPr>
            <w:r w:rsidRPr="00B5189C">
              <w:t>Project</w:t>
            </w:r>
          </w:p>
        </w:tc>
        <w:tc>
          <w:tcPr>
            <w:tcW w:w="8190" w:type="dxa"/>
            <w:gridSpan w:val="2"/>
          </w:tcPr>
          <w:p w:rsidR="0067006B" w:rsidRPr="00B5189C" w:rsidRDefault="0067006B" w:rsidP="00B07A56">
            <w:pPr>
              <w:pStyle w:val="covertext"/>
            </w:pPr>
            <w:r w:rsidRPr="00B5189C">
              <w:t>IEEE P802.15 Working Group for Wireless Personal Area Networks (WPANs)</w:t>
            </w:r>
          </w:p>
        </w:tc>
      </w:tr>
      <w:tr w:rsidR="0067006B" w:rsidRPr="00B5189C" w:rsidTr="00FD11FB">
        <w:trPr>
          <w:jc w:val="center"/>
        </w:trPr>
        <w:tc>
          <w:tcPr>
            <w:tcW w:w="1260" w:type="dxa"/>
          </w:tcPr>
          <w:p w:rsidR="0067006B" w:rsidRPr="00B5189C" w:rsidRDefault="0067006B" w:rsidP="00B07A56">
            <w:pPr>
              <w:pStyle w:val="covertext"/>
            </w:pPr>
            <w:r w:rsidRPr="00B5189C">
              <w:t>Title</w:t>
            </w:r>
          </w:p>
        </w:tc>
        <w:tc>
          <w:tcPr>
            <w:tcW w:w="8190" w:type="dxa"/>
            <w:gridSpan w:val="2"/>
          </w:tcPr>
          <w:p w:rsidR="0067006B" w:rsidRPr="00B5189C" w:rsidRDefault="0067006B" w:rsidP="00B07A56">
            <w:pPr>
              <w:pStyle w:val="covertext"/>
            </w:pPr>
            <w:r w:rsidRPr="00B5189C">
              <w:t>Definition of Gaussian filter for CMB GFSK</w:t>
            </w:r>
          </w:p>
        </w:tc>
      </w:tr>
      <w:tr w:rsidR="0067006B" w:rsidRPr="00B5189C" w:rsidTr="00FD11FB">
        <w:trPr>
          <w:jc w:val="center"/>
        </w:trPr>
        <w:tc>
          <w:tcPr>
            <w:tcW w:w="1260" w:type="dxa"/>
          </w:tcPr>
          <w:p w:rsidR="0067006B" w:rsidRPr="00B5189C" w:rsidRDefault="0067006B" w:rsidP="00B07A56">
            <w:pPr>
              <w:pStyle w:val="covertext"/>
            </w:pPr>
            <w:r w:rsidRPr="00B5189C">
              <w:t>Date Submitted</w:t>
            </w:r>
          </w:p>
        </w:tc>
        <w:tc>
          <w:tcPr>
            <w:tcW w:w="8190" w:type="dxa"/>
            <w:gridSpan w:val="2"/>
          </w:tcPr>
          <w:p w:rsidR="0067006B" w:rsidRPr="00B5189C" w:rsidRDefault="0067006B" w:rsidP="00B07A56">
            <w:pPr>
              <w:pStyle w:val="covertext"/>
              <w:rPr>
                <w:lang w:eastAsia="zh-CN"/>
              </w:rPr>
            </w:pPr>
            <w:r w:rsidRPr="00B5189C">
              <w:t>[</w:t>
            </w:r>
            <w:r w:rsidRPr="00B5189C">
              <w:rPr>
                <w:lang w:eastAsia="zh-CN"/>
              </w:rPr>
              <w:t>July 1</w:t>
            </w:r>
            <w:r w:rsidR="00AD49D5" w:rsidRPr="00B5189C">
              <w:rPr>
                <w:rFonts w:eastAsiaTheme="minorEastAsia"/>
                <w:lang w:eastAsia="ja-JP"/>
              </w:rPr>
              <w:t>8</w:t>
            </w:r>
            <w:r w:rsidRPr="00B5189C">
              <w:t>, 2013</w:t>
            </w:r>
            <w:r w:rsidRPr="00B5189C">
              <w:rPr>
                <w:lang w:eastAsia="zh-CN"/>
              </w:rPr>
              <w:t>]</w:t>
            </w:r>
          </w:p>
        </w:tc>
      </w:tr>
      <w:tr w:rsidR="0067006B" w:rsidRPr="00B5189C" w:rsidTr="00FD11FB">
        <w:trPr>
          <w:jc w:val="center"/>
        </w:trPr>
        <w:tc>
          <w:tcPr>
            <w:tcW w:w="1260" w:type="dxa"/>
          </w:tcPr>
          <w:p w:rsidR="0067006B" w:rsidRPr="00B5189C" w:rsidRDefault="0067006B" w:rsidP="00B07A56">
            <w:pPr>
              <w:pStyle w:val="covertext"/>
            </w:pPr>
            <w:r w:rsidRPr="00B5189C">
              <w:t>Source</w:t>
            </w:r>
          </w:p>
        </w:tc>
        <w:tc>
          <w:tcPr>
            <w:tcW w:w="4050" w:type="dxa"/>
          </w:tcPr>
          <w:p w:rsidR="0067006B" w:rsidRPr="00B5189C" w:rsidRDefault="0067006B" w:rsidP="00555E6E">
            <w:pPr>
              <w:pStyle w:val="covertext"/>
              <w:spacing w:before="0" w:after="0"/>
              <w:rPr>
                <w:rFonts w:eastAsiaTheme="minorEastAsia"/>
                <w:lang w:eastAsia="ja-JP"/>
              </w:rPr>
            </w:pPr>
            <w:r w:rsidRPr="00B5189C">
              <w:t>[</w:t>
            </w:r>
            <w:r w:rsidRPr="00B5189C">
              <w:rPr>
                <w:lang w:eastAsia="zh-CN"/>
              </w:rPr>
              <w:t>Kenichi Mori, Shin Hara]</w:t>
            </w:r>
          </w:p>
        </w:tc>
        <w:tc>
          <w:tcPr>
            <w:tcW w:w="4140" w:type="dxa"/>
          </w:tcPr>
          <w:p w:rsidR="0067006B" w:rsidRPr="00B5189C" w:rsidRDefault="00AD49D5" w:rsidP="00AD49D5">
            <w:pPr>
              <w:pStyle w:val="covertext"/>
              <w:tabs>
                <w:tab w:val="left" w:pos="1152"/>
              </w:tabs>
              <w:spacing w:before="0" w:after="0"/>
              <w:rPr>
                <w:color w:val="000000"/>
                <w:lang w:eastAsia="zh-CN"/>
              </w:rPr>
            </w:pPr>
            <w:r w:rsidRPr="00B5189C">
              <w:t>Voice:</w:t>
            </w:r>
            <w:r w:rsidRPr="00B5189C">
              <w:tab/>
              <w:t>[</w:t>
            </w:r>
            <w:r w:rsidR="0067006B" w:rsidRPr="00B5189C">
              <w:rPr>
                <w:lang w:eastAsia="zh-CN"/>
              </w:rPr>
              <w:t>]</w:t>
            </w:r>
            <w:r w:rsidR="0067006B" w:rsidRPr="00B5189C">
              <w:br/>
              <w:t>Fax:</w:t>
            </w:r>
            <w:r w:rsidR="0067006B" w:rsidRPr="00B5189C">
              <w:tab/>
              <w:t>[   ]</w:t>
            </w:r>
            <w:r w:rsidR="0067006B" w:rsidRPr="00B5189C">
              <w:br/>
              <w:t>E-mail:</w:t>
            </w:r>
            <w:r w:rsidR="0067006B" w:rsidRPr="00B5189C">
              <w:tab/>
              <w:t>[</w:t>
            </w:r>
            <w:hyperlink r:id="rId7" w:history="1">
              <w:r w:rsidR="0067006B" w:rsidRPr="00B5189C">
                <w:rPr>
                  <w:rStyle w:val="Hyperlink"/>
                  <w:lang w:eastAsia="zh-CN"/>
                </w:rPr>
                <w:t>mori.ken1@jp.panasonic.com</w:t>
              </w:r>
            </w:hyperlink>
            <w:r w:rsidR="0067006B" w:rsidRPr="00B5189C">
              <w:rPr>
                <w:color w:val="000000"/>
                <w:lang w:eastAsia="zh-CN"/>
              </w:rPr>
              <w:t>,</w:t>
            </w:r>
          </w:p>
          <w:p w:rsidR="0067006B" w:rsidRPr="00B5189C" w:rsidRDefault="008F53D1" w:rsidP="00B07A56">
            <w:pPr>
              <w:pStyle w:val="covertext"/>
              <w:tabs>
                <w:tab w:val="left" w:pos="1152"/>
              </w:tabs>
              <w:rPr>
                <w:color w:val="000000"/>
                <w:lang w:eastAsia="zh-CN"/>
              </w:rPr>
            </w:pPr>
            <w:hyperlink r:id="rId8" w:history="1">
              <w:r w:rsidR="0067006B" w:rsidRPr="00B5189C">
                <w:rPr>
                  <w:rStyle w:val="Hyperlink"/>
                  <w:lang w:eastAsia="zh-CN"/>
                </w:rPr>
                <w:t>shinsukehara0122@gmail.com</w:t>
              </w:r>
            </w:hyperlink>
            <w:r w:rsidR="0067006B" w:rsidRPr="00B5189C">
              <w:t>]</w:t>
            </w:r>
          </w:p>
        </w:tc>
      </w:tr>
      <w:tr w:rsidR="0067006B" w:rsidRPr="00B5189C" w:rsidTr="00FD11FB">
        <w:trPr>
          <w:jc w:val="center"/>
        </w:trPr>
        <w:tc>
          <w:tcPr>
            <w:tcW w:w="1260" w:type="dxa"/>
          </w:tcPr>
          <w:p w:rsidR="0067006B" w:rsidRPr="00B5189C" w:rsidRDefault="0067006B" w:rsidP="00B07A56">
            <w:pPr>
              <w:pStyle w:val="covertext"/>
            </w:pPr>
          </w:p>
        </w:tc>
        <w:tc>
          <w:tcPr>
            <w:tcW w:w="8190" w:type="dxa"/>
            <w:gridSpan w:val="2"/>
          </w:tcPr>
          <w:p w:rsidR="0067006B" w:rsidRPr="00B5189C" w:rsidRDefault="0067006B" w:rsidP="00B07A56">
            <w:pPr>
              <w:pStyle w:val="covertext"/>
            </w:pPr>
          </w:p>
        </w:tc>
      </w:tr>
      <w:tr w:rsidR="0067006B" w:rsidRPr="00B5189C" w:rsidTr="00FD11FB">
        <w:trPr>
          <w:jc w:val="center"/>
        </w:trPr>
        <w:tc>
          <w:tcPr>
            <w:tcW w:w="1260" w:type="dxa"/>
          </w:tcPr>
          <w:p w:rsidR="0067006B" w:rsidRPr="00B5189C" w:rsidRDefault="0067006B" w:rsidP="00B07A56">
            <w:pPr>
              <w:pStyle w:val="covertext"/>
            </w:pPr>
            <w:r w:rsidRPr="00B5189C">
              <w:t>Abstract</w:t>
            </w:r>
          </w:p>
        </w:tc>
        <w:tc>
          <w:tcPr>
            <w:tcW w:w="8190" w:type="dxa"/>
            <w:gridSpan w:val="2"/>
          </w:tcPr>
          <w:p w:rsidR="0067006B" w:rsidRPr="00B5189C" w:rsidRDefault="0067006B" w:rsidP="00AD49D5">
            <w:pPr>
              <w:autoSpaceDE w:val="0"/>
              <w:autoSpaceDN w:val="0"/>
              <w:adjustRightInd w:val="0"/>
              <w:rPr>
                <w:rFonts w:ascii="Times New Roman" w:hAnsi="Times New Roman" w:cs="Times New Roman"/>
              </w:rPr>
            </w:pPr>
            <w:r w:rsidRPr="00B5189C">
              <w:rPr>
                <w:rFonts w:ascii="Times New Roman" w:hAnsi="Times New Roman" w:cs="Times New Roman"/>
                <w:szCs w:val="24"/>
                <w:lang w:eastAsia="zh-CN"/>
              </w:rPr>
              <w:t xml:space="preserve">This document is a contribution </w:t>
            </w:r>
            <w:r w:rsidR="00AD49D5" w:rsidRPr="00B5189C">
              <w:rPr>
                <w:rFonts w:ascii="Times New Roman" w:hAnsi="Times New Roman" w:cs="Times New Roman"/>
                <w:szCs w:val="24"/>
              </w:rPr>
              <w:t>to clarify definition of Gaussian filter for CMB GFSK PHY.</w:t>
            </w:r>
          </w:p>
        </w:tc>
      </w:tr>
      <w:tr w:rsidR="0067006B" w:rsidRPr="00B5189C" w:rsidTr="00FD11FB">
        <w:trPr>
          <w:jc w:val="center"/>
        </w:trPr>
        <w:tc>
          <w:tcPr>
            <w:tcW w:w="1260" w:type="dxa"/>
          </w:tcPr>
          <w:p w:rsidR="0067006B" w:rsidRPr="00B5189C" w:rsidRDefault="0067006B" w:rsidP="00B07A56">
            <w:pPr>
              <w:pStyle w:val="covertext"/>
            </w:pPr>
            <w:r w:rsidRPr="00B5189C">
              <w:t>Purpose</w:t>
            </w:r>
          </w:p>
        </w:tc>
        <w:tc>
          <w:tcPr>
            <w:tcW w:w="8190" w:type="dxa"/>
            <w:gridSpan w:val="2"/>
          </w:tcPr>
          <w:p w:rsidR="0067006B" w:rsidRPr="00B5189C" w:rsidRDefault="0067006B" w:rsidP="00AD49D5">
            <w:pPr>
              <w:autoSpaceDE w:val="0"/>
              <w:autoSpaceDN w:val="0"/>
              <w:adjustRightInd w:val="0"/>
              <w:rPr>
                <w:rFonts w:ascii="Times New Roman" w:hAnsi="Times New Roman" w:cs="Times New Roman"/>
                <w:lang w:eastAsia="zh-CN"/>
              </w:rPr>
            </w:pPr>
            <w:r w:rsidRPr="00B5189C">
              <w:rPr>
                <w:rFonts w:ascii="Times New Roman" w:hAnsi="Times New Roman" w:cs="Times New Roman"/>
                <w:szCs w:val="24"/>
                <w:lang w:eastAsia="zh-CN"/>
              </w:rPr>
              <w:t>This document is contribution</w:t>
            </w:r>
            <w:r w:rsidR="00AD49D5" w:rsidRPr="00B5189C">
              <w:rPr>
                <w:rFonts w:ascii="Times New Roman" w:hAnsi="Times New Roman" w:cs="Times New Roman"/>
                <w:szCs w:val="24"/>
              </w:rPr>
              <w:t xml:space="preserve"> to add a sub-clause where </w:t>
            </w:r>
            <w:proofErr w:type="gramStart"/>
            <w:r w:rsidR="00AD49D5" w:rsidRPr="00B5189C">
              <w:rPr>
                <w:rFonts w:ascii="Times New Roman" w:hAnsi="Times New Roman" w:cs="Times New Roman"/>
                <w:szCs w:val="24"/>
              </w:rPr>
              <w:t>definition of Gaussian filter</w:t>
            </w:r>
            <w:proofErr w:type="gramEnd"/>
            <w:r w:rsidR="00AD49D5" w:rsidRPr="00B5189C">
              <w:rPr>
                <w:rFonts w:ascii="Times New Roman" w:hAnsi="Times New Roman" w:cs="Times New Roman"/>
                <w:szCs w:val="24"/>
              </w:rPr>
              <w:t xml:space="preserve"> is addressed</w:t>
            </w:r>
            <w:r w:rsidRPr="00B5189C">
              <w:rPr>
                <w:rFonts w:ascii="Times New Roman" w:hAnsi="Times New Roman" w:cs="Times New Roman"/>
                <w:szCs w:val="24"/>
                <w:lang w:eastAsia="zh-CN"/>
              </w:rPr>
              <w:t>.</w:t>
            </w:r>
          </w:p>
        </w:tc>
      </w:tr>
      <w:tr w:rsidR="0067006B" w:rsidRPr="00B5189C" w:rsidTr="00FD11FB">
        <w:trPr>
          <w:jc w:val="center"/>
        </w:trPr>
        <w:tc>
          <w:tcPr>
            <w:tcW w:w="1260" w:type="dxa"/>
          </w:tcPr>
          <w:p w:rsidR="0067006B" w:rsidRPr="00B5189C" w:rsidRDefault="0067006B" w:rsidP="00B07A56">
            <w:pPr>
              <w:pStyle w:val="covertext"/>
            </w:pPr>
            <w:r w:rsidRPr="00B5189C">
              <w:t>Notice</w:t>
            </w:r>
          </w:p>
        </w:tc>
        <w:tc>
          <w:tcPr>
            <w:tcW w:w="8190" w:type="dxa"/>
            <w:gridSpan w:val="2"/>
          </w:tcPr>
          <w:p w:rsidR="0067006B" w:rsidRPr="00B5189C" w:rsidRDefault="0067006B" w:rsidP="00B07A56">
            <w:pPr>
              <w:pStyle w:val="covertext"/>
            </w:pPr>
            <w:r w:rsidRPr="00B5189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006B" w:rsidRPr="00B5189C" w:rsidTr="00FD11FB">
        <w:trPr>
          <w:jc w:val="center"/>
        </w:trPr>
        <w:tc>
          <w:tcPr>
            <w:tcW w:w="1260" w:type="dxa"/>
          </w:tcPr>
          <w:p w:rsidR="0067006B" w:rsidRPr="00B5189C" w:rsidRDefault="0067006B" w:rsidP="00B07A56">
            <w:pPr>
              <w:pStyle w:val="covertext"/>
            </w:pPr>
            <w:r w:rsidRPr="00B5189C">
              <w:t>Release</w:t>
            </w:r>
          </w:p>
        </w:tc>
        <w:tc>
          <w:tcPr>
            <w:tcW w:w="8190" w:type="dxa"/>
            <w:gridSpan w:val="2"/>
          </w:tcPr>
          <w:p w:rsidR="0067006B" w:rsidRPr="00B5189C" w:rsidRDefault="0067006B" w:rsidP="00B07A56">
            <w:pPr>
              <w:pStyle w:val="covertext"/>
            </w:pPr>
            <w:r w:rsidRPr="00B5189C">
              <w:t>The contributor acknowledges and accepts that this contribution becomes the property of IEEE and may be made publicly available by P802.15.</w:t>
            </w:r>
          </w:p>
        </w:tc>
      </w:tr>
    </w:tbl>
    <w:p w:rsidR="0067006B" w:rsidRPr="00B5189C" w:rsidRDefault="0067006B">
      <w:pPr>
        <w:rPr>
          <w:rFonts w:ascii="Times New Roman" w:hAnsi="Times New Roman" w:cs="Times New Roman"/>
        </w:rPr>
      </w:pPr>
    </w:p>
    <w:p w:rsidR="00485BCD" w:rsidRPr="00B5189C" w:rsidRDefault="00485BCD">
      <w:pPr>
        <w:rPr>
          <w:rFonts w:ascii="Times New Roman" w:hAnsi="Times New Roman" w:cs="Times New Roman"/>
          <w:b/>
          <w:sz w:val="24"/>
          <w:szCs w:val="24"/>
        </w:rPr>
      </w:pPr>
      <w:r w:rsidRPr="00B5189C">
        <w:rPr>
          <w:rFonts w:ascii="Times New Roman" w:hAnsi="Times New Roman" w:cs="Times New Roman"/>
          <w:b/>
          <w:sz w:val="24"/>
          <w:szCs w:val="24"/>
        </w:rPr>
        <w:t>[</w:t>
      </w:r>
      <w:r w:rsidR="006123C8" w:rsidRPr="00B5189C">
        <w:rPr>
          <w:rFonts w:ascii="Times New Roman" w:hAnsi="Times New Roman" w:cs="Times New Roman"/>
          <w:b/>
          <w:sz w:val="24"/>
          <w:szCs w:val="24"/>
        </w:rPr>
        <w:t>Discussion</w:t>
      </w:r>
      <w:r w:rsidRPr="00B5189C">
        <w:rPr>
          <w:rFonts w:ascii="Times New Roman" w:hAnsi="Times New Roman" w:cs="Times New Roman"/>
          <w:b/>
          <w:sz w:val="24"/>
          <w:szCs w:val="24"/>
        </w:rPr>
        <w:t>]</w:t>
      </w:r>
    </w:p>
    <w:p w:rsidR="00485BCD" w:rsidRPr="00B5189C" w:rsidRDefault="00FD11FB" w:rsidP="00FD11FB">
      <w:pPr>
        <w:rPr>
          <w:rFonts w:ascii="Times New Roman" w:hAnsi="Times New Roman" w:cs="Times New Roman"/>
        </w:rPr>
      </w:pPr>
      <w:r w:rsidRPr="00B5189C">
        <w:rPr>
          <w:rFonts w:ascii="Times New Roman" w:hAnsi="Times New Roman" w:cs="Times New Roman"/>
        </w:rPr>
        <w:t xml:space="preserve">Although </w:t>
      </w:r>
      <w:r w:rsidR="00605A70">
        <w:rPr>
          <w:rFonts w:ascii="Times New Roman" w:hAnsi="Times New Roman" w:cs="Times New Roman" w:hint="eastAsia"/>
        </w:rPr>
        <w:t xml:space="preserve">the </w:t>
      </w:r>
      <w:r w:rsidRPr="00B5189C">
        <w:rPr>
          <w:rFonts w:ascii="Times New Roman" w:hAnsi="Times New Roman" w:cs="Times New Roman"/>
        </w:rPr>
        <w:t>BT value of Gaussian filter is fixed to be 0.7 for all modes base</w:t>
      </w:r>
      <w:r w:rsidR="00605A70">
        <w:rPr>
          <w:rFonts w:ascii="Times New Roman" w:hAnsi="Times New Roman" w:cs="Times New Roman" w:hint="eastAsia"/>
        </w:rPr>
        <w:t>d</w:t>
      </w:r>
      <w:r w:rsidRPr="00B5189C">
        <w:rPr>
          <w:rFonts w:ascii="Times New Roman" w:hAnsi="Times New Roman" w:cs="Times New Roman"/>
        </w:rPr>
        <w:t xml:space="preserve"> on the TG4n’s previous discussions, </w:t>
      </w:r>
      <w:r w:rsidR="00605A70">
        <w:rPr>
          <w:rFonts w:ascii="Times New Roman" w:hAnsi="Times New Roman" w:cs="Times New Roman" w:hint="eastAsia"/>
        </w:rPr>
        <w:t xml:space="preserve">the </w:t>
      </w:r>
      <w:r w:rsidR="00485BCD" w:rsidRPr="00B5189C">
        <w:rPr>
          <w:rFonts w:ascii="Times New Roman" w:hAnsi="Times New Roman" w:cs="Times New Roman"/>
        </w:rPr>
        <w:t xml:space="preserve">definition of Gaussian filter for CMB GFSK PHY is not mentioned in the draft </w:t>
      </w:r>
      <w:r w:rsidR="00485BCD" w:rsidRPr="00B5189C">
        <w:rPr>
          <w:rFonts w:ascii="Times New Roman" w:hAnsi="Times New Roman" w:cs="Times New Roman"/>
          <w:szCs w:val="24"/>
          <w:lang w:eastAsia="zh-CN"/>
        </w:rPr>
        <w:t>0.01</w:t>
      </w:r>
      <w:r w:rsidR="00485BCD" w:rsidRPr="00B5189C">
        <w:rPr>
          <w:rFonts w:ascii="Times New Roman" w:hAnsi="Times New Roman" w:cs="Times New Roman"/>
          <w:szCs w:val="24"/>
        </w:rPr>
        <w:t xml:space="preserve"> revision 1</w:t>
      </w:r>
      <w:r w:rsidRPr="00B5189C">
        <w:rPr>
          <w:rFonts w:ascii="Times New Roman" w:hAnsi="Times New Roman" w:cs="Times New Roman"/>
          <w:szCs w:val="24"/>
        </w:rPr>
        <w:t xml:space="preserve"> (IEEE P802.15-13-0447-01-004n)</w:t>
      </w:r>
      <w:r w:rsidR="006123C8" w:rsidRPr="00B5189C">
        <w:rPr>
          <w:rFonts w:ascii="Times New Roman" w:hAnsi="Times New Roman" w:cs="Times New Roman"/>
          <w:szCs w:val="24"/>
        </w:rPr>
        <w:t>. This point is made clear in the following proposal document</w:t>
      </w:r>
      <w:r w:rsidR="00485BCD" w:rsidRPr="00B5189C">
        <w:rPr>
          <w:rFonts w:ascii="Times New Roman" w:hAnsi="Times New Roman" w:cs="Times New Roman"/>
          <w:szCs w:val="24"/>
        </w:rPr>
        <w:t>.</w:t>
      </w:r>
    </w:p>
    <w:p w:rsidR="00FD11FB" w:rsidRPr="00B5189C" w:rsidRDefault="00FD11FB">
      <w:pPr>
        <w:rPr>
          <w:rFonts w:ascii="Times New Roman" w:hAnsi="Times New Roman" w:cs="Times New Roman"/>
          <w:b/>
          <w:sz w:val="24"/>
          <w:szCs w:val="24"/>
        </w:rPr>
      </w:pPr>
    </w:p>
    <w:p w:rsidR="00B5189C" w:rsidRPr="00B5189C" w:rsidRDefault="00B5189C">
      <w:pPr>
        <w:rPr>
          <w:rFonts w:ascii="Times New Roman" w:hAnsi="Times New Roman" w:cs="Times New Roman"/>
          <w:b/>
          <w:sz w:val="24"/>
          <w:szCs w:val="24"/>
        </w:rPr>
      </w:pPr>
    </w:p>
    <w:p w:rsidR="00B5189C" w:rsidRPr="00B5189C" w:rsidRDefault="00B5189C">
      <w:pPr>
        <w:rPr>
          <w:rFonts w:ascii="Times New Roman" w:hAnsi="Times New Roman" w:cs="Times New Roman"/>
          <w:b/>
          <w:sz w:val="24"/>
          <w:szCs w:val="24"/>
        </w:rPr>
      </w:pPr>
    </w:p>
    <w:p w:rsidR="00B5189C" w:rsidRDefault="00B5189C">
      <w:pPr>
        <w:rPr>
          <w:rFonts w:ascii="Times New Roman" w:hAnsi="Times New Roman" w:cs="Times New Roman"/>
          <w:b/>
          <w:sz w:val="24"/>
          <w:szCs w:val="24"/>
        </w:rPr>
      </w:pPr>
    </w:p>
    <w:p w:rsidR="00B5189C" w:rsidRPr="00B5189C" w:rsidRDefault="00B5189C">
      <w:pPr>
        <w:rPr>
          <w:rFonts w:ascii="Times New Roman" w:hAnsi="Times New Roman" w:cs="Times New Roman"/>
          <w:b/>
          <w:sz w:val="24"/>
          <w:szCs w:val="24"/>
        </w:rPr>
      </w:pPr>
    </w:p>
    <w:p w:rsidR="00485BCD" w:rsidRPr="00B5189C" w:rsidRDefault="00485BCD">
      <w:pPr>
        <w:rPr>
          <w:rFonts w:ascii="Times New Roman" w:hAnsi="Times New Roman" w:cs="Times New Roman"/>
          <w:b/>
          <w:sz w:val="24"/>
          <w:szCs w:val="24"/>
        </w:rPr>
      </w:pPr>
      <w:r w:rsidRPr="00B5189C">
        <w:rPr>
          <w:rFonts w:ascii="Times New Roman" w:hAnsi="Times New Roman" w:cs="Times New Roman"/>
          <w:b/>
          <w:sz w:val="24"/>
          <w:szCs w:val="24"/>
        </w:rPr>
        <w:lastRenderedPageBreak/>
        <w:t>[Proposal document]</w:t>
      </w:r>
    </w:p>
    <w:p w:rsidR="00B5189C" w:rsidRPr="00B5189C" w:rsidRDefault="00B5189C">
      <w:pPr>
        <w:rPr>
          <w:rFonts w:ascii="Times New Roman" w:hAnsi="Times New Roman" w:cs="Times New Roman"/>
          <w:b/>
          <w:i/>
          <w:sz w:val="24"/>
          <w:szCs w:val="24"/>
        </w:rPr>
      </w:pPr>
      <w:r w:rsidRPr="00B5189C">
        <w:rPr>
          <w:rFonts w:ascii="Times New Roman" w:hAnsi="Times New Roman" w:cs="Times New Roman"/>
          <w:b/>
          <w:i/>
          <w:sz w:val="24"/>
          <w:szCs w:val="24"/>
        </w:rPr>
        <w:t xml:space="preserve">Sub-clause number and TBD value will be determined </w:t>
      </w:r>
      <w:r>
        <w:rPr>
          <w:rFonts w:ascii="Times New Roman" w:hAnsi="Times New Roman" w:cs="Times New Roman" w:hint="eastAsia"/>
          <w:b/>
          <w:i/>
          <w:sz w:val="24"/>
          <w:szCs w:val="24"/>
        </w:rPr>
        <w:t>based on a discussion in TG4n</w:t>
      </w:r>
      <w:r w:rsidRPr="00B5189C">
        <w:rPr>
          <w:rFonts w:ascii="Times New Roman" w:hAnsi="Times New Roman" w:cs="Times New Roman"/>
          <w:b/>
          <w:i/>
          <w:sz w:val="24"/>
          <w:szCs w:val="24"/>
        </w:rPr>
        <w:t>.</w:t>
      </w:r>
    </w:p>
    <w:p w:rsidR="00B5189C" w:rsidRPr="00B5189C" w:rsidRDefault="00B5189C">
      <w:pPr>
        <w:rPr>
          <w:rFonts w:ascii="Times New Roman" w:hAnsi="Times New Roman" w:cs="Times New Roman"/>
        </w:rPr>
      </w:pPr>
    </w:p>
    <w:p w:rsidR="00167BF9" w:rsidRPr="00B5189C" w:rsidRDefault="00FB486E">
      <w:pPr>
        <w:rPr>
          <w:rFonts w:ascii="Times New Roman" w:hAnsi="Times New Roman" w:cs="Times New Roman"/>
        </w:rPr>
      </w:pPr>
      <w:r w:rsidRPr="00B5189C">
        <w:rPr>
          <w:rFonts w:ascii="Times New Roman" w:hAnsi="Times New Roman" w:cs="Times New Roman"/>
        </w:rPr>
        <w:t>Definition of Gaussian filter for CMB GFSK</w:t>
      </w:r>
    </w:p>
    <w:p w:rsidR="008E2839" w:rsidRPr="00B5189C" w:rsidRDefault="008E2839">
      <w:pPr>
        <w:rPr>
          <w:rFonts w:ascii="Times New Roman" w:hAnsi="Times New Roman" w:cs="Times New Roman"/>
        </w:rPr>
      </w:pPr>
    </w:p>
    <w:p w:rsidR="000F4C4A" w:rsidRPr="00B5189C" w:rsidRDefault="000F4C4A">
      <w:pPr>
        <w:rPr>
          <w:rFonts w:ascii="Times New Roman" w:hAnsi="Times New Roman" w:cs="Times New Roman"/>
        </w:rPr>
      </w:pPr>
      <w:r w:rsidRPr="00B5189C">
        <w:rPr>
          <w:rFonts w:ascii="Times New Roman" w:hAnsi="Times New Roman" w:cs="Times New Roman"/>
        </w:rPr>
        <w:t xml:space="preserve">The transmission pulse shape </w:t>
      </w:r>
      <w:r w:rsidRPr="00605A70">
        <w:rPr>
          <w:rFonts w:ascii="Times New Roman" w:hAnsi="Times New Roman" w:cs="Times New Roman"/>
          <w:i/>
        </w:rPr>
        <w:t>p</w:t>
      </w:r>
      <w:r w:rsidRPr="00B5189C">
        <w:rPr>
          <w:rFonts w:ascii="Times New Roman" w:hAnsi="Times New Roman" w:cs="Times New Roman"/>
        </w:rPr>
        <w:t xml:space="preserve">(t) for CMB </w:t>
      </w:r>
      <w:r w:rsidR="00F92AA6" w:rsidRPr="00B5189C">
        <w:rPr>
          <w:rFonts w:ascii="Times New Roman" w:hAnsi="Times New Roman" w:cs="Times New Roman"/>
        </w:rPr>
        <w:t xml:space="preserve">GFSK </w:t>
      </w:r>
      <w:r w:rsidRPr="00B5189C">
        <w:rPr>
          <w:rFonts w:ascii="Times New Roman" w:hAnsi="Times New Roman" w:cs="Times New Roman"/>
        </w:rPr>
        <w:t xml:space="preserve">PHY shall be </w:t>
      </w:r>
      <w:r w:rsidR="008E2839" w:rsidRPr="00B5189C">
        <w:rPr>
          <w:rFonts w:ascii="Times New Roman" w:hAnsi="Times New Roman" w:cs="Times New Roman"/>
        </w:rPr>
        <w:t xml:space="preserve">constrained by the shape of a normalized </w:t>
      </w:r>
      <w:r w:rsidRPr="00B5189C">
        <w:rPr>
          <w:rFonts w:ascii="Times New Roman" w:hAnsi="Times New Roman" w:cs="Times New Roman"/>
        </w:rPr>
        <w:t xml:space="preserve">cross-correlation </w:t>
      </w:r>
      <w:r w:rsidR="00605A70">
        <w:rPr>
          <w:rFonts w:ascii="Times New Roman" w:hAnsi="Times New Roman" w:cs="Times New Roman"/>
        </w:rPr>
        <w:t>functio</w:t>
      </w:r>
      <w:r w:rsidRPr="00B5189C">
        <w:rPr>
          <w:rFonts w:ascii="Times New Roman" w:hAnsi="Times New Roman" w:cs="Times New Roman"/>
        </w:rPr>
        <w:t xml:space="preserve">n </w:t>
      </w:r>
      <w:r w:rsidR="00F92AA6" w:rsidRPr="00B5189C">
        <w:rPr>
          <w:rFonts w:ascii="Symbol" w:hAnsi="Symbol" w:cs="Times New Roman"/>
        </w:rPr>
        <w:t></w:t>
      </w:r>
      <w:r w:rsidR="00F92AA6" w:rsidRPr="00B5189C">
        <w:rPr>
          <w:rFonts w:ascii="Times New Roman" w:hAnsi="Times New Roman" w:cs="Times New Roman"/>
        </w:rPr>
        <w:t xml:space="preserve">(t) </w:t>
      </w:r>
      <w:r w:rsidRPr="00B5189C">
        <w:rPr>
          <w:rFonts w:ascii="Times New Roman" w:hAnsi="Times New Roman" w:cs="Times New Roman"/>
        </w:rPr>
        <w:t xml:space="preserve">with a standard reference </w:t>
      </w:r>
      <w:r w:rsidR="00F92AA6" w:rsidRPr="00B5189C">
        <w:rPr>
          <w:rFonts w:ascii="Times New Roman" w:hAnsi="Times New Roman" w:cs="Times New Roman"/>
        </w:rPr>
        <w:t xml:space="preserve">Gaussian filter whose </w:t>
      </w:r>
      <w:r w:rsidRPr="00B5189C">
        <w:rPr>
          <w:rFonts w:ascii="Times New Roman" w:hAnsi="Times New Roman" w:cs="Times New Roman"/>
        </w:rPr>
        <w:t>pulse</w:t>
      </w:r>
      <w:r w:rsidR="00F92AA6" w:rsidRPr="00B5189C">
        <w:rPr>
          <w:rFonts w:ascii="Times New Roman" w:hAnsi="Times New Roman" w:cs="Times New Roman"/>
        </w:rPr>
        <w:t xml:space="preserve"> shape</w:t>
      </w:r>
      <w:r w:rsidRPr="00B5189C">
        <w:rPr>
          <w:rFonts w:ascii="Times New Roman" w:hAnsi="Times New Roman" w:cs="Times New Roman"/>
        </w:rPr>
        <w:t xml:space="preserve"> </w:t>
      </w:r>
      <w:r w:rsidRPr="00605A70">
        <w:rPr>
          <w:rFonts w:ascii="Times New Roman" w:hAnsi="Times New Roman" w:cs="Times New Roman"/>
          <w:i/>
        </w:rPr>
        <w:t>r</w:t>
      </w:r>
      <w:r w:rsidRPr="00B5189C">
        <w:rPr>
          <w:rFonts w:ascii="Times New Roman" w:hAnsi="Times New Roman" w:cs="Times New Roman"/>
        </w:rPr>
        <w:t>(</w:t>
      </w:r>
      <w:r w:rsidRPr="00605A70">
        <w:rPr>
          <w:rFonts w:ascii="Times New Roman" w:hAnsi="Times New Roman" w:cs="Times New Roman"/>
          <w:i/>
        </w:rPr>
        <w:t>t</w:t>
      </w:r>
      <w:r w:rsidRPr="00B5189C">
        <w:rPr>
          <w:rFonts w:ascii="Times New Roman" w:hAnsi="Times New Roman" w:cs="Times New Roman"/>
        </w:rPr>
        <w:t>) given by the next formula.</w:t>
      </w:r>
    </w:p>
    <w:p w:rsidR="000F4C4A" w:rsidRPr="00B5189C" w:rsidRDefault="000F4C4A">
      <w:pPr>
        <w:rPr>
          <w:rFonts w:ascii="Times New Roman" w:hAnsi="Times New Roman" w:cs="Times New Roman"/>
        </w:rPr>
      </w:pPr>
      <m:oMathPara>
        <m:oMath>
          <m:r>
            <m:rPr>
              <m:sty m:val="p"/>
            </m:rPr>
            <w:rPr>
              <w:rFonts w:ascii="Cambria Math" w:hAnsi="Cambria Math" w:cs="Times New Roman"/>
            </w:rPr>
            <m:t>r</m:t>
          </m:r>
          <m:d>
            <m:dPr>
              <m:ctrlPr>
                <w:rPr>
                  <w:rFonts w:ascii="Cambria Math" w:hAnsi="Cambria Math" w:cs="Times New Roman"/>
                </w:rPr>
              </m:ctrlPr>
            </m:dPr>
            <m:e>
              <m:r>
                <m:rPr>
                  <m:sty m:val="p"/>
                </m:rPr>
                <w:rPr>
                  <w:rFonts w:ascii="Cambria Math" w:hAnsi="Cambria Math" w:cs="Times New Roman"/>
                </w:rPr>
                <m:t>t</m:t>
              </m:r>
            </m:e>
          </m:d>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rPr>
                    <m:t>2π</m:t>
                  </m:r>
                </m:e>
              </m:rad>
              <m:r>
                <w:rPr>
                  <w:rFonts w:ascii="Cambria Math" w:hAnsi="Cambria Math" w:cs="Times New Roman"/>
                </w:rPr>
                <m:t>∙BT</m:t>
              </m:r>
            </m:den>
          </m:f>
          <m:r>
            <w:rPr>
              <w:rFonts w:ascii="Cambria Math" w:hAnsi="Cambria Math" w:cs="Times New Roman"/>
            </w:rPr>
            <m:t>exp</m:t>
          </m:r>
          <m:d>
            <m:dPr>
              <m:ctrlPr>
                <w:rPr>
                  <w:rFonts w:ascii="Cambria Math" w:hAnsi="Cambria Math" w:cs="Times New Roman"/>
                  <w:i/>
                </w:rPr>
              </m:ctrlPr>
            </m:dPr>
            <m:e>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num>
                <m:den>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(BT</m:t>
                      </m:r>
                      <m:r>
                        <m:rPr>
                          <m:sty m:val="p"/>
                        </m:rPr>
                        <w:rPr>
                          <w:rFonts w:ascii="Cambria Math" w:hAnsi="Cambria Math" w:cs="Times New Roman"/>
                        </w:rPr>
                        <m:t>)</m:t>
                      </m:r>
                    </m:e>
                    <m:sup>
                      <m:r>
                        <w:rPr>
                          <w:rFonts w:ascii="Cambria Math" w:hAnsi="Cambria Math" w:cs="Times New Roman"/>
                        </w:rPr>
                        <m:t>2</m:t>
                      </m:r>
                    </m:sup>
                  </m:sSup>
                </m:den>
              </m:f>
            </m:e>
          </m:d>
        </m:oMath>
      </m:oMathPara>
    </w:p>
    <w:p w:rsidR="00717C2E" w:rsidRDefault="00717C2E">
      <w:pPr>
        <w:rPr>
          <w:rFonts w:ascii="Times New Roman" w:hAnsi="Times New Roman" w:cs="Times New Roman"/>
        </w:rPr>
      </w:pPr>
    </w:p>
    <w:p w:rsidR="00485BCD" w:rsidRDefault="00485BCD">
      <w:pPr>
        <w:rPr>
          <w:rFonts w:ascii="Times New Roman" w:hAnsi="Times New Roman" w:cs="Times New Roman"/>
        </w:rPr>
      </w:pPr>
      <w:proofErr w:type="gramStart"/>
      <w:r w:rsidRPr="00B5189C">
        <w:rPr>
          <w:rFonts w:ascii="Times New Roman" w:hAnsi="Times New Roman" w:cs="Times New Roman"/>
        </w:rPr>
        <w:t>where</w:t>
      </w:r>
      <w:proofErr w:type="gramEnd"/>
      <w:r w:rsidRPr="00B5189C">
        <w:rPr>
          <w:rFonts w:ascii="Times New Roman" w:hAnsi="Times New Roman" w:cs="Times New Roman"/>
        </w:rPr>
        <w:t xml:space="preserve"> </w:t>
      </w:r>
      <w:r w:rsidRPr="00605A70">
        <w:rPr>
          <w:rFonts w:ascii="Times New Roman" w:hAnsi="Times New Roman" w:cs="Times New Roman"/>
          <w:i/>
        </w:rPr>
        <w:t>BT</w:t>
      </w:r>
      <w:r w:rsidRPr="00B5189C">
        <w:rPr>
          <w:rFonts w:ascii="Times New Roman" w:hAnsi="Times New Roman" w:cs="Times New Roman"/>
        </w:rPr>
        <w:t xml:space="preserve"> is 0.7</w:t>
      </w:r>
      <w:r w:rsidR="00605A70">
        <w:rPr>
          <w:rFonts w:ascii="Times New Roman" w:hAnsi="Times New Roman" w:cs="Times New Roman" w:hint="eastAsia"/>
        </w:rPr>
        <w:t xml:space="preserve"> and </w:t>
      </w:r>
      <w:r w:rsidR="00605A70" w:rsidRPr="00605A70">
        <w:rPr>
          <w:rFonts w:ascii="Times New Roman" w:hAnsi="Times New Roman" w:cs="Times New Roman" w:hint="eastAsia"/>
          <w:i/>
        </w:rPr>
        <w:t>t</w:t>
      </w:r>
      <w:r w:rsidR="00605A70">
        <w:rPr>
          <w:rFonts w:ascii="Times New Roman" w:hAnsi="Times New Roman" w:cs="Times New Roman" w:hint="eastAsia"/>
        </w:rPr>
        <w:t xml:space="preserve"> is normalized by the symbol duration</w:t>
      </w:r>
      <w:r w:rsidRPr="00B5189C">
        <w:rPr>
          <w:rFonts w:ascii="Times New Roman" w:hAnsi="Times New Roman" w:cs="Times New Roman"/>
        </w:rPr>
        <w:t>.</w:t>
      </w:r>
    </w:p>
    <w:p w:rsidR="00717C2E" w:rsidRPr="00B5189C" w:rsidRDefault="00717C2E">
      <w:pPr>
        <w:rPr>
          <w:rFonts w:ascii="Times New Roman" w:hAnsi="Times New Roman" w:cs="Times New Roman"/>
        </w:rPr>
      </w:pPr>
    </w:p>
    <w:p w:rsidR="00FB486E" w:rsidRDefault="000F4C4A">
      <w:pPr>
        <w:rPr>
          <w:rFonts w:ascii="Times New Roman" w:hAnsi="Times New Roman" w:cs="Times New Roman"/>
        </w:rPr>
      </w:pPr>
      <w:r w:rsidRPr="00B5189C">
        <w:rPr>
          <w:rFonts w:ascii="Times New Roman" w:hAnsi="Times New Roman" w:cs="Times New Roman"/>
        </w:rPr>
        <w:t xml:space="preserve">The normalized cross-correlation </w:t>
      </w:r>
      <w:proofErr w:type="gramStart"/>
      <w:r w:rsidR="00B60249" w:rsidRPr="00B5189C">
        <w:rPr>
          <w:rFonts w:ascii="Symbol" w:hAnsi="Symbol" w:cs="Times New Roman"/>
        </w:rPr>
        <w:t></w:t>
      </w:r>
      <w:r w:rsidR="00B60249" w:rsidRPr="00B5189C">
        <w:rPr>
          <w:rFonts w:ascii="Times New Roman" w:hAnsi="Times New Roman" w:cs="Times New Roman"/>
        </w:rPr>
        <w:t>(</w:t>
      </w:r>
      <w:proofErr w:type="gramEnd"/>
      <w:r w:rsidR="00B60249" w:rsidRPr="00B5189C">
        <w:rPr>
          <w:rFonts w:ascii="Times New Roman" w:hAnsi="Times New Roman" w:cs="Times New Roman"/>
        </w:rPr>
        <w:t>t)</w:t>
      </w:r>
      <w:r w:rsidR="00F92AA6" w:rsidRPr="00B5189C">
        <w:rPr>
          <w:rFonts w:ascii="Times New Roman" w:hAnsi="Times New Roman" w:cs="Times New Roman"/>
        </w:rPr>
        <w:t xml:space="preserve"> </w:t>
      </w:r>
      <w:r w:rsidRPr="00B5189C">
        <w:rPr>
          <w:rFonts w:ascii="Times New Roman" w:hAnsi="Times New Roman" w:cs="Times New Roman"/>
        </w:rPr>
        <w:t xml:space="preserve">between two waveforms, </w:t>
      </w:r>
      <w:r w:rsidRPr="00605A70">
        <w:rPr>
          <w:rFonts w:ascii="Times New Roman" w:hAnsi="Times New Roman" w:cs="Times New Roman"/>
          <w:i/>
        </w:rPr>
        <w:t>p</w:t>
      </w:r>
      <w:r w:rsidRPr="00B5189C">
        <w:rPr>
          <w:rFonts w:ascii="Times New Roman" w:hAnsi="Times New Roman" w:cs="Times New Roman"/>
        </w:rPr>
        <w:t>(</w:t>
      </w:r>
      <w:r w:rsidRPr="00605A70">
        <w:rPr>
          <w:rFonts w:ascii="Times New Roman" w:hAnsi="Times New Roman" w:cs="Times New Roman"/>
          <w:i/>
        </w:rPr>
        <w:t>t</w:t>
      </w:r>
      <w:r w:rsidRPr="00B5189C">
        <w:rPr>
          <w:rFonts w:ascii="Times New Roman" w:hAnsi="Times New Roman" w:cs="Times New Roman"/>
        </w:rPr>
        <w:t xml:space="preserve">) and </w:t>
      </w:r>
      <w:r w:rsidRPr="00605A70">
        <w:rPr>
          <w:rFonts w:ascii="Times New Roman" w:hAnsi="Times New Roman" w:cs="Times New Roman"/>
          <w:i/>
        </w:rPr>
        <w:t>r</w:t>
      </w:r>
      <w:r w:rsidRPr="00B5189C">
        <w:rPr>
          <w:rFonts w:ascii="Times New Roman" w:hAnsi="Times New Roman" w:cs="Times New Roman"/>
        </w:rPr>
        <w:t>(</w:t>
      </w:r>
      <w:r w:rsidRPr="00605A70">
        <w:rPr>
          <w:rFonts w:ascii="Times New Roman" w:hAnsi="Times New Roman" w:cs="Times New Roman"/>
          <w:i/>
        </w:rPr>
        <w:t>t</w:t>
      </w:r>
      <w:r w:rsidRPr="00B5189C">
        <w:rPr>
          <w:rFonts w:ascii="Times New Roman" w:hAnsi="Times New Roman" w:cs="Times New Roman"/>
        </w:rPr>
        <w:t>), is defined as</w:t>
      </w:r>
    </w:p>
    <w:p w:rsidR="000B3473" w:rsidRDefault="000B3473">
      <w:pPr>
        <w:rPr>
          <w:rFonts w:ascii="Times New Roman" w:hAnsi="Times New Roman" w:cs="Times New Roman"/>
        </w:rPr>
      </w:pPr>
    </w:p>
    <w:p w:rsidR="000B3473" w:rsidRPr="00B5189C" w:rsidRDefault="000B3473" w:rsidP="000B3473">
      <w:pPr>
        <w:rPr>
          <w:rFonts w:ascii="Times New Roman" w:hAnsi="Times New Roman" w:cs="Times New Roman"/>
        </w:rPr>
      </w:pPr>
      <m:oMathPara>
        <m:oMath>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t</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p</m:t>
                      </m:r>
                    </m:sub>
                  </m:sSub>
                </m:e>
              </m:rad>
            </m:den>
          </m:f>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m:t>
              </m:r>
              <m:r>
                <w:rPr>
                  <w:rFonts w:ascii="Cambria Math" w:hAnsi="Cambria Math" w:cs="Times New Roman"/>
                </w:rPr>
                <m:t>∞</m:t>
              </m:r>
            </m:sub>
            <m:sup>
              <m:r>
                <w:rPr>
                  <w:rFonts w:ascii="Cambria Math" w:hAnsi="Cambria Math" w:cs="Times New Roman"/>
                </w:rPr>
                <m:t>+</m:t>
              </m:r>
              <m:r>
                <w:rPr>
                  <w:rFonts w:ascii="Cambria Math" w:hAnsi="Cambria Math" w:cs="Times New Roman"/>
                </w:rPr>
                <m:t>∞</m:t>
              </m:r>
            </m:sup>
            <m:e>
              <m:r>
                <w:rPr>
                  <w:rFonts w:ascii="Cambria Math" w:hAnsi="Cambria Math" w:cs="Times New Roman"/>
                </w:rPr>
                <m:t>r</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t+τ</m:t>
                  </m:r>
                </m:e>
              </m:d>
            </m:e>
          </m:nary>
          <m:r>
            <w:rPr>
              <w:rFonts w:ascii="Cambria Math" w:hAnsi="Cambria Math" w:cs="Times New Roman"/>
            </w:rPr>
            <m:t>dt</m:t>
          </m:r>
        </m:oMath>
      </m:oMathPara>
    </w:p>
    <w:p w:rsidR="000B3473" w:rsidRDefault="000B3473">
      <w:pPr>
        <w:rPr>
          <w:rFonts w:ascii="Times New Roman" w:hAnsi="Times New Roman" w:cs="Times New Roman"/>
        </w:rPr>
      </w:pPr>
    </w:p>
    <w:p w:rsidR="000B3473" w:rsidRPr="00B5189C" w:rsidRDefault="000B3473">
      <w:pPr>
        <w:rPr>
          <w:rFonts w:ascii="Times New Roman" w:hAnsi="Times New Roman" w:cs="Times New Roman"/>
        </w:rPr>
      </w:pPr>
    </w:p>
    <w:p w:rsidR="00F92AA6" w:rsidRPr="00B5189C" w:rsidRDefault="00B60249">
      <w:pPr>
        <w:rPr>
          <w:rFonts w:ascii="Times New Roman" w:hAnsi="Times New Roman" w:cs="Times New Roman"/>
        </w:rPr>
      </w:pPr>
      <w:proofErr w:type="gramStart"/>
      <w:r w:rsidRPr="00B5189C">
        <w:rPr>
          <w:rFonts w:ascii="Times New Roman" w:hAnsi="Times New Roman" w:cs="Times New Roman"/>
        </w:rPr>
        <w:t>where</w:t>
      </w:r>
      <w:proofErr w:type="gramEnd"/>
      <w:r w:rsidRPr="00B5189C">
        <w:rPr>
          <w:rFonts w:ascii="Times New Roman" w:hAnsi="Times New Roman" w:cs="Times New Roman"/>
        </w:rPr>
        <w:t xml:space="preserve"> </w:t>
      </w:r>
      <w:proofErr w:type="spellStart"/>
      <w:r w:rsidR="00F92AA6" w:rsidRPr="00B5189C">
        <w:rPr>
          <w:rFonts w:ascii="Times New Roman" w:hAnsi="Times New Roman" w:cs="Times New Roman"/>
          <w:i/>
        </w:rPr>
        <w:t>E</w:t>
      </w:r>
      <w:r w:rsidR="00F92AA6" w:rsidRPr="00B5189C">
        <w:rPr>
          <w:rFonts w:ascii="Times New Roman" w:hAnsi="Times New Roman" w:cs="Times New Roman"/>
          <w:i/>
          <w:vertAlign w:val="subscript"/>
        </w:rPr>
        <w:t>r</w:t>
      </w:r>
      <w:proofErr w:type="spellEnd"/>
      <w:r w:rsidR="00F92AA6" w:rsidRPr="00B5189C">
        <w:rPr>
          <w:rFonts w:ascii="Times New Roman" w:hAnsi="Times New Roman" w:cs="Times New Roman"/>
        </w:rPr>
        <w:t xml:space="preserve"> and </w:t>
      </w:r>
      <w:proofErr w:type="spellStart"/>
      <w:r w:rsidR="00F92AA6" w:rsidRPr="00B5189C">
        <w:rPr>
          <w:rFonts w:ascii="Times New Roman" w:hAnsi="Times New Roman" w:cs="Times New Roman"/>
          <w:i/>
        </w:rPr>
        <w:t>E</w:t>
      </w:r>
      <w:r w:rsidR="00F92AA6" w:rsidRPr="00947C0D">
        <w:rPr>
          <w:rFonts w:ascii="Times New Roman" w:hAnsi="Times New Roman" w:cs="Times New Roman"/>
          <w:i/>
          <w:vertAlign w:val="subscript"/>
        </w:rPr>
        <w:t>p</w:t>
      </w:r>
      <w:proofErr w:type="spellEnd"/>
      <w:r w:rsidR="00F92AA6" w:rsidRPr="00B5189C">
        <w:rPr>
          <w:rFonts w:ascii="Times New Roman" w:hAnsi="Times New Roman" w:cs="Times New Roman"/>
        </w:rPr>
        <w:t xml:space="preserve"> are </w:t>
      </w:r>
      <w:r w:rsidR="00605A70">
        <w:rPr>
          <w:rFonts w:ascii="Times New Roman" w:hAnsi="Times New Roman" w:cs="Times New Roman" w:hint="eastAsia"/>
        </w:rPr>
        <w:t xml:space="preserve">the </w:t>
      </w:r>
      <w:r w:rsidR="00F92AA6" w:rsidRPr="00B5189C">
        <w:rPr>
          <w:rFonts w:ascii="Times New Roman" w:hAnsi="Times New Roman" w:cs="Times New Roman"/>
        </w:rPr>
        <w:t xml:space="preserve">energies of </w:t>
      </w:r>
      <w:r w:rsidR="00F92AA6" w:rsidRPr="00605A70">
        <w:rPr>
          <w:rFonts w:ascii="Times New Roman" w:hAnsi="Times New Roman" w:cs="Times New Roman"/>
          <w:i/>
        </w:rPr>
        <w:t>r</w:t>
      </w:r>
      <w:r w:rsidR="00F92AA6" w:rsidRPr="00B5189C">
        <w:rPr>
          <w:rFonts w:ascii="Times New Roman" w:hAnsi="Times New Roman" w:cs="Times New Roman"/>
        </w:rPr>
        <w:t>(</w:t>
      </w:r>
      <w:r w:rsidR="00F92AA6" w:rsidRPr="00605A70">
        <w:rPr>
          <w:rFonts w:ascii="Times New Roman" w:hAnsi="Times New Roman" w:cs="Times New Roman"/>
          <w:i/>
        </w:rPr>
        <w:t>t</w:t>
      </w:r>
      <w:r w:rsidR="00F92AA6" w:rsidRPr="00B5189C">
        <w:rPr>
          <w:rFonts w:ascii="Times New Roman" w:hAnsi="Times New Roman" w:cs="Times New Roman"/>
        </w:rPr>
        <w:t xml:space="preserve">) and </w:t>
      </w:r>
      <w:r w:rsidR="00F92AA6" w:rsidRPr="00605A70">
        <w:rPr>
          <w:rFonts w:ascii="Times New Roman" w:hAnsi="Times New Roman" w:cs="Times New Roman"/>
          <w:i/>
        </w:rPr>
        <w:t>p</w:t>
      </w:r>
      <w:r w:rsidR="00F92AA6" w:rsidRPr="00B5189C">
        <w:rPr>
          <w:rFonts w:ascii="Times New Roman" w:hAnsi="Times New Roman" w:cs="Times New Roman"/>
        </w:rPr>
        <w:t>(</w:t>
      </w:r>
      <w:r w:rsidR="00F92AA6" w:rsidRPr="00605A70">
        <w:rPr>
          <w:rFonts w:ascii="Times New Roman" w:hAnsi="Times New Roman" w:cs="Times New Roman"/>
          <w:i/>
        </w:rPr>
        <w:t>t</w:t>
      </w:r>
      <w:r w:rsidR="00F92AA6" w:rsidRPr="00B5189C">
        <w:rPr>
          <w:rFonts w:ascii="Times New Roman" w:hAnsi="Times New Roman" w:cs="Times New Roman"/>
        </w:rPr>
        <w:t>) respectively.</w:t>
      </w:r>
    </w:p>
    <w:p w:rsidR="000B3473" w:rsidRDefault="000B3473" w:rsidP="008E2839">
      <w:pPr>
        <w:autoSpaceDE w:val="0"/>
        <w:autoSpaceDN w:val="0"/>
        <w:adjustRightInd w:val="0"/>
        <w:jc w:val="left"/>
        <w:rPr>
          <w:rFonts w:ascii="Times New Roman" w:hAnsi="Times New Roman" w:cs="Times New Roman"/>
        </w:rPr>
      </w:pPr>
    </w:p>
    <w:p w:rsidR="00F92AA6" w:rsidRDefault="00F92AA6" w:rsidP="008E2839">
      <w:pPr>
        <w:autoSpaceDE w:val="0"/>
        <w:autoSpaceDN w:val="0"/>
        <w:adjustRightInd w:val="0"/>
        <w:jc w:val="left"/>
        <w:rPr>
          <w:rFonts w:ascii="Times New Roman" w:hAnsi="Times New Roman" w:cs="Times New Roman"/>
          <w:kern w:val="0"/>
          <w:szCs w:val="21"/>
        </w:rPr>
      </w:pPr>
      <w:r w:rsidRPr="00B5189C">
        <w:rPr>
          <w:rFonts w:ascii="Times New Roman" w:hAnsi="Times New Roman" w:cs="Times New Roman"/>
        </w:rPr>
        <w:t>In order for CMB GFSK PHY transmitter to be compliant with this standard</w:t>
      </w:r>
      <w:r w:rsidR="008E2839" w:rsidRPr="00B5189C">
        <w:rPr>
          <w:rFonts w:ascii="Times New Roman" w:hAnsi="Times New Roman" w:cs="Times New Roman"/>
        </w:rPr>
        <w:t>,</w:t>
      </w:r>
      <w:r w:rsidRPr="00B5189C">
        <w:rPr>
          <w:rFonts w:ascii="Times New Roman" w:hAnsi="Times New Roman" w:cs="Times New Roman"/>
        </w:rPr>
        <w:t xml:space="preserve"> </w:t>
      </w:r>
      <w:r w:rsidRPr="00B5189C">
        <w:rPr>
          <w:rFonts w:ascii="Times New Roman" w:hAnsi="Times New Roman" w:cs="Times New Roman"/>
          <w:kern w:val="0"/>
          <w:sz w:val="20"/>
          <w:szCs w:val="20"/>
        </w:rPr>
        <w:t xml:space="preserve">the </w:t>
      </w:r>
      <w:r w:rsidRPr="00B5189C">
        <w:rPr>
          <w:rFonts w:ascii="Times New Roman" w:hAnsi="Times New Roman" w:cs="Times New Roman"/>
          <w:kern w:val="0"/>
          <w:szCs w:val="21"/>
        </w:rPr>
        <w:t xml:space="preserve">transmitted pulse </w:t>
      </w:r>
      <w:r w:rsidRPr="00605A70">
        <w:rPr>
          <w:rFonts w:ascii="Times New Roman" w:hAnsi="Times New Roman" w:cs="Times New Roman"/>
          <w:i/>
          <w:iCs/>
          <w:kern w:val="0"/>
          <w:szCs w:val="21"/>
        </w:rPr>
        <w:t>p</w:t>
      </w:r>
      <w:r w:rsidRPr="00B5189C">
        <w:rPr>
          <w:rFonts w:ascii="Times New Roman" w:hAnsi="Times New Roman" w:cs="Times New Roman"/>
          <w:kern w:val="0"/>
          <w:szCs w:val="21"/>
        </w:rPr>
        <w:t>(</w:t>
      </w:r>
      <w:r w:rsidRPr="00605A70">
        <w:rPr>
          <w:rFonts w:ascii="Times New Roman" w:hAnsi="Times New Roman" w:cs="Times New Roman"/>
          <w:i/>
          <w:iCs/>
          <w:kern w:val="0"/>
          <w:szCs w:val="21"/>
        </w:rPr>
        <w:t>t</w:t>
      </w:r>
      <w:r w:rsidRPr="00B5189C">
        <w:rPr>
          <w:rFonts w:ascii="Times New Roman" w:hAnsi="Times New Roman" w:cs="Times New Roman"/>
          <w:kern w:val="0"/>
          <w:szCs w:val="21"/>
        </w:rPr>
        <w:t>) shall have</w:t>
      </w:r>
      <w:r w:rsidR="008E2839" w:rsidRPr="00B5189C">
        <w:rPr>
          <w:rFonts w:ascii="Times New Roman" w:hAnsi="Times New Roman" w:cs="Times New Roman"/>
          <w:kern w:val="0"/>
          <w:szCs w:val="21"/>
        </w:rPr>
        <w:t xml:space="preserve"> </w:t>
      </w:r>
      <w:r w:rsidRPr="00B5189C">
        <w:rPr>
          <w:rFonts w:ascii="Times New Roman" w:hAnsi="Times New Roman" w:cs="Times New Roman"/>
          <w:kern w:val="0"/>
          <w:szCs w:val="21"/>
        </w:rPr>
        <w:t>a magnitude of the cross-correlation function |</w:t>
      </w:r>
      <w:r w:rsidR="008E2839" w:rsidRPr="00B5189C">
        <w:rPr>
          <w:rFonts w:ascii="Times New Roman" w:hAnsi="Times New Roman" w:cs="Times New Roman"/>
        </w:rPr>
        <w:t xml:space="preserve"> </w:t>
      </w:r>
      <w:r w:rsidR="008E2839" w:rsidRPr="00B5189C">
        <w:rPr>
          <w:rFonts w:ascii="Symbol" w:hAnsi="Symbol" w:cs="Times New Roman"/>
        </w:rPr>
        <w:t></w:t>
      </w:r>
      <w:r w:rsidR="008E2839" w:rsidRPr="00B5189C">
        <w:rPr>
          <w:rFonts w:ascii="Times New Roman" w:hAnsi="Times New Roman" w:cs="Times New Roman"/>
          <w:kern w:val="0"/>
          <w:szCs w:val="21"/>
        </w:rPr>
        <w:t xml:space="preserve"> </w:t>
      </w:r>
      <w:r w:rsidRPr="00B5189C">
        <w:rPr>
          <w:rFonts w:ascii="Times New Roman" w:hAnsi="Times New Roman" w:cs="Times New Roman"/>
          <w:kern w:val="0"/>
          <w:szCs w:val="21"/>
        </w:rPr>
        <w:t xml:space="preserve">(τ)| whose main lobe is greater than or equal to </w:t>
      </w:r>
      <w:r w:rsidR="008E2839" w:rsidRPr="00B5189C">
        <w:rPr>
          <w:rFonts w:ascii="Times New Roman" w:hAnsi="Times New Roman" w:cs="Times New Roman"/>
          <w:b/>
          <w:kern w:val="0"/>
          <w:szCs w:val="21"/>
        </w:rPr>
        <w:t>TBD</w:t>
      </w:r>
      <w:r w:rsidR="000B3473">
        <w:rPr>
          <w:rFonts w:ascii="Times New Roman" w:hAnsi="Times New Roman" w:cs="Times New Roman"/>
          <w:b/>
          <w:kern w:val="0"/>
          <w:szCs w:val="21"/>
        </w:rPr>
        <w:t>1</w:t>
      </w:r>
      <w:r w:rsidR="002D09E5">
        <w:rPr>
          <w:rFonts w:ascii="Times New Roman" w:hAnsi="Times New Roman" w:cs="Times New Roman"/>
          <w:b/>
          <w:kern w:val="0"/>
          <w:szCs w:val="21"/>
        </w:rPr>
        <w:t xml:space="preserve">, </w:t>
      </w:r>
      <w:r w:rsidR="002D09E5">
        <w:rPr>
          <w:rFonts w:ascii="Times New Roman" w:hAnsi="Times New Roman" w:cs="Times New Roman"/>
          <w:kern w:val="0"/>
          <w:szCs w:val="21"/>
        </w:rPr>
        <w:t>when integrated over a period of at l</w:t>
      </w:r>
      <w:r w:rsidR="008E2839" w:rsidRPr="00B5189C">
        <w:rPr>
          <w:rFonts w:ascii="Times New Roman" w:hAnsi="Times New Roman" w:cs="Times New Roman"/>
          <w:kern w:val="0"/>
          <w:szCs w:val="21"/>
        </w:rPr>
        <w:t xml:space="preserve">east </w:t>
      </w:r>
      <w:r w:rsidR="000B3473">
        <w:rPr>
          <w:rFonts w:ascii="Times New Roman" w:hAnsi="Times New Roman" w:cs="Times New Roman"/>
          <w:kern w:val="0"/>
          <w:szCs w:val="21"/>
        </w:rPr>
        <w:t>2x</w:t>
      </w:r>
      <w:r w:rsidR="008E2839" w:rsidRPr="00B5189C">
        <w:rPr>
          <w:rFonts w:ascii="Times New Roman" w:hAnsi="Times New Roman" w:cs="Times New Roman"/>
          <w:b/>
          <w:kern w:val="0"/>
          <w:szCs w:val="21"/>
        </w:rPr>
        <w:t>TBD</w:t>
      </w:r>
      <w:r w:rsidR="000B3473">
        <w:rPr>
          <w:rFonts w:ascii="Times New Roman" w:hAnsi="Times New Roman" w:cs="Times New Roman"/>
          <w:b/>
          <w:kern w:val="0"/>
          <w:szCs w:val="21"/>
        </w:rPr>
        <w:t xml:space="preserve">2 </w:t>
      </w:r>
      <w:r w:rsidR="000B3473" w:rsidRPr="000B3473">
        <w:rPr>
          <w:rFonts w:ascii="Times New Roman" w:hAnsi="Times New Roman" w:cs="Times New Roman"/>
          <w:kern w:val="0"/>
          <w:szCs w:val="21"/>
        </w:rPr>
        <w:t>time</w:t>
      </w:r>
      <w:r w:rsidR="008E2839" w:rsidRPr="00B5189C">
        <w:rPr>
          <w:rFonts w:ascii="Times New Roman" w:hAnsi="Times New Roman" w:cs="Times New Roman"/>
          <w:kern w:val="0"/>
          <w:szCs w:val="21"/>
        </w:rPr>
        <w:t>.</w:t>
      </w:r>
    </w:p>
    <w:p w:rsidR="002D09E5" w:rsidRDefault="002D09E5" w:rsidP="008E2839">
      <w:pPr>
        <w:autoSpaceDE w:val="0"/>
        <w:autoSpaceDN w:val="0"/>
        <w:adjustRightInd w:val="0"/>
        <w:jc w:val="left"/>
        <w:rPr>
          <w:rFonts w:ascii="Times New Roman" w:hAnsi="Times New Roman" w:cs="Times New Roman"/>
          <w:kern w:val="0"/>
          <w:szCs w:val="21"/>
        </w:rPr>
      </w:pPr>
    </w:p>
    <w:p w:rsidR="000B3473" w:rsidRPr="00B5189C" w:rsidRDefault="000B3473" w:rsidP="000B3473">
      <w:pPr>
        <w:rPr>
          <w:rFonts w:ascii="Times New Roman" w:hAnsi="Times New Roman" w:cs="Times New Roman"/>
        </w:rPr>
      </w:pPr>
      <m:oMathPara>
        <m:oMath>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t</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p</m:t>
                      </m:r>
                    </m:sub>
                  </m:sSub>
                </m:e>
              </m:rad>
            </m:den>
          </m:f>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-TBD2</m:t>
              </m:r>
            </m:sub>
            <m:sup>
              <m:r>
                <w:rPr>
                  <w:rFonts w:ascii="Cambria Math" w:hAnsi="Cambria Math" w:cs="Times New Roman"/>
                </w:rPr>
                <m:t>+TBD2</m:t>
              </m:r>
            </m:sup>
            <m:e>
              <m:r>
                <w:rPr>
                  <w:rFonts w:ascii="Cambria Math" w:hAnsi="Cambria Math" w:cs="Times New Roman"/>
                </w:rPr>
                <m:t>r</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t+τ</m:t>
                  </m:r>
                </m:e>
              </m:d>
            </m:e>
          </m:nary>
          <m:r>
            <w:rPr>
              <w:rFonts w:ascii="Cambria Math" w:hAnsi="Cambria Math" w:cs="Times New Roman"/>
            </w:rPr>
            <m:t>dt</m:t>
          </m:r>
        </m:oMath>
      </m:oMathPara>
    </w:p>
    <w:p w:rsidR="000B3473" w:rsidRDefault="000B3473" w:rsidP="008E2839">
      <w:pPr>
        <w:autoSpaceDE w:val="0"/>
        <w:autoSpaceDN w:val="0"/>
        <w:adjustRightInd w:val="0"/>
        <w:jc w:val="left"/>
        <w:rPr>
          <w:rFonts w:ascii="Times New Roman" w:hAnsi="Times New Roman" w:cs="Times New Roman"/>
          <w:szCs w:val="21"/>
        </w:rPr>
      </w:pPr>
    </w:p>
    <w:p w:rsidR="002D09E5" w:rsidRPr="00B5189C" w:rsidRDefault="002D09E5" w:rsidP="008E2839">
      <w:pPr>
        <w:autoSpaceDE w:val="0"/>
        <w:autoSpaceDN w:val="0"/>
        <w:adjustRightInd w:val="0"/>
        <w:jc w:val="left"/>
        <w:rPr>
          <w:rFonts w:ascii="Times New Roman" w:hAnsi="Times New Roman" w:cs="Times New Roman"/>
          <w:szCs w:val="21"/>
        </w:rPr>
      </w:pPr>
      <w:r>
        <w:rPr>
          <w:rFonts w:ascii="Times New Roman" w:hAnsi="Times New Roman" w:cs="Times New Roman"/>
          <w:szCs w:val="21"/>
        </w:rPr>
        <w:t>Add eye diagram</w:t>
      </w:r>
      <w:bookmarkStart w:id="0" w:name="_GoBack"/>
      <w:bookmarkEnd w:id="0"/>
    </w:p>
    <w:sectPr w:rsidR="002D09E5" w:rsidRPr="00B5189C" w:rsidSect="00FD11FB">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D1" w:rsidRDefault="008F53D1" w:rsidP="00FD11FB">
      <w:r>
        <w:separator/>
      </w:r>
    </w:p>
  </w:endnote>
  <w:endnote w:type="continuationSeparator" w:id="0">
    <w:p w:rsidR="008F53D1" w:rsidRDefault="008F53D1" w:rsidP="00FD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6E" w:rsidRPr="00555E6E" w:rsidRDefault="00555E6E" w:rsidP="00555E6E">
    <w:pPr>
      <w:pStyle w:val="Footer"/>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rFonts w:hint="eastAsia"/>
        <w:sz w:val="20"/>
      </w:rPr>
      <w:t xml:space="preserve">                         </w:t>
    </w:r>
    <w:r>
      <w:rPr>
        <w:sz w:val="20"/>
      </w:rPr>
      <w:t>Page</w:t>
    </w:r>
    <w:r w:rsidR="00252864">
      <w:rPr>
        <w:sz w:val="20"/>
      </w:rPr>
      <w:fldChar w:fldCharType="begin"/>
    </w:r>
    <w:r>
      <w:rPr>
        <w:sz w:val="20"/>
      </w:rPr>
      <w:instrText xml:space="preserve"> PAGE \*Arabic </w:instrText>
    </w:r>
    <w:r w:rsidR="00252864">
      <w:rPr>
        <w:sz w:val="20"/>
      </w:rPr>
      <w:fldChar w:fldCharType="separate"/>
    </w:r>
    <w:r w:rsidR="00C81348">
      <w:rPr>
        <w:noProof/>
        <w:sz w:val="20"/>
      </w:rPr>
      <w:t>2</w:t>
    </w:r>
    <w:r w:rsidR="00252864">
      <w:rPr>
        <w:sz w:val="20"/>
      </w:rPr>
      <w:fldChar w:fldCharType="end"/>
    </w:r>
    <w:r>
      <w:rPr>
        <w:rFonts w:eastAsia="Times New Roman"/>
        <w:sz w:val="20"/>
      </w:rPr>
      <w:t xml:space="preserve">          </w:t>
    </w:r>
    <w:r>
      <w:rPr>
        <w:rFonts w:hint="eastAsia"/>
        <w:sz w:val="20"/>
      </w:rPr>
      <w:t xml:space="preserve"> </w:t>
    </w:r>
    <w:r>
      <w:rPr>
        <w:rFonts w:eastAsia="Times New Roman"/>
        <w:sz w:val="20"/>
      </w:rPr>
      <w:t xml:space="preserve">                    </w:t>
    </w:r>
    <w:r>
      <w:rPr>
        <w:rFonts w:hint="eastAsia"/>
        <w:sz w:val="20"/>
      </w:rPr>
      <w:t>Ken Mori, 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D1" w:rsidRDefault="008F53D1" w:rsidP="00FD11FB">
      <w:r>
        <w:separator/>
      </w:r>
    </w:p>
  </w:footnote>
  <w:footnote w:type="continuationSeparator" w:id="0">
    <w:p w:rsidR="008F53D1" w:rsidRDefault="008F53D1" w:rsidP="00FD1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FB" w:rsidRPr="00FD11FB" w:rsidRDefault="00FD11FB" w:rsidP="00FD11FB">
    <w:pPr>
      <w:pStyle w:val="Header"/>
      <w:pBdr>
        <w:bottom w:val="single" w:sz="4" w:space="0" w:color="000000"/>
      </w:pBdr>
      <w:tabs>
        <w:tab w:val="right" w:pos="9270"/>
      </w:tabs>
      <w:spacing w:after="360"/>
      <w:jc w:val="left"/>
      <w:rPr>
        <w:b/>
      </w:rPr>
    </w:pPr>
    <w:r>
      <w:rPr>
        <w:rFonts w:eastAsia="Times New Roman"/>
        <w:b/>
      </w:rPr>
      <w:t>July 2013</w:t>
    </w:r>
    <w:r w:rsidRPr="00334CE1">
      <w:rPr>
        <w:rFonts w:eastAsia="Times New Roman"/>
        <w:b/>
      </w:rPr>
      <w:t xml:space="preserve">   </w:t>
    </w:r>
    <w:r>
      <w:rPr>
        <w:rFonts w:hint="eastAsia"/>
        <w:b/>
      </w:rPr>
      <w:t xml:space="preserve">       </w:t>
    </w:r>
    <w:r>
      <w:rPr>
        <w:rFonts w:eastAsia="Times New Roman"/>
        <w:b/>
      </w:rPr>
      <w:t xml:space="preserve">                                </w:t>
    </w:r>
    <w:r w:rsidRPr="00334CE1">
      <w:rPr>
        <w:rFonts w:eastAsia="Times New Roman"/>
        <w:b/>
      </w:rPr>
      <w:t xml:space="preserve"> </w:t>
    </w:r>
    <w:r w:rsidR="00555E6E">
      <w:rPr>
        <w:rFonts w:hint="eastAsia"/>
        <w:b/>
      </w:rPr>
      <w:t xml:space="preserve">            </w:t>
    </w:r>
    <w:r w:rsidRPr="00783CAB">
      <w:rPr>
        <w:b/>
      </w:rPr>
      <w:t>IEEE</w:t>
    </w:r>
    <w:r w:rsidRPr="00783CAB">
      <w:rPr>
        <w:rFonts w:eastAsia="Times New Roman"/>
        <w:b/>
      </w:rPr>
      <w:t xml:space="preserve"> </w:t>
    </w:r>
    <w:r w:rsidRPr="00783CAB">
      <w:rPr>
        <w:b/>
      </w:rPr>
      <w:t>P802.</w:t>
    </w:r>
    <w:r>
      <w:rPr>
        <w:b/>
      </w:rPr>
      <w:t>15-13-0</w:t>
    </w:r>
    <w:r w:rsidR="00C81348">
      <w:rPr>
        <w:b/>
      </w:rPr>
      <w:t>456</w:t>
    </w:r>
    <w:r w:rsidRPr="00361CC9">
      <w:rPr>
        <w:b/>
      </w:rPr>
      <w:t>-0</w:t>
    </w:r>
    <w:r>
      <w:rPr>
        <w:b/>
      </w:rPr>
      <w:t>1</w:t>
    </w:r>
    <w:r w:rsidRPr="00361CC9">
      <w:rPr>
        <w:b/>
      </w:rPr>
      <w:t>-004n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486E"/>
    <w:rsid w:val="000738D0"/>
    <w:rsid w:val="000B3473"/>
    <w:rsid w:val="000F4C4A"/>
    <w:rsid w:val="00167BF9"/>
    <w:rsid w:val="00250C06"/>
    <w:rsid w:val="00252864"/>
    <w:rsid w:val="002D09E5"/>
    <w:rsid w:val="00485BCD"/>
    <w:rsid w:val="00515ECA"/>
    <w:rsid w:val="00555E6E"/>
    <w:rsid w:val="00586859"/>
    <w:rsid w:val="00605A70"/>
    <w:rsid w:val="006123C8"/>
    <w:rsid w:val="0067006B"/>
    <w:rsid w:val="00717C2E"/>
    <w:rsid w:val="008E2839"/>
    <w:rsid w:val="008F53D1"/>
    <w:rsid w:val="00947C0D"/>
    <w:rsid w:val="00AD49D5"/>
    <w:rsid w:val="00B5189C"/>
    <w:rsid w:val="00B60249"/>
    <w:rsid w:val="00B6789E"/>
    <w:rsid w:val="00C81348"/>
    <w:rsid w:val="00F92AA6"/>
    <w:rsid w:val="00FB486E"/>
    <w:rsid w:val="00FD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6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86E"/>
    <w:rPr>
      <w:color w:val="808080"/>
    </w:rPr>
  </w:style>
  <w:style w:type="paragraph" w:styleId="BalloonText">
    <w:name w:val="Balloon Text"/>
    <w:basedOn w:val="Normal"/>
    <w:link w:val="BalloonTextChar"/>
    <w:uiPriority w:val="99"/>
    <w:semiHidden/>
    <w:unhideWhenUsed/>
    <w:rsid w:val="00FB486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B486E"/>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FB486E"/>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covertext">
    <w:name w:val="cover text"/>
    <w:basedOn w:val="Normal"/>
    <w:rsid w:val="0067006B"/>
    <w:pPr>
      <w:widowControl/>
      <w:spacing w:before="120" w:after="120"/>
      <w:jc w:val="left"/>
    </w:pPr>
    <w:rPr>
      <w:rFonts w:ascii="Times New Roman" w:eastAsia="Times New Roman" w:hAnsi="Times New Roman" w:cs="Times New Roman"/>
      <w:kern w:val="0"/>
      <w:sz w:val="20"/>
      <w:szCs w:val="20"/>
      <w:lang w:eastAsia="en-US"/>
    </w:rPr>
  </w:style>
  <w:style w:type="character" w:styleId="Hyperlink">
    <w:name w:val="Hyperlink"/>
    <w:uiPriority w:val="99"/>
    <w:unhideWhenUsed/>
    <w:rsid w:val="0067006B"/>
    <w:rPr>
      <w:color w:val="0000FF"/>
      <w:u w:val="single"/>
    </w:rPr>
  </w:style>
  <w:style w:type="paragraph" w:styleId="Header">
    <w:name w:val="header"/>
    <w:basedOn w:val="Normal"/>
    <w:link w:val="HeaderChar"/>
    <w:unhideWhenUsed/>
    <w:rsid w:val="00FD11FB"/>
    <w:pPr>
      <w:tabs>
        <w:tab w:val="center" w:pos="4252"/>
        <w:tab w:val="right" w:pos="8504"/>
      </w:tabs>
      <w:snapToGrid w:val="0"/>
    </w:pPr>
  </w:style>
  <w:style w:type="character" w:customStyle="1" w:styleId="HeaderChar">
    <w:name w:val="Header Char"/>
    <w:basedOn w:val="DefaultParagraphFont"/>
    <w:link w:val="Header"/>
    <w:rsid w:val="00FD11FB"/>
  </w:style>
  <w:style w:type="paragraph" w:styleId="Footer">
    <w:name w:val="footer"/>
    <w:basedOn w:val="Normal"/>
    <w:link w:val="FooterChar"/>
    <w:unhideWhenUsed/>
    <w:rsid w:val="00FD11FB"/>
    <w:pPr>
      <w:tabs>
        <w:tab w:val="center" w:pos="4252"/>
        <w:tab w:val="right" w:pos="8504"/>
      </w:tabs>
      <w:snapToGrid w:val="0"/>
    </w:pPr>
  </w:style>
  <w:style w:type="character" w:customStyle="1" w:styleId="FooterChar">
    <w:name w:val="Footer Char"/>
    <w:basedOn w:val="DefaultParagraphFont"/>
    <w:link w:val="Footer"/>
    <w:rsid w:val="00FD1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86E"/>
    <w:rPr>
      <w:color w:val="808080"/>
    </w:rPr>
  </w:style>
  <w:style w:type="paragraph" w:styleId="BalloonText">
    <w:name w:val="Balloon Text"/>
    <w:basedOn w:val="Normal"/>
    <w:link w:val="BalloonTextChar"/>
    <w:uiPriority w:val="99"/>
    <w:semiHidden/>
    <w:unhideWhenUsed/>
    <w:rsid w:val="00FB486E"/>
    <w:rPr>
      <w:rFonts w:asciiTheme="majorHAnsi" w:eastAsiaTheme="majorEastAsia" w:hAnsiTheme="majorHAnsi" w:cstheme="majorBidi"/>
      <w:sz w:val="18"/>
      <w:szCs w:val="18"/>
    </w:rPr>
  </w:style>
  <w:style w:type="character" w:customStyle="1" w:styleId="BalloonTextChar">
    <w:name w:val="吹き出し (文字)"/>
    <w:basedOn w:val="DefaultParagraphFont"/>
    <w:link w:val="BalloonText"/>
    <w:uiPriority w:val="99"/>
    <w:semiHidden/>
    <w:rsid w:val="00FB486E"/>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FB486E"/>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covertext">
    <w:name w:val="cover text"/>
    <w:basedOn w:val="Normal"/>
    <w:rsid w:val="0067006B"/>
    <w:pPr>
      <w:widowControl/>
      <w:spacing w:before="120" w:after="120"/>
      <w:jc w:val="left"/>
    </w:pPr>
    <w:rPr>
      <w:rFonts w:ascii="Times New Roman" w:eastAsia="Times New Roman" w:hAnsi="Times New Roman" w:cs="Times New Roman"/>
      <w:kern w:val="0"/>
      <w:sz w:val="20"/>
      <w:szCs w:val="20"/>
      <w:lang w:eastAsia="en-US"/>
    </w:rPr>
  </w:style>
  <w:style w:type="character" w:styleId="Hyperlink">
    <w:name w:val="Hyperlink"/>
    <w:uiPriority w:val="99"/>
    <w:unhideWhenUsed/>
    <w:rsid w:val="0067006B"/>
    <w:rPr>
      <w:color w:val="0000FF"/>
      <w:u w:val="single"/>
    </w:rPr>
  </w:style>
  <w:style w:type="paragraph" w:styleId="Header">
    <w:name w:val="header"/>
    <w:basedOn w:val="Normal"/>
    <w:link w:val="HeaderChar"/>
    <w:unhideWhenUsed/>
    <w:rsid w:val="00FD11FB"/>
    <w:pPr>
      <w:tabs>
        <w:tab w:val="center" w:pos="4252"/>
        <w:tab w:val="right" w:pos="8504"/>
      </w:tabs>
      <w:snapToGrid w:val="0"/>
    </w:pPr>
  </w:style>
  <w:style w:type="character" w:customStyle="1" w:styleId="HeaderChar">
    <w:name w:val="ヘッダー (文字)"/>
    <w:basedOn w:val="DefaultParagraphFont"/>
    <w:link w:val="Header"/>
    <w:rsid w:val="00FD11FB"/>
  </w:style>
  <w:style w:type="paragraph" w:styleId="Footer">
    <w:name w:val="footer"/>
    <w:basedOn w:val="Normal"/>
    <w:link w:val="FooterChar"/>
    <w:unhideWhenUsed/>
    <w:rsid w:val="00FD11FB"/>
    <w:pPr>
      <w:tabs>
        <w:tab w:val="center" w:pos="4252"/>
        <w:tab w:val="right" w:pos="8504"/>
      </w:tabs>
      <w:snapToGrid w:val="0"/>
    </w:pPr>
  </w:style>
  <w:style w:type="character" w:customStyle="1" w:styleId="FooterChar">
    <w:name w:val="フッター (文字)"/>
    <w:basedOn w:val="DefaultParagraphFont"/>
    <w:link w:val="Footer"/>
    <w:rsid w:val="00FD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5936">
      <w:bodyDiv w:val="1"/>
      <w:marLeft w:val="0"/>
      <w:marRight w:val="0"/>
      <w:marTop w:val="0"/>
      <w:marBottom w:val="0"/>
      <w:divBdr>
        <w:top w:val="none" w:sz="0" w:space="0" w:color="auto"/>
        <w:left w:val="none" w:sz="0" w:space="0" w:color="auto"/>
        <w:bottom w:val="none" w:sz="0" w:space="0" w:color="auto"/>
        <w:right w:val="none" w:sz="0" w:space="0" w:color="auto"/>
      </w:divBdr>
      <w:divsChild>
        <w:div w:id="265698933">
          <w:marLeft w:val="0"/>
          <w:marRight w:val="0"/>
          <w:marTop w:val="0"/>
          <w:marBottom w:val="0"/>
          <w:divBdr>
            <w:top w:val="none" w:sz="0" w:space="0" w:color="auto"/>
            <w:left w:val="none" w:sz="0" w:space="0" w:color="auto"/>
            <w:bottom w:val="none" w:sz="0" w:space="0" w:color="auto"/>
            <w:right w:val="none" w:sz="0" w:space="0" w:color="auto"/>
          </w:divBdr>
          <w:divsChild>
            <w:div w:id="650792462">
              <w:marLeft w:val="0"/>
              <w:marRight w:val="0"/>
              <w:marTop w:val="0"/>
              <w:marBottom w:val="0"/>
              <w:divBdr>
                <w:top w:val="none" w:sz="0" w:space="0" w:color="auto"/>
                <w:left w:val="none" w:sz="0" w:space="0" w:color="auto"/>
                <w:bottom w:val="none" w:sz="0" w:space="0" w:color="auto"/>
                <w:right w:val="none" w:sz="0" w:space="0" w:color="auto"/>
              </w:divBdr>
              <w:divsChild>
                <w:div w:id="21286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sukehara0122@gmail.com" TargetMode="External"/><Relationship Id="rId3" Type="http://schemas.openxmlformats.org/officeDocument/2006/relationships/settings" Target="settings.xml"/><Relationship Id="rId7" Type="http://schemas.openxmlformats.org/officeDocument/2006/relationships/hyperlink" Target="mailto:mori.ken1@jp.panason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パナソニック株式会社</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Kenichi Mori</dc:creator>
  <cp:lastModifiedBy>Art</cp:lastModifiedBy>
  <cp:revision>3</cp:revision>
  <dcterms:created xsi:type="dcterms:W3CDTF">2013-07-18T12:09:00Z</dcterms:created>
  <dcterms:modified xsi:type="dcterms:W3CDTF">2013-07-18T12:09:00Z</dcterms:modified>
</cp:coreProperties>
</file>