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028" w:rsidRDefault="00A23028">
      <w:pPr>
        <w:jc w:val="center"/>
        <w:rPr>
          <w:b/>
          <w:sz w:val="28"/>
        </w:rPr>
      </w:pPr>
      <w:r>
        <w:rPr>
          <w:b/>
          <w:sz w:val="28"/>
        </w:rPr>
        <w:t>IEEE P802.15</w:t>
      </w:r>
    </w:p>
    <w:p w:rsidR="00A23028" w:rsidRDefault="00A23028">
      <w:pPr>
        <w:jc w:val="center"/>
        <w:rPr>
          <w:b/>
          <w:sz w:val="28"/>
        </w:rPr>
      </w:pPr>
      <w:r>
        <w:rPr>
          <w:b/>
          <w:sz w:val="28"/>
        </w:rPr>
        <w:t>Wireless Personal Area Networks</w:t>
      </w:r>
    </w:p>
    <w:p w:rsidR="00A23028" w:rsidRDefault="00A23028">
      <w:pPr>
        <w:jc w:val="center"/>
        <w:rPr>
          <w:b/>
          <w:sz w:val="28"/>
        </w:rPr>
      </w:pPr>
    </w:p>
    <w:tbl>
      <w:tblPr>
        <w:tblW w:w="0" w:type="auto"/>
        <w:tblInd w:w="109" w:type="dxa"/>
        <w:tblLayout w:type="fixed"/>
        <w:tblLook w:val="0000"/>
      </w:tblPr>
      <w:tblGrid>
        <w:gridCol w:w="1888"/>
        <w:gridCol w:w="3542"/>
        <w:gridCol w:w="4021"/>
      </w:tblGrid>
      <w:tr w:rsidR="00A23028">
        <w:tc>
          <w:tcPr>
            <w:tcW w:w="1888" w:type="dxa"/>
            <w:tcBorders>
              <w:top w:val="single" w:sz="4" w:space="0" w:color="000000"/>
            </w:tcBorders>
          </w:tcPr>
          <w:p w:rsidR="00A23028" w:rsidRDefault="00A23028">
            <w:pPr>
              <w:pStyle w:val="covertext"/>
            </w:pPr>
            <w:r>
              <w:t>Project</w:t>
            </w:r>
          </w:p>
        </w:tc>
        <w:tc>
          <w:tcPr>
            <w:tcW w:w="7563" w:type="dxa"/>
            <w:gridSpan w:val="2"/>
            <w:tcBorders>
              <w:top w:val="single" w:sz="4" w:space="0" w:color="000000"/>
            </w:tcBorders>
          </w:tcPr>
          <w:p w:rsidR="00A23028" w:rsidRDefault="00A23028">
            <w:pPr>
              <w:pStyle w:val="covertext"/>
            </w:pPr>
            <w:r>
              <w:t>IEEE P802.15 Working Group for Wireless Personal Area Networks (WPANs)</w:t>
            </w:r>
          </w:p>
        </w:tc>
      </w:tr>
      <w:tr w:rsidR="00A23028">
        <w:tc>
          <w:tcPr>
            <w:tcW w:w="1888" w:type="dxa"/>
            <w:tcBorders>
              <w:top w:val="single" w:sz="4" w:space="0" w:color="000000"/>
            </w:tcBorders>
          </w:tcPr>
          <w:p w:rsidR="00A23028" w:rsidRDefault="00A23028">
            <w:pPr>
              <w:pStyle w:val="covertext"/>
            </w:pPr>
            <w:r>
              <w:t>Title</w:t>
            </w:r>
          </w:p>
        </w:tc>
        <w:tc>
          <w:tcPr>
            <w:tcW w:w="7563" w:type="dxa"/>
            <w:gridSpan w:val="2"/>
            <w:tcBorders>
              <w:top w:val="single" w:sz="4" w:space="0" w:color="000000"/>
            </w:tcBorders>
          </w:tcPr>
          <w:p w:rsidR="00A23028" w:rsidRDefault="00A23028">
            <w:pPr>
              <w:pStyle w:val="covertext"/>
            </w:pPr>
            <w:fldSimple w:instr=" TITLE ">
              <w:r w:rsidR="007C28CB">
                <w:t>Any</w:t>
              </w:r>
              <w:r>
                <w:t xml:space="preserve"> over 802.15</w:t>
              </w:r>
            </w:fldSimple>
          </w:p>
        </w:tc>
      </w:tr>
      <w:tr w:rsidR="00A23028">
        <w:tc>
          <w:tcPr>
            <w:tcW w:w="1888" w:type="dxa"/>
            <w:tcBorders>
              <w:top w:val="single" w:sz="4" w:space="0" w:color="000000"/>
            </w:tcBorders>
          </w:tcPr>
          <w:p w:rsidR="00A23028" w:rsidRDefault="00A23028">
            <w:pPr>
              <w:pStyle w:val="covertext"/>
            </w:pPr>
            <w:r>
              <w:t>Date Submitted</w:t>
            </w:r>
          </w:p>
        </w:tc>
        <w:tc>
          <w:tcPr>
            <w:tcW w:w="7563" w:type="dxa"/>
            <w:gridSpan w:val="2"/>
            <w:tcBorders>
              <w:top w:val="single" w:sz="4" w:space="0" w:color="000000"/>
            </w:tcBorders>
          </w:tcPr>
          <w:p w:rsidR="00A23028" w:rsidRDefault="007C28CB">
            <w:pPr>
              <w:pStyle w:val="covertext"/>
              <w:tabs>
                <w:tab w:val="left" w:pos="4809"/>
              </w:tabs>
            </w:pPr>
            <w:r>
              <w:t>26</w:t>
            </w:r>
            <w:r w:rsidR="00A23028">
              <w:rPr>
                <w:vertAlign w:val="superscript"/>
              </w:rPr>
              <w:t>th</w:t>
            </w:r>
            <w:r w:rsidR="00A23028">
              <w:t xml:space="preserve"> April 2013</w:t>
            </w:r>
            <w:r w:rsidR="00A23028">
              <w:tab/>
            </w:r>
          </w:p>
        </w:tc>
      </w:tr>
      <w:tr w:rsidR="00A23028">
        <w:tc>
          <w:tcPr>
            <w:tcW w:w="1888" w:type="dxa"/>
            <w:tcBorders>
              <w:top w:val="single" w:sz="4" w:space="0" w:color="000000"/>
              <w:bottom w:val="single" w:sz="4" w:space="0" w:color="000000"/>
            </w:tcBorders>
          </w:tcPr>
          <w:p w:rsidR="00A23028" w:rsidRDefault="00A23028">
            <w:pPr>
              <w:pStyle w:val="covertext"/>
            </w:pPr>
            <w:r>
              <w:t>Source</w:t>
            </w:r>
          </w:p>
        </w:tc>
        <w:tc>
          <w:tcPr>
            <w:tcW w:w="3542" w:type="dxa"/>
            <w:tcBorders>
              <w:top w:val="single" w:sz="4" w:space="0" w:color="000000"/>
              <w:bottom w:val="single" w:sz="4" w:space="0" w:color="000000"/>
            </w:tcBorders>
          </w:tcPr>
          <w:p w:rsidR="007C28CB" w:rsidRDefault="007C28CB">
            <w:pPr>
              <w:pStyle w:val="covertext"/>
              <w:spacing w:before="0" w:after="0"/>
            </w:pPr>
            <w:r>
              <w:t xml:space="preserve">René </w:t>
            </w:r>
            <w:proofErr w:type="spellStart"/>
            <w:r>
              <w:t>Struik</w:t>
            </w:r>
            <w:proofErr w:type="spellEnd"/>
          </w:p>
          <w:p w:rsidR="007C28CB" w:rsidRDefault="007C28CB">
            <w:pPr>
              <w:pStyle w:val="covertext"/>
              <w:spacing w:before="0" w:after="0"/>
            </w:pPr>
            <w:proofErr w:type="spellStart"/>
            <w:r>
              <w:t>Struik</w:t>
            </w:r>
            <w:proofErr w:type="spellEnd"/>
            <w:r>
              <w:t xml:space="preserve"> Security Consultancy</w:t>
            </w:r>
          </w:p>
          <w:p w:rsidR="00A23028" w:rsidRDefault="007C28CB">
            <w:pPr>
              <w:pStyle w:val="covertext"/>
              <w:spacing w:before="0" w:after="0"/>
            </w:pPr>
            <w:r>
              <w:t>Toronto, ON Canada</w:t>
            </w:r>
            <w:r w:rsidR="00A23028">
              <w:br/>
            </w:r>
          </w:p>
        </w:tc>
        <w:tc>
          <w:tcPr>
            <w:tcW w:w="4021" w:type="dxa"/>
            <w:tcBorders>
              <w:top w:val="single" w:sz="4" w:space="0" w:color="000000"/>
              <w:bottom w:val="single" w:sz="4" w:space="0" w:color="000000"/>
            </w:tcBorders>
          </w:tcPr>
          <w:p w:rsidR="00A23028" w:rsidRDefault="007C28CB" w:rsidP="007C28CB">
            <w:pPr>
              <w:pStyle w:val="covertext"/>
              <w:tabs>
                <w:tab w:val="left" w:pos="1152"/>
              </w:tabs>
              <w:spacing w:before="0" w:after="0"/>
              <w:rPr>
                <w:lang w:val="fr-FR"/>
              </w:rPr>
            </w:pPr>
            <w:r>
              <w:rPr>
                <w:lang w:val="fr-FR"/>
              </w:rPr>
              <w:t>US</w:t>
            </w:r>
            <w:r w:rsidR="00A23028">
              <w:rPr>
                <w:lang w:val="fr-FR"/>
              </w:rPr>
              <w:t>:</w:t>
            </w:r>
            <w:r w:rsidR="00A23028">
              <w:rPr>
                <w:lang w:val="fr-FR"/>
              </w:rPr>
              <w:tab/>
            </w:r>
            <w:r>
              <w:rPr>
                <w:lang w:val="fr-FR"/>
              </w:rPr>
              <w:t>+1 (415) 690-7363</w:t>
            </w:r>
            <w:r w:rsidR="00A23028">
              <w:rPr>
                <w:lang w:val="fr-FR"/>
              </w:rPr>
              <w:br/>
            </w:r>
            <w:proofErr w:type="spellStart"/>
            <w:r>
              <w:rPr>
                <w:lang w:val="fr-FR"/>
              </w:rPr>
              <w:t>cell</w:t>
            </w:r>
            <w:proofErr w:type="spellEnd"/>
            <w:r w:rsidR="00A23028">
              <w:rPr>
                <w:lang w:val="fr-FR"/>
              </w:rPr>
              <w:t>:</w:t>
            </w:r>
            <w:r w:rsidR="00A23028">
              <w:rPr>
                <w:lang w:val="fr-FR"/>
              </w:rPr>
              <w:tab/>
            </w:r>
            <w:r>
              <w:rPr>
                <w:lang w:val="fr-FR"/>
              </w:rPr>
              <w:t>+1 (647) 867-5658</w:t>
            </w:r>
            <w:r>
              <w:rPr>
                <w:lang w:val="fr-FR"/>
              </w:rPr>
              <w:br/>
              <w:t>E-mail :      rstruik.ext@gmail.com</w:t>
            </w:r>
          </w:p>
        </w:tc>
      </w:tr>
      <w:tr w:rsidR="00A23028">
        <w:tc>
          <w:tcPr>
            <w:tcW w:w="1888" w:type="dxa"/>
            <w:tcBorders>
              <w:top w:val="single" w:sz="4" w:space="0" w:color="000000"/>
            </w:tcBorders>
          </w:tcPr>
          <w:p w:rsidR="00A23028" w:rsidRDefault="00A23028">
            <w:pPr>
              <w:pStyle w:val="covertext"/>
            </w:pPr>
            <w:r>
              <w:t>Re:</w:t>
            </w:r>
          </w:p>
        </w:tc>
        <w:tc>
          <w:tcPr>
            <w:tcW w:w="7563" w:type="dxa"/>
            <w:gridSpan w:val="2"/>
            <w:tcBorders>
              <w:top w:val="single" w:sz="4" w:space="0" w:color="000000"/>
            </w:tcBorders>
          </w:tcPr>
          <w:p w:rsidR="00A23028" w:rsidRDefault="007C28CB" w:rsidP="007C28CB">
            <w:pPr>
              <w:pStyle w:val="covertext"/>
            </w:pPr>
            <w:r>
              <w:t xml:space="preserve">This is response to </w:t>
            </w:r>
            <w:r w:rsidR="00A23028">
              <w:t xml:space="preserve">a Call for Contributions for IEEE 802.15.9 </w:t>
            </w:r>
          </w:p>
        </w:tc>
      </w:tr>
      <w:tr w:rsidR="00A23028">
        <w:tc>
          <w:tcPr>
            <w:tcW w:w="1888" w:type="dxa"/>
            <w:tcBorders>
              <w:top w:val="single" w:sz="4" w:space="0" w:color="000000"/>
            </w:tcBorders>
          </w:tcPr>
          <w:p w:rsidR="00A23028" w:rsidRDefault="00A23028">
            <w:pPr>
              <w:pStyle w:val="covertext"/>
            </w:pPr>
            <w:r>
              <w:t>Abstract</w:t>
            </w:r>
          </w:p>
        </w:tc>
        <w:tc>
          <w:tcPr>
            <w:tcW w:w="7563" w:type="dxa"/>
            <w:gridSpan w:val="2"/>
            <w:tcBorders>
              <w:top w:val="single" w:sz="4" w:space="0" w:color="000000"/>
            </w:tcBorders>
          </w:tcPr>
          <w:p w:rsidR="00A23028" w:rsidRDefault="00A23028">
            <w:pPr>
              <w:pStyle w:val="covertext"/>
            </w:pPr>
            <w:r>
              <w:t>This document conta</w:t>
            </w:r>
            <w:r w:rsidR="007C28CB">
              <w:t>ins guidelines for flagging specific higher-layer protocols and transport support (fragmentation/defragmentation, in-order delivery) as</w:t>
            </w:r>
            <w:r>
              <w:t xml:space="preserve"> for IEEE 802.15.9</w:t>
            </w:r>
          </w:p>
        </w:tc>
      </w:tr>
      <w:tr w:rsidR="00A23028">
        <w:tc>
          <w:tcPr>
            <w:tcW w:w="1888" w:type="dxa"/>
            <w:tcBorders>
              <w:top w:val="single" w:sz="4" w:space="0" w:color="000000"/>
            </w:tcBorders>
          </w:tcPr>
          <w:p w:rsidR="00A23028" w:rsidRDefault="00A23028">
            <w:pPr>
              <w:pStyle w:val="covertext"/>
            </w:pPr>
            <w:r>
              <w:t>Purpose</w:t>
            </w:r>
          </w:p>
        </w:tc>
        <w:tc>
          <w:tcPr>
            <w:tcW w:w="7563" w:type="dxa"/>
            <w:gridSpan w:val="2"/>
            <w:tcBorders>
              <w:top w:val="single" w:sz="4" w:space="0" w:color="000000"/>
            </w:tcBorders>
          </w:tcPr>
          <w:p w:rsidR="00A23028" w:rsidRDefault="00A23028">
            <w:pPr>
              <w:pStyle w:val="covertext"/>
            </w:pPr>
            <w:r>
              <w:t>This document is intended for inclusion of 802.15.9 draft specification</w:t>
            </w:r>
          </w:p>
        </w:tc>
      </w:tr>
      <w:tr w:rsidR="00A23028">
        <w:tc>
          <w:tcPr>
            <w:tcW w:w="1888" w:type="dxa"/>
            <w:tcBorders>
              <w:top w:val="single" w:sz="4" w:space="0" w:color="000000"/>
              <w:bottom w:val="single" w:sz="4" w:space="0" w:color="000000"/>
            </w:tcBorders>
          </w:tcPr>
          <w:p w:rsidR="00A23028" w:rsidRDefault="00A23028">
            <w:pPr>
              <w:pStyle w:val="covertext"/>
            </w:pPr>
            <w:r>
              <w:t>Notice</w:t>
            </w:r>
          </w:p>
        </w:tc>
        <w:tc>
          <w:tcPr>
            <w:tcW w:w="7563" w:type="dxa"/>
            <w:gridSpan w:val="2"/>
            <w:tcBorders>
              <w:top w:val="single" w:sz="4" w:space="0" w:color="000000"/>
              <w:bottom w:val="single" w:sz="4" w:space="0" w:color="000000"/>
            </w:tcBorders>
          </w:tcPr>
          <w:p w:rsidR="00A23028" w:rsidRDefault="00A2302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23028">
        <w:tc>
          <w:tcPr>
            <w:tcW w:w="1888" w:type="dxa"/>
            <w:tcBorders>
              <w:top w:val="single" w:sz="4" w:space="0" w:color="000000"/>
              <w:bottom w:val="single" w:sz="4" w:space="0" w:color="000000"/>
            </w:tcBorders>
          </w:tcPr>
          <w:p w:rsidR="00A23028" w:rsidRDefault="00A23028">
            <w:pPr>
              <w:pStyle w:val="covertext"/>
            </w:pPr>
            <w:r>
              <w:t>Release</w:t>
            </w:r>
          </w:p>
        </w:tc>
        <w:tc>
          <w:tcPr>
            <w:tcW w:w="7563" w:type="dxa"/>
            <w:gridSpan w:val="2"/>
            <w:tcBorders>
              <w:top w:val="single" w:sz="4" w:space="0" w:color="000000"/>
              <w:bottom w:val="single" w:sz="4" w:space="0" w:color="000000"/>
            </w:tcBorders>
          </w:tcPr>
          <w:p w:rsidR="00A23028" w:rsidRDefault="00A23028">
            <w:pPr>
              <w:pStyle w:val="covertext"/>
            </w:pPr>
            <w:r>
              <w:t>The contributor acknowledges and accepts that this contribution becomes the property of IEEE and may be made publicly available by P802.15.</w:t>
            </w:r>
          </w:p>
        </w:tc>
      </w:tr>
    </w:tbl>
    <w:p w:rsidR="00FE63BA" w:rsidRDefault="00FE63BA" w:rsidP="009A36FF">
      <w:pPr>
        <w:rPr>
          <w:b/>
          <w:i/>
          <w:sz w:val="20"/>
        </w:rPr>
      </w:pPr>
    </w:p>
    <w:p w:rsidR="00FE63BA" w:rsidRDefault="00FE63BA">
      <w:pPr>
        <w:suppressAutoHyphens w:val="0"/>
        <w:rPr>
          <w:b/>
          <w:i/>
          <w:sz w:val="20"/>
        </w:rPr>
      </w:pPr>
      <w:r>
        <w:rPr>
          <w:b/>
          <w:i/>
          <w:sz w:val="20"/>
        </w:rPr>
        <w:br w:type="page"/>
      </w:r>
    </w:p>
    <w:p w:rsidR="009A36FF" w:rsidRDefault="009A36FF" w:rsidP="009A36FF">
      <w:pPr>
        <w:rPr>
          <w:b/>
          <w:i/>
          <w:sz w:val="20"/>
        </w:rPr>
      </w:pPr>
      <w:r>
        <w:rPr>
          <w:b/>
          <w:i/>
          <w:sz w:val="20"/>
        </w:rPr>
        <w:lastRenderedPageBreak/>
        <w:t>Editorial note: all suggested change</w:t>
      </w:r>
      <w:r w:rsidR="00B71AC7">
        <w:rPr>
          <w:b/>
          <w:i/>
          <w:sz w:val="20"/>
        </w:rPr>
        <w:t>s are relative to 80.15.4e-2012. The suggested changes below would allow implementation of information elements of any type that could stretch beyond the maximum size of a MAC MPDU.</w:t>
      </w:r>
    </w:p>
    <w:p w:rsidR="009A36FF" w:rsidRDefault="009A36FF" w:rsidP="007C28CB">
      <w:pPr>
        <w:rPr>
          <w:rFonts w:ascii="Arial" w:hAnsi="Arial" w:cs="Arial"/>
          <w:b/>
          <w:sz w:val="20"/>
        </w:rPr>
      </w:pPr>
    </w:p>
    <w:p w:rsidR="007C28CB" w:rsidRDefault="007C28CB" w:rsidP="007C28CB">
      <w:pPr>
        <w:rPr>
          <w:rFonts w:ascii="Arial" w:hAnsi="Arial" w:cs="Arial"/>
          <w:b/>
          <w:sz w:val="20"/>
        </w:rPr>
      </w:pPr>
      <w:r>
        <w:rPr>
          <w:rFonts w:ascii="Arial" w:hAnsi="Arial" w:cs="Arial"/>
          <w:b/>
          <w:sz w:val="20"/>
        </w:rPr>
        <w:t>3.1 Definitions</w:t>
      </w:r>
    </w:p>
    <w:p w:rsidR="007C28CB" w:rsidRDefault="007C28CB" w:rsidP="007C28CB">
      <w:pPr>
        <w:rPr>
          <w:rFonts w:ascii="Arial" w:hAnsi="Arial" w:cs="Arial"/>
          <w:b/>
          <w:sz w:val="20"/>
        </w:rPr>
      </w:pPr>
    </w:p>
    <w:p w:rsidR="007C28CB" w:rsidRDefault="007C28CB" w:rsidP="007C28CB">
      <w:pPr>
        <w:rPr>
          <w:b/>
          <w:i/>
          <w:sz w:val="20"/>
        </w:rPr>
      </w:pPr>
      <w:r>
        <w:rPr>
          <w:b/>
          <w:i/>
          <w:sz w:val="20"/>
        </w:rPr>
        <w:t>Insert the following new definition:</w:t>
      </w:r>
    </w:p>
    <w:p w:rsidR="007C28CB" w:rsidRDefault="007C28CB" w:rsidP="007C28CB">
      <w:pPr>
        <w:rPr>
          <w:b/>
          <w:i/>
          <w:sz w:val="20"/>
        </w:rPr>
      </w:pPr>
    </w:p>
    <w:p w:rsidR="004C5A61" w:rsidRPr="004C5A61" w:rsidRDefault="007C28CB" w:rsidP="007C28CB">
      <w:pPr>
        <w:rPr>
          <w:sz w:val="20"/>
        </w:rPr>
      </w:pPr>
      <w:r>
        <w:rPr>
          <w:b/>
          <w:sz w:val="20"/>
        </w:rPr>
        <w:t>Conceptual object:</w:t>
      </w:r>
      <w:r>
        <w:rPr>
          <w:sz w:val="20"/>
        </w:rPr>
        <w:t xml:space="preserve"> octet string that may have syntax or semantics that are only</w:t>
      </w:r>
      <w:r w:rsidR="009A36FF">
        <w:rPr>
          <w:sz w:val="20"/>
        </w:rPr>
        <w:t xml:space="preserve"> partially specified with 802.15</w:t>
      </w:r>
      <w:r>
        <w:rPr>
          <w:sz w:val="20"/>
        </w:rPr>
        <w:t xml:space="preserve"> (e.g., higher-layer information). This conceptual ob</w:t>
      </w:r>
      <w:r w:rsidR="009A36FF">
        <w:rPr>
          <w:sz w:val="20"/>
        </w:rPr>
        <w:t>ject is only conveyed between devices</w:t>
      </w:r>
      <w:r>
        <w:rPr>
          <w:sz w:val="20"/>
        </w:rPr>
        <w:t>, after representing this as an ordered sequence of information elements, whereas the receiving entity may only act on this object after converting this back to the corresponding conceptual object</w:t>
      </w:r>
      <w:r w:rsidR="009A36FF">
        <w:rPr>
          <w:sz w:val="20"/>
        </w:rPr>
        <w:t>. Conceptual objects may be of any size (thus, also of size larger than a MAC MPDU).</w:t>
      </w:r>
    </w:p>
    <w:p w:rsidR="004C5A61" w:rsidRDefault="004C5A61" w:rsidP="007C28CB">
      <w:pPr>
        <w:rPr>
          <w:rFonts w:ascii="Arial" w:hAnsi="Arial" w:cs="Arial"/>
          <w:b/>
          <w:sz w:val="20"/>
        </w:rPr>
      </w:pPr>
    </w:p>
    <w:p w:rsidR="007C28CB" w:rsidRDefault="007C28CB" w:rsidP="007C28CB">
      <w:pPr>
        <w:rPr>
          <w:b/>
          <w:i/>
          <w:sz w:val="20"/>
        </w:rPr>
      </w:pPr>
      <w:r>
        <w:rPr>
          <w:b/>
          <w:i/>
          <w:sz w:val="20"/>
        </w:rPr>
        <w:t xml:space="preserve">Insert </w:t>
      </w:r>
      <w:r w:rsidR="009A36FF">
        <w:rPr>
          <w:b/>
          <w:i/>
          <w:sz w:val="20"/>
        </w:rPr>
        <w:t>section 5.2.1.7b</w:t>
      </w:r>
      <w:r>
        <w:rPr>
          <w:b/>
          <w:i/>
          <w:sz w:val="20"/>
        </w:rPr>
        <w:t xml:space="preserve"> as indicated:</w:t>
      </w:r>
    </w:p>
    <w:p w:rsidR="007C28CB" w:rsidRDefault="007C28CB" w:rsidP="007C28CB">
      <w:pPr>
        <w:rPr>
          <w:b/>
          <w:i/>
          <w:sz w:val="20"/>
        </w:rPr>
      </w:pPr>
    </w:p>
    <w:p w:rsidR="007C28CB" w:rsidRDefault="004C5A61" w:rsidP="007C28CB">
      <w:pPr>
        <w:rPr>
          <w:rFonts w:ascii="Arial" w:hAnsi="Arial" w:cs="Arial"/>
          <w:b/>
          <w:sz w:val="20"/>
        </w:rPr>
      </w:pPr>
      <w:r>
        <w:rPr>
          <w:rFonts w:ascii="Arial" w:hAnsi="Arial" w:cs="Arial"/>
          <w:b/>
          <w:sz w:val="20"/>
        </w:rPr>
        <w:t>5.2.1.7b</w:t>
      </w:r>
      <w:r w:rsidR="007C28CB">
        <w:rPr>
          <w:rFonts w:ascii="Arial" w:hAnsi="Arial" w:cs="Arial"/>
          <w:b/>
          <w:sz w:val="20"/>
        </w:rPr>
        <w:t xml:space="preserve"> Conceptual objects</w:t>
      </w:r>
    </w:p>
    <w:p w:rsidR="007C28CB" w:rsidRPr="00C050E1" w:rsidRDefault="007C28CB" w:rsidP="007C28CB">
      <w:pPr>
        <w:rPr>
          <w:b/>
          <w:sz w:val="20"/>
        </w:rPr>
      </w:pPr>
    </w:p>
    <w:p w:rsidR="007C28CB" w:rsidRPr="00B4790A" w:rsidRDefault="004C5A61" w:rsidP="007C28CB">
      <w:pPr>
        <w:autoSpaceDE w:val="0"/>
        <w:autoSpaceDN w:val="0"/>
        <w:adjustRightInd w:val="0"/>
        <w:rPr>
          <w:rFonts w:ascii="Arial" w:hAnsi="Arial" w:cs="Arial"/>
          <w:b/>
          <w:bCs/>
          <w:sz w:val="20"/>
        </w:rPr>
      </w:pPr>
      <w:r>
        <w:rPr>
          <w:rFonts w:ascii="Arial" w:hAnsi="Arial" w:cs="Arial"/>
          <w:b/>
          <w:bCs/>
          <w:sz w:val="20"/>
        </w:rPr>
        <w:t>5.2.1.7b</w:t>
      </w:r>
      <w:r w:rsidR="007C28CB" w:rsidRPr="00AC7BB5">
        <w:rPr>
          <w:rFonts w:ascii="Arial" w:hAnsi="Arial" w:cs="Arial"/>
          <w:b/>
          <w:bCs/>
          <w:sz w:val="20"/>
        </w:rPr>
        <w:t>.1 General</w:t>
      </w:r>
    </w:p>
    <w:p w:rsidR="007C28CB" w:rsidRDefault="007C28CB" w:rsidP="007C28CB">
      <w:pPr>
        <w:rPr>
          <w:sz w:val="20"/>
        </w:rPr>
      </w:pPr>
      <w:r>
        <w:rPr>
          <w:sz w:val="20"/>
        </w:rPr>
        <w:t>A conceptual object</w:t>
      </w:r>
      <w:r w:rsidRPr="00C050E1">
        <w:rPr>
          <w:sz w:val="20"/>
        </w:rPr>
        <w:t xml:space="preserve"> </w:t>
      </w:r>
      <w:r>
        <w:rPr>
          <w:sz w:val="20"/>
        </w:rPr>
        <w:t>is an octet string that may have syntax or semantics that are only</w:t>
      </w:r>
      <w:r w:rsidR="009A36FF">
        <w:rPr>
          <w:sz w:val="20"/>
        </w:rPr>
        <w:t xml:space="preserve"> partially specified with 802.15</w:t>
      </w:r>
      <w:r>
        <w:rPr>
          <w:sz w:val="20"/>
        </w:rPr>
        <w:t xml:space="preserve"> (e.g., higher-layer information). This conceptual object is onl</w:t>
      </w:r>
      <w:r w:rsidR="009A36FF">
        <w:rPr>
          <w:sz w:val="20"/>
        </w:rPr>
        <w:t>y conveyed between two devices</w:t>
      </w:r>
      <w:r>
        <w:rPr>
          <w:sz w:val="20"/>
        </w:rPr>
        <w:t>, after representing this as an ordered sequence of information elements</w:t>
      </w:r>
      <w:r w:rsidR="004C5A61">
        <w:rPr>
          <w:sz w:val="20"/>
        </w:rPr>
        <w:t xml:space="preserve"> (5.2.1.7b.2.1</w:t>
      </w:r>
      <w:r>
        <w:rPr>
          <w:sz w:val="20"/>
        </w:rPr>
        <w:t>), whereas the receiving entity may only act on this object after converting this back to the corresponding conceptual object</w:t>
      </w:r>
      <w:r w:rsidR="004C5A61">
        <w:rPr>
          <w:sz w:val="20"/>
        </w:rPr>
        <w:t xml:space="preserve"> (5.2.1.7b.2.2</w:t>
      </w:r>
      <w:r>
        <w:rPr>
          <w:sz w:val="20"/>
        </w:rPr>
        <w:t xml:space="preserve">). </w:t>
      </w:r>
    </w:p>
    <w:p w:rsidR="007C28CB" w:rsidRDefault="007C28CB" w:rsidP="007C28CB">
      <w:pPr>
        <w:rPr>
          <w:sz w:val="20"/>
        </w:rPr>
      </w:pPr>
    </w:p>
    <w:p w:rsidR="007C28CB" w:rsidRDefault="007C28CB" w:rsidP="007C28CB">
      <w:pPr>
        <w:rPr>
          <w:sz w:val="20"/>
        </w:rPr>
      </w:pPr>
      <w:r>
        <w:rPr>
          <w:sz w:val="20"/>
        </w:rPr>
        <w:t xml:space="preserve">To facilitate description of the mapping from conceptual objects to sequences of information elements </w:t>
      </w:r>
      <w:r w:rsidR="004C5A61">
        <w:rPr>
          <w:sz w:val="20"/>
        </w:rPr>
        <w:t>(5.2.1.7b.2.1</w:t>
      </w:r>
      <w:r>
        <w:rPr>
          <w:sz w:val="20"/>
        </w:rPr>
        <w:t>) and the corresponding inverse mapping</w:t>
      </w:r>
      <w:r w:rsidR="004C5A61">
        <w:rPr>
          <w:sz w:val="20"/>
        </w:rPr>
        <w:t xml:space="preserve"> (5.2.1.7b.2.2</w:t>
      </w:r>
      <w:r>
        <w:rPr>
          <w:sz w:val="20"/>
        </w:rPr>
        <w:t xml:space="preserve">), conceptual objects are described as “generalized information elements”, as follows. </w:t>
      </w:r>
    </w:p>
    <w:p w:rsidR="007C28CB" w:rsidRDefault="007C28CB" w:rsidP="007C28CB">
      <w:pPr>
        <w:rPr>
          <w:sz w:val="20"/>
        </w:rPr>
      </w:pPr>
    </w:p>
    <w:p w:rsidR="007C28CB" w:rsidRPr="0086733E" w:rsidRDefault="007C28CB" w:rsidP="007C28CB">
      <w:pPr>
        <w:rPr>
          <w:sz w:val="20"/>
        </w:rPr>
      </w:pPr>
      <w:r>
        <w:rPr>
          <w:sz w:val="20"/>
        </w:rPr>
        <w:t>Conceptual objects are defined</w:t>
      </w:r>
      <w:r w:rsidRPr="00AC7BB5">
        <w:rPr>
          <w:sz w:val="20"/>
        </w:rPr>
        <w:t xml:space="preserve"> to have a common g</w:t>
      </w:r>
      <w:r>
        <w:rPr>
          <w:sz w:val="20"/>
        </w:rPr>
        <w:t>eneral format consisting of a 1-octet Conceptual Object Class field and a variable-length object class</w:t>
      </w:r>
      <w:r w:rsidRPr="00AC7BB5">
        <w:rPr>
          <w:sz w:val="20"/>
        </w:rPr>
        <w:t>-specific Information field. Each element is assigned a unique</w:t>
      </w:r>
      <w:r>
        <w:rPr>
          <w:sz w:val="20"/>
        </w:rPr>
        <w:t xml:space="preserve"> Object</w:t>
      </w:r>
      <w:r w:rsidRPr="00AC7BB5">
        <w:rPr>
          <w:sz w:val="20"/>
        </w:rPr>
        <w:t xml:space="preserve"> </w:t>
      </w:r>
      <w:r>
        <w:rPr>
          <w:sz w:val="20"/>
        </w:rPr>
        <w:t xml:space="preserve">class </w:t>
      </w:r>
      <w:r w:rsidRPr="00AC7BB5">
        <w:rPr>
          <w:sz w:val="20"/>
        </w:rPr>
        <w:t xml:space="preserve">ID as defined in this standard. </w:t>
      </w:r>
      <w:r>
        <w:rPr>
          <w:sz w:val="20"/>
        </w:rPr>
        <w:t>The format of the Conc</w:t>
      </w:r>
      <w:r w:rsidR="004C5A61">
        <w:rPr>
          <w:sz w:val="20"/>
        </w:rPr>
        <w:t>eptual Object is shown in Fig. 5.2.1.7b.1</w:t>
      </w:r>
      <w:r>
        <w:rPr>
          <w:sz w:val="20"/>
        </w:rPr>
        <w:t>.</w:t>
      </w:r>
    </w:p>
    <w:p w:rsidR="007C28CB" w:rsidRDefault="007C28CB" w:rsidP="007C28CB">
      <w:pPr>
        <w:rPr>
          <w:sz w:val="20"/>
        </w:rPr>
      </w:pPr>
    </w:p>
    <w:tbl>
      <w:tblPr>
        <w:tblW w:w="10236" w:type="dxa"/>
        <w:jc w:val="center"/>
        <w:tblInd w:w="1418" w:type="dxa"/>
        <w:tblLayout w:type="fixed"/>
        <w:tblCellMar>
          <w:top w:w="120" w:type="dxa"/>
          <w:left w:w="120" w:type="dxa"/>
          <w:bottom w:w="60" w:type="dxa"/>
          <w:right w:w="120" w:type="dxa"/>
        </w:tblCellMar>
        <w:tblLook w:val="04A0"/>
      </w:tblPr>
      <w:tblGrid>
        <w:gridCol w:w="1161"/>
        <w:gridCol w:w="3025"/>
        <w:gridCol w:w="122"/>
        <w:gridCol w:w="2903"/>
        <w:gridCol w:w="3025"/>
      </w:tblGrid>
      <w:tr w:rsidR="007C28CB" w:rsidRPr="00AC7BB5" w:rsidTr="004C5A61">
        <w:trPr>
          <w:gridAfter w:val="1"/>
          <w:wAfter w:w="3025" w:type="dxa"/>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7C28CB" w:rsidRPr="00AC7BB5" w:rsidRDefault="007C28CB" w:rsidP="00A23028">
            <w:pPr>
              <w:pStyle w:val="figuretext"/>
              <w:rPr>
                <w:rFonts w:ascii="Times New Roman" w:hAnsi="Times New Roman" w:cs="Times New Roman"/>
                <w:sz w:val="20"/>
                <w:szCs w:val="20"/>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7C28CB" w:rsidRPr="00AC7BB5" w:rsidRDefault="007C28CB" w:rsidP="00A23028">
            <w:pPr>
              <w:pStyle w:val="figuretext"/>
              <w:rPr>
                <w:rFonts w:ascii="Times New Roman" w:hAnsi="Times New Roman" w:cs="Times New Roman"/>
                <w:sz w:val="20"/>
                <w:szCs w:val="20"/>
                <w:lang w:val="en-GB"/>
              </w:rPr>
            </w:pPr>
            <w:r>
              <w:rPr>
                <w:rFonts w:ascii="Times New Roman" w:hAnsi="Times New Roman" w:cs="Times New Roman"/>
                <w:w w:val="100"/>
                <w:sz w:val="20"/>
                <w:szCs w:val="20"/>
                <w:lang w:val="en-GB"/>
              </w:rPr>
              <w:t xml:space="preserve">Conceptual </w:t>
            </w:r>
            <w:r w:rsidRPr="00AC7BB5">
              <w:rPr>
                <w:rFonts w:ascii="Times New Roman" w:hAnsi="Times New Roman" w:cs="Times New Roman"/>
                <w:w w:val="100"/>
                <w:sz w:val="20"/>
                <w:szCs w:val="20"/>
                <w:lang w:val="en-GB"/>
              </w:rPr>
              <w:t>Object Class</w:t>
            </w:r>
            <w:r>
              <w:rPr>
                <w:rFonts w:ascii="Times New Roman" w:hAnsi="Times New Roman" w:cs="Times New Roman"/>
                <w:w w:val="100"/>
                <w:sz w:val="20"/>
                <w:szCs w:val="20"/>
                <w:lang w:val="en-GB"/>
              </w:rPr>
              <w:t xml:space="preserve"> Id</w:t>
            </w:r>
          </w:p>
        </w:tc>
        <w:tc>
          <w:tcPr>
            <w:tcW w:w="3025" w:type="dxa"/>
            <w:gridSpan w:val="2"/>
            <w:tcBorders>
              <w:top w:val="single" w:sz="12" w:space="0" w:color="000000"/>
              <w:left w:val="single" w:sz="12" w:space="0" w:color="000000"/>
              <w:bottom w:val="single" w:sz="12" w:space="0" w:color="000000"/>
              <w:right w:val="single" w:sz="12" w:space="0" w:color="000000"/>
            </w:tcBorders>
            <w:vAlign w:val="center"/>
          </w:tcPr>
          <w:p w:rsidR="007C28CB" w:rsidRPr="00AC7BB5" w:rsidRDefault="007C28CB" w:rsidP="00A23028">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 xml:space="preserve">Conceptual </w:t>
            </w:r>
            <w:r w:rsidRPr="00AC7BB5">
              <w:rPr>
                <w:rFonts w:ascii="Times New Roman" w:hAnsi="Times New Roman" w:cs="Times New Roman"/>
                <w:w w:val="100"/>
                <w:sz w:val="20"/>
                <w:szCs w:val="20"/>
                <w:lang w:val="en-GB"/>
              </w:rPr>
              <w:t>Object Value</w:t>
            </w:r>
          </w:p>
        </w:tc>
      </w:tr>
      <w:tr w:rsidR="007C28CB" w:rsidRPr="00AC7BB5" w:rsidTr="004C5A61">
        <w:trPr>
          <w:gridAfter w:val="1"/>
          <w:wAfter w:w="3025" w:type="dxa"/>
          <w:trHeight w:val="414"/>
          <w:jc w:val="center"/>
        </w:trPr>
        <w:tc>
          <w:tcPr>
            <w:tcW w:w="1161" w:type="dxa"/>
            <w:tcMar>
              <w:top w:w="160" w:type="dxa"/>
              <w:left w:w="120" w:type="dxa"/>
              <w:bottom w:w="100" w:type="dxa"/>
              <w:right w:w="120" w:type="dxa"/>
            </w:tcMar>
            <w:vAlign w:val="center"/>
            <w:hideMark/>
          </w:tcPr>
          <w:p w:rsidR="007C28CB" w:rsidRPr="00AC7BB5" w:rsidRDefault="007C28CB" w:rsidP="00A23028">
            <w:pPr>
              <w:pStyle w:val="figuretext"/>
              <w:rPr>
                <w:rFonts w:ascii="Times New Roman" w:hAnsi="Times New Roman" w:cs="Times New Roman"/>
                <w:sz w:val="20"/>
                <w:szCs w:val="20"/>
                <w:lang w:val="en-GB"/>
              </w:rPr>
            </w:pPr>
            <w:r w:rsidRPr="00AC7BB5">
              <w:rPr>
                <w:rFonts w:ascii="Times New Roman" w:hAnsi="Times New Roman" w:cs="Times New Roman"/>
                <w:w w:val="100"/>
                <w:sz w:val="20"/>
                <w:szCs w:val="20"/>
                <w:lang w:val="en-GB"/>
              </w:rPr>
              <w:t>Octets:</w:t>
            </w:r>
          </w:p>
        </w:tc>
        <w:tc>
          <w:tcPr>
            <w:tcW w:w="3025" w:type="dxa"/>
            <w:tcMar>
              <w:top w:w="160" w:type="dxa"/>
              <w:left w:w="120" w:type="dxa"/>
              <w:bottom w:w="100" w:type="dxa"/>
              <w:right w:w="120" w:type="dxa"/>
            </w:tcMar>
            <w:vAlign w:val="center"/>
            <w:hideMark/>
          </w:tcPr>
          <w:p w:rsidR="007C28CB" w:rsidRPr="00AC7BB5" w:rsidRDefault="007C28CB" w:rsidP="00A23028">
            <w:pPr>
              <w:pStyle w:val="figuretext"/>
              <w:rPr>
                <w:rFonts w:ascii="Times New Roman" w:hAnsi="Times New Roman" w:cs="Times New Roman"/>
                <w:sz w:val="20"/>
                <w:szCs w:val="20"/>
                <w:lang w:val="en-GB"/>
              </w:rPr>
            </w:pPr>
            <w:r w:rsidRPr="00AC7BB5">
              <w:rPr>
                <w:rFonts w:ascii="Times New Roman" w:hAnsi="Times New Roman" w:cs="Times New Roman"/>
                <w:w w:val="100"/>
                <w:sz w:val="20"/>
                <w:szCs w:val="20"/>
                <w:lang w:val="en-GB"/>
              </w:rPr>
              <w:t>1</w:t>
            </w:r>
          </w:p>
        </w:tc>
        <w:tc>
          <w:tcPr>
            <w:tcW w:w="3025" w:type="dxa"/>
            <w:gridSpan w:val="2"/>
            <w:vAlign w:val="center"/>
          </w:tcPr>
          <w:p w:rsidR="007C28CB" w:rsidRPr="00AC7BB5" w:rsidRDefault="007C28CB" w:rsidP="00A23028">
            <w:pPr>
              <w:pStyle w:val="figuretext"/>
              <w:rPr>
                <w:rFonts w:ascii="Times New Roman" w:hAnsi="Times New Roman" w:cs="Times New Roman"/>
                <w:w w:val="100"/>
                <w:sz w:val="20"/>
                <w:szCs w:val="20"/>
                <w:lang w:val="en-GB"/>
              </w:rPr>
            </w:pPr>
            <w:r w:rsidRPr="00AC7BB5">
              <w:rPr>
                <w:rFonts w:ascii="Times New Roman" w:hAnsi="Times New Roman" w:cs="Times New Roman"/>
                <w:w w:val="100"/>
                <w:sz w:val="20"/>
                <w:szCs w:val="20"/>
                <w:lang w:val="en-GB"/>
              </w:rPr>
              <w:t>Variable</w:t>
            </w:r>
          </w:p>
        </w:tc>
      </w:tr>
      <w:tr w:rsidR="007C28CB" w:rsidRPr="00B4790A" w:rsidTr="004C5A61">
        <w:trPr>
          <w:trHeight w:val="745"/>
          <w:jc w:val="center"/>
        </w:trPr>
        <w:tc>
          <w:tcPr>
            <w:tcW w:w="4308" w:type="dxa"/>
            <w:gridSpan w:val="3"/>
            <w:vAlign w:val="center"/>
            <w:hideMark/>
          </w:tcPr>
          <w:p w:rsidR="007C28CB" w:rsidRPr="00B4790A" w:rsidRDefault="004C5A61" w:rsidP="00A23028">
            <w:pPr>
              <w:jc w:val="center"/>
              <w:rPr>
                <w:b/>
              </w:rPr>
            </w:pPr>
            <w:r>
              <w:rPr>
                <w:rFonts w:ascii="Arial,Bold" w:hAnsi="Arial,Bold" w:cs="Arial,Bold"/>
                <w:b/>
                <w:bCs/>
                <w:sz w:val="20"/>
              </w:rPr>
              <w:t>Figure 5.2.1.7b.1</w:t>
            </w:r>
            <w:r w:rsidR="007C28CB" w:rsidRPr="00B4790A">
              <w:rPr>
                <w:rFonts w:ascii="Arial,Bold" w:hAnsi="Arial,Bold" w:cs="Arial,Bold"/>
                <w:b/>
                <w:bCs/>
                <w:sz w:val="20"/>
              </w:rPr>
              <w:t xml:space="preserve"> – Conceptual object</w:t>
            </w:r>
            <w:r w:rsidR="007C28CB" w:rsidRPr="00B4790A">
              <w:rPr>
                <w:b/>
              </w:rPr>
              <w:t xml:space="preserve"> format</w:t>
            </w:r>
            <w:r w:rsidR="007C28CB" w:rsidRPr="00B4790A">
              <w:rPr>
                <w:b/>
                <w:vanish/>
              </w:rPr>
              <w:t>(11s)</w:t>
            </w:r>
          </w:p>
        </w:tc>
        <w:tc>
          <w:tcPr>
            <w:tcW w:w="2903" w:type="dxa"/>
          </w:tcPr>
          <w:p w:rsidR="007C28CB" w:rsidRPr="00B4790A" w:rsidRDefault="007C28CB" w:rsidP="00A23028">
            <w:pPr>
              <w:pStyle w:val="FigTitle"/>
              <w:rPr>
                <w:rFonts w:ascii="Times New Roman" w:hAnsi="Times New Roman" w:cs="Times New Roman"/>
                <w:w w:val="100"/>
                <w:lang w:val="en-GB"/>
              </w:rPr>
            </w:pPr>
          </w:p>
        </w:tc>
        <w:tc>
          <w:tcPr>
            <w:tcW w:w="3025" w:type="dxa"/>
            <w:vAlign w:val="center"/>
          </w:tcPr>
          <w:p w:rsidR="007C28CB" w:rsidRPr="00B4790A" w:rsidRDefault="007C28CB" w:rsidP="00A23028">
            <w:pPr>
              <w:pStyle w:val="FigTitle"/>
              <w:rPr>
                <w:rFonts w:ascii="Times New Roman" w:hAnsi="Times New Roman" w:cs="Times New Roman"/>
                <w:w w:val="100"/>
                <w:lang w:val="en-GB"/>
              </w:rPr>
            </w:pPr>
          </w:p>
        </w:tc>
      </w:tr>
    </w:tbl>
    <w:p w:rsidR="007C28CB" w:rsidRDefault="007C28CB" w:rsidP="007C28CB">
      <w:pPr>
        <w:rPr>
          <w:sz w:val="20"/>
        </w:rPr>
      </w:pPr>
      <w:r>
        <w:rPr>
          <w:sz w:val="20"/>
        </w:rPr>
        <w:t>The set of valid object classes is defined in Table 8.4.1a-2.</w:t>
      </w:r>
    </w:p>
    <w:p w:rsidR="007C28CB" w:rsidRDefault="007C28CB" w:rsidP="007C28CB">
      <w:pPr>
        <w:rPr>
          <w:sz w:val="20"/>
        </w:rPr>
      </w:pPr>
      <w:r>
        <w:rPr>
          <w:sz w:val="20"/>
        </w:rPr>
        <w:t xml:space="preserve">  </w:t>
      </w:r>
    </w:p>
    <w:p w:rsidR="007C28CB" w:rsidRPr="00B4790A" w:rsidRDefault="007C28CB" w:rsidP="007C28CB">
      <w:pPr>
        <w:rPr>
          <w:b/>
          <w:i/>
          <w:sz w:val="20"/>
        </w:rPr>
      </w:pPr>
      <w:r w:rsidRPr="00B4790A">
        <w:rPr>
          <w:b/>
          <w:i/>
          <w:sz w:val="20"/>
        </w:rPr>
        <w:t>Edit</w:t>
      </w:r>
      <w:r>
        <w:rPr>
          <w:b/>
          <w:i/>
          <w:sz w:val="20"/>
        </w:rPr>
        <w:t>or note: Conceptual Object Classes 1-3 are based on TLV objects currently defined in</w:t>
      </w:r>
      <w:r w:rsidRPr="00B4790A">
        <w:rPr>
          <w:b/>
          <w:i/>
          <w:sz w:val="20"/>
        </w:rPr>
        <w:t xml:space="preserve"> </w:t>
      </w:r>
      <w:r w:rsidR="004C5A61">
        <w:rPr>
          <w:b/>
          <w:i/>
          <w:sz w:val="20"/>
        </w:rPr>
        <w:t>P802.15.9/D0.1</w:t>
      </w:r>
      <w:r>
        <w:rPr>
          <w:b/>
          <w:i/>
          <w:sz w:val="20"/>
        </w:rPr>
        <w:t xml:space="preserve"> (</w:t>
      </w:r>
      <w:r w:rsidRPr="00B4790A">
        <w:rPr>
          <w:b/>
          <w:i/>
          <w:sz w:val="20"/>
        </w:rPr>
        <w:t>T</w:t>
      </w:r>
      <w:r w:rsidR="004C5A61">
        <w:rPr>
          <w:b/>
          <w:i/>
          <w:sz w:val="20"/>
        </w:rPr>
        <w:t>able 1,</w:t>
      </w:r>
      <w:r w:rsidRPr="00B4790A">
        <w:rPr>
          <w:b/>
          <w:i/>
          <w:sz w:val="20"/>
        </w:rPr>
        <w:t xml:space="preserve"> p. 6). </w:t>
      </w:r>
    </w:p>
    <w:p w:rsidR="007C28CB" w:rsidRDefault="007C28CB" w:rsidP="007C28CB">
      <w:pPr>
        <w:rPr>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808080"/>
        </w:tblBorders>
        <w:tblLook w:val="00BF"/>
      </w:tblPr>
      <w:tblGrid>
        <w:gridCol w:w="1695"/>
        <w:gridCol w:w="2193"/>
        <w:gridCol w:w="5130"/>
      </w:tblGrid>
      <w:tr w:rsidR="007C28CB" w:rsidRPr="00B70530" w:rsidTr="00A23028">
        <w:tc>
          <w:tcPr>
            <w:tcW w:w="1695" w:type="dxa"/>
          </w:tcPr>
          <w:p w:rsidR="007C28CB" w:rsidRPr="00B70530" w:rsidRDefault="007C28CB" w:rsidP="00A23028">
            <w:pPr>
              <w:jc w:val="center"/>
              <w:rPr>
                <w:rFonts w:eastAsia="Century"/>
                <w:b/>
                <w:sz w:val="20"/>
              </w:rPr>
            </w:pPr>
            <w:r w:rsidRPr="00B70530">
              <w:rPr>
                <w:rFonts w:eastAsia="Century"/>
                <w:b/>
                <w:sz w:val="20"/>
              </w:rPr>
              <w:t>Conceptual Object</w:t>
            </w:r>
          </w:p>
        </w:tc>
        <w:tc>
          <w:tcPr>
            <w:tcW w:w="2193" w:type="dxa"/>
          </w:tcPr>
          <w:p w:rsidR="007C28CB" w:rsidRPr="00B70530" w:rsidRDefault="007C28CB" w:rsidP="00A23028">
            <w:pPr>
              <w:jc w:val="center"/>
              <w:rPr>
                <w:rFonts w:eastAsia="Century"/>
                <w:b/>
                <w:sz w:val="20"/>
              </w:rPr>
            </w:pPr>
            <w:r>
              <w:rPr>
                <w:rFonts w:eastAsia="Century"/>
                <w:b/>
                <w:sz w:val="20"/>
              </w:rPr>
              <w:t xml:space="preserve">Conceptual </w:t>
            </w:r>
            <w:r w:rsidRPr="00B70530">
              <w:rPr>
                <w:rFonts w:eastAsia="Century"/>
                <w:b/>
                <w:sz w:val="20"/>
              </w:rPr>
              <w:t xml:space="preserve">Object </w:t>
            </w:r>
            <w:r>
              <w:rPr>
                <w:rFonts w:eastAsia="Century"/>
                <w:b/>
                <w:sz w:val="20"/>
              </w:rPr>
              <w:t>Class Id</w:t>
            </w:r>
          </w:p>
        </w:tc>
        <w:tc>
          <w:tcPr>
            <w:tcW w:w="5130" w:type="dxa"/>
          </w:tcPr>
          <w:p w:rsidR="007C28CB" w:rsidRPr="00B70530" w:rsidRDefault="007C28CB" w:rsidP="00A23028">
            <w:pPr>
              <w:jc w:val="center"/>
              <w:rPr>
                <w:rFonts w:eastAsia="Century"/>
                <w:b/>
                <w:sz w:val="20"/>
              </w:rPr>
            </w:pPr>
            <w:r w:rsidRPr="00B70530">
              <w:rPr>
                <w:rFonts w:eastAsia="Century"/>
                <w:b/>
                <w:sz w:val="20"/>
              </w:rPr>
              <w:t>Description</w:t>
            </w:r>
          </w:p>
        </w:tc>
      </w:tr>
      <w:tr w:rsidR="007C28CB" w:rsidRPr="00B70530" w:rsidTr="00A23028">
        <w:tc>
          <w:tcPr>
            <w:tcW w:w="1695" w:type="dxa"/>
          </w:tcPr>
          <w:p w:rsidR="007C28CB" w:rsidRPr="00B70530" w:rsidRDefault="007C28CB" w:rsidP="00A23028">
            <w:pPr>
              <w:rPr>
                <w:rFonts w:eastAsia="Century"/>
                <w:sz w:val="20"/>
              </w:rPr>
            </w:pPr>
            <w:r w:rsidRPr="00B70530">
              <w:rPr>
                <w:rFonts w:eastAsia="Century"/>
                <w:sz w:val="20"/>
              </w:rPr>
              <w:t>Higher-Layer</w:t>
            </w:r>
          </w:p>
        </w:tc>
        <w:tc>
          <w:tcPr>
            <w:tcW w:w="2193" w:type="dxa"/>
          </w:tcPr>
          <w:p w:rsidR="007C28CB" w:rsidRPr="00B70530" w:rsidRDefault="007C28CB" w:rsidP="00A23028">
            <w:pPr>
              <w:jc w:val="center"/>
              <w:rPr>
                <w:rFonts w:eastAsia="Century"/>
                <w:sz w:val="20"/>
              </w:rPr>
            </w:pPr>
            <w:r w:rsidRPr="00B70530">
              <w:rPr>
                <w:rFonts w:eastAsia="Century"/>
                <w:sz w:val="20"/>
              </w:rPr>
              <w:t>0</w:t>
            </w:r>
          </w:p>
        </w:tc>
        <w:tc>
          <w:tcPr>
            <w:tcW w:w="5130" w:type="dxa"/>
          </w:tcPr>
          <w:p w:rsidR="007C28CB" w:rsidRPr="00B70530" w:rsidRDefault="007C28CB" w:rsidP="00A23028">
            <w:pPr>
              <w:rPr>
                <w:rFonts w:eastAsia="Century"/>
                <w:sz w:val="20"/>
              </w:rPr>
            </w:pPr>
          </w:p>
        </w:tc>
      </w:tr>
      <w:tr w:rsidR="007C28CB" w:rsidRPr="00B70530" w:rsidTr="00A23028">
        <w:tc>
          <w:tcPr>
            <w:tcW w:w="1695" w:type="dxa"/>
          </w:tcPr>
          <w:p w:rsidR="007C28CB" w:rsidRPr="00B70530" w:rsidRDefault="007C28CB" w:rsidP="00A23028">
            <w:pPr>
              <w:rPr>
                <w:rFonts w:eastAsia="Century"/>
                <w:sz w:val="20"/>
              </w:rPr>
            </w:pPr>
          </w:p>
        </w:tc>
        <w:tc>
          <w:tcPr>
            <w:tcW w:w="2193" w:type="dxa"/>
          </w:tcPr>
          <w:p w:rsidR="007C28CB" w:rsidRPr="00B70530" w:rsidRDefault="004C5A61" w:rsidP="00A23028">
            <w:pPr>
              <w:jc w:val="center"/>
              <w:rPr>
                <w:rFonts w:eastAsia="Century"/>
                <w:sz w:val="20"/>
              </w:rPr>
            </w:pPr>
            <w:r>
              <w:rPr>
                <w:rFonts w:eastAsia="Century"/>
                <w:sz w:val="20"/>
              </w:rPr>
              <w:t>1</w:t>
            </w:r>
            <w:r w:rsidR="007C28CB" w:rsidRPr="00B70530">
              <w:rPr>
                <w:rFonts w:eastAsia="Century"/>
                <w:sz w:val="20"/>
              </w:rPr>
              <w:t>-255</w:t>
            </w:r>
          </w:p>
        </w:tc>
        <w:tc>
          <w:tcPr>
            <w:tcW w:w="5130" w:type="dxa"/>
          </w:tcPr>
          <w:p w:rsidR="007C28CB" w:rsidRPr="00B70530" w:rsidRDefault="007C28CB" w:rsidP="00A23028">
            <w:pPr>
              <w:rPr>
                <w:rFonts w:eastAsia="Century"/>
                <w:sz w:val="20"/>
              </w:rPr>
            </w:pPr>
            <w:r w:rsidRPr="00B70530">
              <w:rPr>
                <w:rFonts w:eastAsia="Century"/>
                <w:sz w:val="20"/>
              </w:rPr>
              <w:t>Reserved</w:t>
            </w:r>
          </w:p>
        </w:tc>
      </w:tr>
    </w:tbl>
    <w:p w:rsidR="007C28CB" w:rsidRDefault="007C28CB" w:rsidP="007C28CB">
      <w:pPr>
        <w:rPr>
          <w:b/>
          <w:sz w:val="20"/>
        </w:rPr>
      </w:pPr>
    </w:p>
    <w:p w:rsidR="007C28CB" w:rsidRPr="00C050E1" w:rsidRDefault="007C28CB" w:rsidP="007C28CB">
      <w:pPr>
        <w:rPr>
          <w:b/>
          <w:sz w:val="20"/>
        </w:rPr>
      </w:pPr>
    </w:p>
    <w:p w:rsidR="007C28CB" w:rsidRDefault="004C5A61" w:rsidP="007C28CB">
      <w:pPr>
        <w:autoSpaceDE w:val="0"/>
        <w:autoSpaceDN w:val="0"/>
        <w:adjustRightInd w:val="0"/>
        <w:rPr>
          <w:rFonts w:ascii="Arial" w:hAnsi="Arial" w:cs="Arial"/>
          <w:b/>
          <w:bCs/>
          <w:sz w:val="20"/>
        </w:rPr>
      </w:pPr>
      <w:r>
        <w:rPr>
          <w:rFonts w:ascii="Arial" w:hAnsi="Arial" w:cs="Arial"/>
          <w:b/>
          <w:bCs/>
          <w:sz w:val="20"/>
        </w:rPr>
        <w:t>5.2.1.7b</w:t>
      </w:r>
      <w:r w:rsidR="007C28CB">
        <w:rPr>
          <w:rFonts w:ascii="Arial" w:hAnsi="Arial" w:cs="Arial"/>
          <w:b/>
          <w:bCs/>
          <w:sz w:val="20"/>
        </w:rPr>
        <w:t>.2 Conversion scheme</w:t>
      </w:r>
    </w:p>
    <w:p w:rsidR="007C28CB" w:rsidRDefault="007C28CB" w:rsidP="007C28CB">
      <w:pPr>
        <w:autoSpaceDE w:val="0"/>
        <w:autoSpaceDN w:val="0"/>
        <w:adjustRightInd w:val="0"/>
        <w:rPr>
          <w:bCs/>
          <w:sz w:val="20"/>
        </w:rPr>
      </w:pPr>
    </w:p>
    <w:p w:rsidR="007C28CB" w:rsidRPr="0086733E" w:rsidRDefault="004C5A61" w:rsidP="007C28CB">
      <w:pPr>
        <w:autoSpaceDE w:val="0"/>
        <w:autoSpaceDN w:val="0"/>
        <w:adjustRightInd w:val="0"/>
        <w:rPr>
          <w:rFonts w:ascii="Arial" w:hAnsi="Arial" w:cs="Arial"/>
          <w:b/>
          <w:bCs/>
          <w:sz w:val="20"/>
        </w:rPr>
      </w:pPr>
      <w:r>
        <w:rPr>
          <w:rFonts w:ascii="Arial" w:hAnsi="Arial" w:cs="Arial"/>
          <w:b/>
          <w:bCs/>
          <w:sz w:val="20"/>
        </w:rPr>
        <w:t>5.2.1.7b.2</w:t>
      </w:r>
      <w:r w:rsidR="007C28CB">
        <w:rPr>
          <w:rFonts w:ascii="Arial" w:hAnsi="Arial" w:cs="Arial"/>
          <w:b/>
          <w:bCs/>
          <w:sz w:val="20"/>
        </w:rPr>
        <w:t>.1 Representation of Conceptual Objects</w:t>
      </w:r>
    </w:p>
    <w:p w:rsidR="007C28CB" w:rsidRDefault="007C28CB" w:rsidP="007C28CB">
      <w:pPr>
        <w:autoSpaceDE w:val="0"/>
        <w:autoSpaceDN w:val="0"/>
        <w:adjustRightInd w:val="0"/>
        <w:rPr>
          <w:bCs/>
          <w:sz w:val="20"/>
        </w:rPr>
      </w:pPr>
      <w:r>
        <w:rPr>
          <w:bCs/>
          <w:sz w:val="20"/>
        </w:rPr>
        <w:t xml:space="preserve">This involves the transformation of the Conceptual Object field to an ordered sequence of </w:t>
      </w:r>
      <w:r w:rsidR="004C5A61">
        <w:rPr>
          <w:bCs/>
          <w:sz w:val="20"/>
        </w:rPr>
        <w:t xml:space="preserve">payload </w:t>
      </w:r>
      <w:r>
        <w:rPr>
          <w:bCs/>
          <w:sz w:val="20"/>
        </w:rPr>
        <w:t>information element</w:t>
      </w:r>
      <w:r w:rsidR="004C5A61">
        <w:rPr>
          <w:bCs/>
          <w:sz w:val="20"/>
        </w:rPr>
        <w:t>s</w:t>
      </w:r>
      <w:r>
        <w:rPr>
          <w:bCs/>
          <w:sz w:val="20"/>
        </w:rPr>
        <w:t>, according to the following stipulations:</w:t>
      </w:r>
    </w:p>
    <w:p w:rsidR="007C28CB" w:rsidRDefault="00667F08" w:rsidP="007C28CB">
      <w:pPr>
        <w:pStyle w:val="ListParagraph"/>
        <w:numPr>
          <w:ilvl w:val="0"/>
          <w:numId w:val="6"/>
        </w:numPr>
        <w:suppressAutoHyphens w:val="0"/>
        <w:autoSpaceDE w:val="0"/>
        <w:autoSpaceDN w:val="0"/>
        <w:adjustRightInd w:val="0"/>
        <w:contextualSpacing/>
        <w:rPr>
          <w:bCs/>
          <w:sz w:val="20"/>
        </w:rPr>
      </w:pPr>
      <w:r>
        <w:rPr>
          <w:bCs/>
          <w:sz w:val="20"/>
        </w:rPr>
        <w:t xml:space="preserve">Each </w:t>
      </w:r>
      <w:r w:rsidR="007C28CB">
        <w:rPr>
          <w:bCs/>
          <w:sz w:val="20"/>
        </w:rPr>
        <w:t>information element shall be set to the “</w:t>
      </w:r>
      <w:r>
        <w:rPr>
          <w:bCs/>
          <w:sz w:val="20"/>
        </w:rPr>
        <w:t>Encapsulated Service Data Unit IE”, as specified in clause 5.2.4.4</w:t>
      </w:r>
      <w:r w:rsidR="007C28CB">
        <w:rPr>
          <w:bCs/>
          <w:sz w:val="20"/>
        </w:rPr>
        <w:t>;</w:t>
      </w:r>
    </w:p>
    <w:p w:rsidR="007C28CB" w:rsidRDefault="007C28CB" w:rsidP="007C28CB">
      <w:pPr>
        <w:pStyle w:val="ListParagraph"/>
        <w:numPr>
          <w:ilvl w:val="0"/>
          <w:numId w:val="6"/>
        </w:numPr>
        <w:suppressAutoHyphens w:val="0"/>
        <w:autoSpaceDE w:val="0"/>
        <w:autoSpaceDN w:val="0"/>
        <w:adjustRightInd w:val="0"/>
        <w:contextualSpacing/>
        <w:rPr>
          <w:bCs/>
          <w:sz w:val="20"/>
        </w:rPr>
      </w:pPr>
      <w:r>
        <w:rPr>
          <w:bCs/>
          <w:sz w:val="20"/>
        </w:rPr>
        <w:t>The right-concat</w:t>
      </w:r>
      <w:r w:rsidR="00667F08">
        <w:rPr>
          <w:bCs/>
          <w:sz w:val="20"/>
        </w:rPr>
        <w:t>enation of all IE content</w:t>
      </w:r>
      <w:r>
        <w:rPr>
          <w:bCs/>
          <w:sz w:val="20"/>
        </w:rPr>
        <w:t xml:space="preserve"> in the resulting ordered sequence of information elements shall be equal to the Conceptual Object</w:t>
      </w:r>
      <w:r w:rsidR="00667F08">
        <w:rPr>
          <w:bCs/>
          <w:sz w:val="20"/>
        </w:rPr>
        <w:t xml:space="preserve"> value</w:t>
      </w:r>
      <w:r>
        <w:rPr>
          <w:bCs/>
          <w:sz w:val="20"/>
        </w:rPr>
        <w:t>;</w:t>
      </w:r>
    </w:p>
    <w:p w:rsidR="007C28CB" w:rsidRDefault="00667F08" w:rsidP="007C28CB">
      <w:pPr>
        <w:pStyle w:val="ListParagraph"/>
        <w:numPr>
          <w:ilvl w:val="0"/>
          <w:numId w:val="6"/>
        </w:numPr>
        <w:suppressAutoHyphens w:val="0"/>
        <w:autoSpaceDE w:val="0"/>
        <w:autoSpaceDN w:val="0"/>
        <w:adjustRightInd w:val="0"/>
        <w:contextualSpacing/>
        <w:rPr>
          <w:bCs/>
          <w:sz w:val="20"/>
        </w:rPr>
      </w:pPr>
      <w:r>
        <w:rPr>
          <w:bCs/>
          <w:sz w:val="20"/>
        </w:rPr>
        <w:t xml:space="preserve">The rightmost (last) </w:t>
      </w:r>
      <w:r w:rsidR="007C28CB">
        <w:rPr>
          <w:bCs/>
          <w:sz w:val="20"/>
        </w:rPr>
        <w:t xml:space="preserve">information element in the resulting ordered sequence of </w:t>
      </w:r>
      <w:r>
        <w:rPr>
          <w:bCs/>
          <w:sz w:val="20"/>
        </w:rPr>
        <w:t xml:space="preserve">payload </w:t>
      </w:r>
      <w:r w:rsidR="007C28CB">
        <w:rPr>
          <w:bCs/>
          <w:sz w:val="20"/>
        </w:rPr>
        <w:t>information elements shall have its Length field set to zero.</w:t>
      </w:r>
    </w:p>
    <w:p w:rsidR="007C28CB" w:rsidRPr="00A6195D" w:rsidRDefault="007C28CB" w:rsidP="007C28CB">
      <w:pPr>
        <w:pStyle w:val="ListParagraph"/>
        <w:numPr>
          <w:ilvl w:val="0"/>
          <w:numId w:val="6"/>
        </w:numPr>
        <w:suppressAutoHyphens w:val="0"/>
        <w:autoSpaceDE w:val="0"/>
        <w:autoSpaceDN w:val="0"/>
        <w:adjustRightInd w:val="0"/>
        <w:contextualSpacing/>
        <w:rPr>
          <w:bCs/>
          <w:sz w:val="20"/>
        </w:rPr>
      </w:pPr>
      <w:r>
        <w:rPr>
          <w:bCs/>
          <w:sz w:val="20"/>
        </w:rPr>
        <w:t>The representation of an ordered sequence of Conceptual Object fields shall be defined as the ordered sequence of the outcomes of the transformation of each single Conceptual object in this sequence, using this original ordering.</w:t>
      </w:r>
    </w:p>
    <w:p w:rsidR="00A24421" w:rsidRPr="001D4150" w:rsidRDefault="007C28CB" w:rsidP="007C28CB">
      <w:pPr>
        <w:autoSpaceDE w:val="0"/>
        <w:autoSpaceDN w:val="0"/>
        <w:adjustRightInd w:val="0"/>
        <w:rPr>
          <w:bCs/>
          <w:sz w:val="20"/>
        </w:rPr>
      </w:pPr>
      <w:r>
        <w:rPr>
          <w:bCs/>
          <w:sz w:val="20"/>
        </w:rPr>
        <w:t>The procedure by which the partitioning of the Conceptual Object field over the Conceptual Object Segment information elements is determined is out of scope of this specification.</w:t>
      </w:r>
    </w:p>
    <w:p w:rsidR="007C28CB" w:rsidRPr="00316830" w:rsidRDefault="007C28CB" w:rsidP="007C28CB">
      <w:pPr>
        <w:autoSpaceDE w:val="0"/>
        <w:autoSpaceDN w:val="0"/>
        <w:adjustRightInd w:val="0"/>
        <w:rPr>
          <w:b/>
          <w:bCs/>
          <w:sz w:val="20"/>
        </w:rPr>
      </w:pPr>
    </w:p>
    <w:p w:rsidR="007C28CB" w:rsidRDefault="004C5A61" w:rsidP="007C28CB">
      <w:pPr>
        <w:autoSpaceDE w:val="0"/>
        <w:autoSpaceDN w:val="0"/>
        <w:adjustRightInd w:val="0"/>
        <w:rPr>
          <w:rFonts w:ascii="Arial" w:hAnsi="Arial" w:cs="Arial"/>
          <w:b/>
          <w:bCs/>
          <w:sz w:val="20"/>
        </w:rPr>
      </w:pPr>
      <w:r>
        <w:rPr>
          <w:rFonts w:ascii="Arial" w:hAnsi="Arial" w:cs="Arial"/>
          <w:b/>
          <w:bCs/>
          <w:sz w:val="20"/>
        </w:rPr>
        <w:t>5.2.1.7b.</w:t>
      </w:r>
      <w:r w:rsidR="007C28CB">
        <w:rPr>
          <w:rFonts w:ascii="Arial" w:hAnsi="Arial" w:cs="Arial"/>
          <w:b/>
          <w:bCs/>
          <w:sz w:val="20"/>
        </w:rPr>
        <w:t>2.2 the Inverse Mapping</w:t>
      </w:r>
    </w:p>
    <w:p w:rsidR="007C28CB" w:rsidRPr="00811875" w:rsidRDefault="007C28CB" w:rsidP="007C28CB">
      <w:pPr>
        <w:autoSpaceDE w:val="0"/>
        <w:autoSpaceDN w:val="0"/>
        <w:adjustRightInd w:val="0"/>
        <w:rPr>
          <w:bCs/>
          <w:sz w:val="20"/>
        </w:rPr>
      </w:pPr>
      <w:r w:rsidRPr="00811875">
        <w:rPr>
          <w:bCs/>
          <w:sz w:val="20"/>
        </w:rPr>
        <w:t>This involves the transformation of an ordered sequence of</w:t>
      </w:r>
      <w:r w:rsidR="00667F08">
        <w:rPr>
          <w:bCs/>
          <w:sz w:val="20"/>
        </w:rPr>
        <w:t xml:space="preserve"> payload</w:t>
      </w:r>
      <w:r w:rsidRPr="00811875">
        <w:rPr>
          <w:bCs/>
          <w:sz w:val="20"/>
        </w:rPr>
        <w:t xml:space="preserve"> information elements </w:t>
      </w:r>
      <w:r>
        <w:rPr>
          <w:bCs/>
          <w:sz w:val="20"/>
        </w:rPr>
        <w:t>to an ordered sequence of</w:t>
      </w:r>
      <w:r w:rsidRPr="00811875">
        <w:rPr>
          <w:bCs/>
          <w:sz w:val="20"/>
        </w:rPr>
        <w:t xml:space="preserve"> Conceptual Object field</w:t>
      </w:r>
      <w:r>
        <w:rPr>
          <w:bCs/>
          <w:sz w:val="20"/>
        </w:rPr>
        <w:t>s</w:t>
      </w:r>
      <w:r w:rsidRPr="00811875">
        <w:rPr>
          <w:bCs/>
          <w:sz w:val="20"/>
        </w:rPr>
        <w:t>, according to the following stipulations:</w:t>
      </w:r>
    </w:p>
    <w:p w:rsidR="007C28CB" w:rsidRDefault="007C28CB" w:rsidP="007C28CB">
      <w:pPr>
        <w:pStyle w:val="ListParagraph"/>
        <w:numPr>
          <w:ilvl w:val="0"/>
          <w:numId w:val="7"/>
        </w:numPr>
        <w:suppressAutoHyphens w:val="0"/>
        <w:autoSpaceDE w:val="0"/>
        <w:autoSpaceDN w:val="0"/>
        <w:adjustRightInd w:val="0"/>
        <w:contextualSpacing/>
        <w:rPr>
          <w:bCs/>
          <w:sz w:val="20"/>
        </w:rPr>
      </w:pPr>
      <w:r w:rsidRPr="00811875">
        <w:rPr>
          <w:bCs/>
          <w:sz w:val="20"/>
        </w:rPr>
        <w:t>The transformation shall fail if</w:t>
      </w:r>
      <w:r>
        <w:rPr>
          <w:bCs/>
          <w:sz w:val="20"/>
        </w:rPr>
        <w:t xml:space="preserve"> not all</w:t>
      </w:r>
      <w:r w:rsidRPr="00811875">
        <w:rPr>
          <w:bCs/>
          <w:sz w:val="20"/>
        </w:rPr>
        <w:t xml:space="preserve"> </w:t>
      </w:r>
      <w:r w:rsidR="00667F08">
        <w:rPr>
          <w:bCs/>
          <w:sz w:val="20"/>
        </w:rPr>
        <w:t xml:space="preserve">payload </w:t>
      </w:r>
      <w:r w:rsidRPr="00811875">
        <w:rPr>
          <w:bCs/>
          <w:sz w:val="20"/>
        </w:rPr>
        <w:t>information element</w:t>
      </w:r>
      <w:r w:rsidR="00667F08">
        <w:rPr>
          <w:bCs/>
          <w:sz w:val="20"/>
        </w:rPr>
        <w:t>s are “Encapsulated Service Data Unit IE”s, as specified in clause 5.2.4.4</w:t>
      </w:r>
      <w:r>
        <w:rPr>
          <w:bCs/>
          <w:sz w:val="20"/>
        </w:rPr>
        <w:t>;</w:t>
      </w:r>
    </w:p>
    <w:p w:rsidR="007C28CB" w:rsidRDefault="007C28CB" w:rsidP="007C28CB">
      <w:pPr>
        <w:pStyle w:val="ListParagraph"/>
        <w:numPr>
          <w:ilvl w:val="0"/>
          <w:numId w:val="7"/>
        </w:numPr>
        <w:suppressAutoHyphens w:val="0"/>
        <w:autoSpaceDE w:val="0"/>
        <w:autoSpaceDN w:val="0"/>
        <w:adjustRightInd w:val="0"/>
        <w:contextualSpacing/>
        <w:rPr>
          <w:bCs/>
          <w:sz w:val="20"/>
        </w:rPr>
      </w:pPr>
      <w:r>
        <w:rPr>
          <w:bCs/>
          <w:sz w:val="20"/>
        </w:rPr>
        <w:t>Th</w:t>
      </w:r>
      <w:r w:rsidRPr="00811875">
        <w:rPr>
          <w:bCs/>
          <w:sz w:val="20"/>
        </w:rPr>
        <w:t xml:space="preserve">e transformation shall partition the ordered sequence of </w:t>
      </w:r>
      <w:r w:rsidR="00667F08">
        <w:rPr>
          <w:bCs/>
          <w:sz w:val="20"/>
        </w:rPr>
        <w:t xml:space="preserve">payload </w:t>
      </w:r>
      <w:r w:rsidRPr="00811875">
        <w:rPr>
          <w:bCs/>
          <w:sz w:val="20"/>
        </w:rPr>
        <w:t xml:space="preserve">information elements into </w:t>
      </w:r>
      <w:r>
        <w:rPr>
          <w:bCs/>
          <w:sz w:val="20"/>
        </w:rPr>
        <w:t xml:space="preserve">ordered </w:t>
      </w:r>
      <w:r w:rsidRPr="00811875">
        <w:rPr>
          <w:bCs/>
          <w:sz w:val="20"/>
        </w:rPr>
        <w:t>subsequences of information elem</w:t>
      </w:r>
      <w:r>
        <w:rPr>
          <w:bCs/>
          <w:sz w:val="20"/>
        </w:rPr>
        <w:t>ents, where</w:t>
      </w:r>
      <w:r w:rsidRPr="00811875">
        <w:rPr>
          <w:bCs/>
          <w:sz w:val="20"/>
        </w:rPr>
        <w:t xml:space="preserve"> </w:t>
      </w:r>
      <w:r>
        <w:rPr>
          <w:bCs/>
          <w:sz w:val="20"/>
        </w:rPr>
        <w:t>t</w:t>
      </w:r>
      <w:r w:rsidRPr="00811875">
        <w:rPr>
          <w:bCs/>
          <w:sz w:val="20"/>
        </w:rPr>
        <w:t>he rightmost (last) information element</w:t>
      </w:r>
      <w:r>
        <w:rPr>
          <w:bCs/>
          <w:sz w:val="20"/>
        </w:rPr>
        <w:t xml:space="preserve"> in each such</w:t>
      </w:r>
      <w:r w:rsidRPr="00811875">
        <w:rPr>
          <w:bCs/>
          <w:sz w:val="20"/>
        </w:rPr>
        <w:t xml:space="preserve"> ordered </w:t>
      </w:r>
      <w:r>
        <w:rPr>
          <w:bCs/>
          <w:sz w:val="20"/>
        </w:rPr>
        <w:t>subsequence has a Length field set to zero and where each other information element in this subsequence has a Length field set to a nonzero value. If this partitioning is not possible, the transformation shall fail.</w:t>
      </w:r>
    </w:p>
    <w:p w:rsidR="007C28CB" w:rsidRPr="00F27D6D" w:rsidRDefault="007C28CB" w:rsidP="007C28CB">
      <w:pPr>
        <w:pStyle w:val="ListParagraph"/>
        <w:numPr>
          <w:ilvl w:val="0"/>
          <w:numId w:val="7"/>
        </w:numPr>
        <w:suppressAutoHyphens w:val="0"/>
        <w:autoSpaceDE w:val="0"/>
        <w:autoSpaceDN w:val="0"/>
        <w:adjustRightInd w:val="0"/>
        <w:contextualSpacing/>
        <w:rPr>
          <w:rFonts w:ascii="Arial" w:hAnsi="Arial" w:cs="Arial"/>
          <w:b/>
          <w:bCs/>
          <w:sz w:val="20"/>
        </w:rPr>
      </w:pPr>
      <w:r>
        <w:rPr>
          <w:bCs/>
          <w:sz w:val="20"/>
        </w:rPr>
        <w:t>The transformation shall convert e</w:t>
      </w:r>
      <w:r w:rsidRPr="00F27D6D">
        <w:rPr>
          <w:bCs/>
          <w:sz w:val="20"/>
        </w:rPr>
        <w:t xml:space="preserve">ach subsequence </w:t>
      </w:r>
      <w:r>
        <w:rPr>
          <w:bCs/>
          <w:sz w:val="20"/>
        </w:rPr>
        <w:t>in</w:t>
      </w:r>
      <w:r w:rsidRPr="00F27D6D">
        <w:rPr>
          <w:bCs/>
          <w:sz w:val="20"/>
        </w:rPr>
        <w:t>to a Conceptual Object field which is equal to the right-concate</w:t>
      </w:r>
      <w:r w:rsidR="00B71AC7">
        <w:rPr>
          <w:bCs/>
          <w:sz w:val="20"/>
        </w:rPr>
        <w:t xml:space="preserve">nation of all IE content </w:t>
      </w:r>
      <w:r w:rsidRPr="00F27D6D">
        <w:rPr>
          <w:bCs/>
          <w:sz w:val="20"/>
        </w:rPr>
        <w:t>in the ordered subsequence</w:t>
      </w:r>
      <w:r>
        <w:rPr>
          <w:bCs/>
          <w:sz w:val="20"/>
        </w:rPr>
        <w:t xml:space="preserve">; the ordered sequence of Conceptual Object fields shall be defined as the result of ordering the Conceptual Object fields reconstructed from each subsequence, according to the partitioning order by which these subsequences were previously derived. </w:t>
      </w:r>
    </w:p>
    <w:p w:rsidR="007C28CB" w:rsidRDefault="007C28CB" w:rsidP="007C28CB">
      <w:pPr>
        <w:autoSpaceDE w:val="0"/>
        <w:autoSpaceDN w:val="0"/>
        <w:adjustRightInd w:val="0"/>
        <w:rPr>
          <w:rFonts w:ascii="Arial" w:hAnsi="Arial" w:cs="Arial"/>
          <w:b/>
          <w:bCs/>
          <w:sz w:val="20"/>
        </w:rPr>
      </w:pPr>
    </w:p>
    <w:p w:rsidR="007C28CB" w:rsidRPr="00FC0342" w:rsidRDefault="007C28CB" w:rsidP="007C28CB">
      <w:pPr>
        <w:autoSpaceDE w:val="0"/>
        <w:autoSpaceDN w:val="0"/>
        <w:adjustRightInd w:val="0"/>
        <w:rPr>
          <w:bCs/>
          <w:sz w:val="20"/>
        </w:rPr>
      </w:pPr>
      <w:r>
        <w:rPr>
          <w:bCs/>
          <w:sz w:val="20"/>
          <w:u w:val="single"/>
        </w:rPr>
        <w:t>Note:</w:t>
      </w:r>
      <w:r>
        <w:rPr>
          <w:bCs/>
          <w:sz w:val="20"/>
        </w:rPr>
        <w:t xml:space="preserve"> It is easy to see that the composition of these two conversion function results in the original sequence of Conceptual Object fields (if one ignores empty octet strings).</w:t>
      </w:r>
    </w:p>
    <w:p w:rsidR="007C28CB" w:rsidRPr="00F27D6D" w:rsidRDefault="007C28CB" w:rsidP="007C28CB">
      <w:pPr>
        <w:autoSpaceDE w:val="0"/>
        <w:autoSpaceDN w:val="0"/>
        <w:adjustRightInd w:val="0"/>
        <w:rPr>
          <w:rFonts w:ascii="Arial" w:hAnsi="Arial" w:cs="Arial"/>
          <w:b/>
          <w:bCs/>
          <w:sz w:val="20"/>
        </w:rPr>
      </w:pPr>
    </w:p>
    <w:p w:rsidR="007C28CB" w:rsidRDefault="00041888" w:rsidP="007C28CB">
      <w:pPr>
        <w:autoSpaceDE w:val="0"/>
        <w:autoSpaceDN w:val="0"/>
        <w:adjustRightInd w:val="0"/>
        <w:rPr>
          <w:rFonts w:ascii="Arial" w:hAnsi="Arial" w:cs="Arial"/>
          <w:b/>
          <w:bCs/>
          <w:sz w:val="20"/>
        </w:rPr>
      </w:pPr>
      <w:r>
        <w:rPr>
          <w:rFonts w:ascii="Arial" w:hAnsi="Arial" w:cs="Arial"/>
          <w:b/>
          <w:bCs/>
          <w:sz w:val="20"/>
        </w:rPr>
        <w:t>5.2.1.7b.2.3</w:t>
      </w:r>
      <w:r w:rsidR="007C28CB">
        <w:rPr>
          <w:rFonts w:ascii="Arial" w:hAnsi="Arial" w:cs="Arial"/>
          <w:b/>
          <w:bCs/>
          <w:sz w:val="20"/>
        </w:rPr>
        <w:t xml:space="preserve"> Higher-Layer </w:t>
      </w:r>
    </w:p>
    <w:p w:rsidR="007C28CB" w:rsidRDefault="007C28CB" w:rsidP="007C28CB">
      <w:pPr>
        <w:autoSpaceDE w:val="0"/>
        <w:autoSpaceDN w:val="0"/>
        <w:adjustRightInd w:val="0"/>
        <w:rPr>
          <w:bCs/>
          <w:sz w:val="20"/>
        </w:rPr>
      </w:pPr>
      <w:r>
        <w:rPr>
          <w:bCs/>
          <w:sz w:val="20"/>
        </w:rPr>
        <w:t>The higher-layer conceptual object indicates a “true” higher-layer object. As such, this may be any octet string of length smaller than 0xffff, with syntax and semantics entirely out-of-scope of the standard.</w:t>
      </w:r>
    </w:p>
    <w:p w:rsidR="00A23028" w:rsidRDefault="00A23028" w:rsidP="00041888">
      <w:pPr>
        <w:pStyle w:val="BodyText"/>
      </w:pPr>
    </w:p>
    <w:p w:rsidR="00A24421" w:rsidRDefault="00A24421" w:rsidP="00A24421">
      <w:pPr>
        <w:rPr>
          <w:b/>
          <w:i/>
          <w:sz w:val="20"/>
        </w:rPr>
      </w:pPr>
      <w:r>
        <w:rPr>
          <w:b/>
          <w:i/>
          <w:sz w:val="20"/>
        </w:rPr>
        <w:br w:type="page"/>
      </w:r>
      <w:r>
        <w:rPr>
          <w:b/>
          <w:i/>
          <w:sz w:val="20"/>
        </w:rPr>
        <w:lastRenderedPageBreak/>
        <w:t>Editorial note: all suggested changes below are relative to 80.15.9/D01. The suggested changes below would allow implementation of information elements of any type that could stretch beyond the maximum size of a MAC MPDU.</w:t>
      </w:r>
    </w:p>
    <w:p w:rsidR="00A24421" w:rsidRDefault="00A24421" w:rsidP="00A24421">
      <w:pPr>
        <w:rPr>
          <w:b/>
          <w:i/>
          <w:sz w:val="20"/>
        </w:rPr>
      </w:pPr>
    </w:p>
    <w:p w:rsidR="00A24421" w:rsidRDefault="00A24421" w:rsidP="00A24421">
      <w:pPr>
        <w:rPr>
          <w:b/>
          <w:i/>
          <w:sz w:val="20"/>
        </w:rPr>
      </w:pPr>
    </w:p>
    <w:p w:rsidR="00A24421" w:rsidRDefault="00A24421" w:rsidP="00A24421">
      <w:pPr>
        <w:rPr>
          <w:rFonts w:ascii="Arial" w:hAnsi="Arial" w:cs="Arial"/>
          <w:b/>
          <w:sz w:val="20"/>
        </w:rPr>
      </w:pPr>
      <w:r>
        <w:rPr>
          <w:rFonts w:ascii="Arial" w:hAnsi="Arial" w:cs="Arial"/>
          <w:b/>
          <w:sz w:val="20"/>
        </w:rPr>
        <w:t>5.</w:t>
      </w:r>
      <w:r w:rsidR="000827AE">
        <w:rPr>
          <w:rFonts w:ascii="Arial" w:hAnsi="Arial" w:cs="Arial"/>
          <w:b/>
          <w:sz w:val="20"/>
        </w:rPr>
        <w:t>2.4.2</w:t>
      </w:r>
      <w:r>
        <w:rPr>
          <w:rFonts w:ascii="Arial" w:hAnsi="Arial" w:cs="Arial"/>
          <w:b/>
          <w:sz w:val="20"/>
        </w:rPr>
        <w:t xml:space="preserve"> </w:t>
      </w:r>
      <w:r w:rsidR="000827AE">
        <w:rPr>
          <w:rFonts w:ascii="Arial" w:hAnsi="Arial" w:cs="Arial"/>
          <w:b/>
          <w:sz w:val="20"/>
        </w:rPr>
        <w:t>Header Information Elements</w:t>
      </w:r>
    </w:p>
    <w:p w:rsidR="00A24421" w:rsidRDefault="00A24421" w:rsidP="00A24421">
      <w:pPr>
        <w:rPr>
          <w:rFonts w:ascii="Arial" w:hAnsi="Arial" w:cs="Arial"/>
          <w:b/>
          <w:sz w:val="20"/>
        </w:rPr>
      </w:pPr>
    </w:p>
    <w:p w:rsidR="000827AE" w:rsidRDefault="000827AE" w:rsidP="000827AE">
      <w:pPr>
        <w:rPr>
          <w:b/>
          <w:i/>
          <w:sz w:val="20"/>
        </w:rPr>
      </w:pPr>
      <w:r>
        <w:rPr>
          <w:b/>
          <w:i/>
          <w:sz w:val="20"/>
        </w:rPr>
        <w:t xml:space="preserve">Insert the following entry in Table </w:t>
      </w:r>
    </w:p>
    <w:p w:rsidR="000827AE" w:rsidRDefault="000827AE" w:rsidP="00A24421">
      <w:pPr>
        <w:rPr>
          <w:b/>
          <w:i/>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808080"/>
        </w:tblBorders>
        <w:tblLook w:val="00BF"/>
      </w:tblPr>
      <w:tblGrid>
        <w:gridCol w:w="1695"/>
        <w:gridCol w:w="4353"/>
      </w:tblGrid>
      <w:tr w:rsidR="000827AE" w:rsidRPr="00B70530" w:rsidTr="000827AE">
        <w:tc>
          <w:tcPr>
            <w:tcW w:w="1695" w:type="dxa"/>
          </w:tcPr>
          <w:p w:rsidR="000827AE" w:rsidRPr="00B70530" w:rsidRDefault="000827AE" w:rsidP="00A23028">
            <w:pPr>
              <w:rPr>
                <w:rFonts w:eastAsia="Century"/>
                <w:sz w:val="20"/>
              </w:rPr>
            </w:pPr>
            <w:r>
              <w:rPr>
                <w:rFonts w:eastAsia="Century"/>
                <w:sz w:val="20"/>
              </w:rPr>
              <w:t>ID range</w:t>
            </w:r>
          </w:p>
        </w:tc>
        <w:tc>
          <w:tcPr>
            <w:tcW w:w="4353" w:type="dxa"/>
          </w:tcPr>
          <w:p w:rsidR="000827AE" w:rsidRPr="00B70530" w:rsidRDefault="000827AE" w:rsidP="00A23028">
            <w:pPr>
              <w:jc w:val="center"/>
              <w:rPr>
                <w:rFonts w:eastAsia="Century"/>
                <w:sz w:val="20"/>
              </w:rPr>
            </w:pPr>
            <w:r>
              <w:rPr>
                <w:rFonts w:eastAsia="Century"/>
                <w:sz w:val="20"/>
              </w:rPr>
              <w:t>Function</w:t>
            </w:r>
          </w:p>
        </w:tc>
      </w:tr>
      <w:tr w:rsidR="000827AE" w:rsidRPr="00B70530" w:rsidTr="000827AE">
        <w:tc>
          <w:tcPr>
            <w:tcW w:w="1695" w:type="dxa"/>
          </w:tcPr>
          <w:p w:rsidR="000827AE" w:rsidRPr="00B70530" w:rsidRDefault="000827AE" w:rsidP="00A23028">
            <w:pPr>
              <w:jc w:val="center"/>
              <w:rPr>
                <w:rFonts w:eastAsia="Century"/>
                <w:sz w:val="20"/>
              </w:rPr>
            </w:pPr>
            <w:r>
              <w:rPr>
                <w:rFonts w:eastAsia="Century"/>
                <w:sz w:val="20"/>
              </w:rPr>
              <w:t>0x1</w:t>
            </w:r>
            <w:r w:rsidR="009646A6">
              <w:rPr>
                <w:rFonts w:eastAsia="Century"/>
                <w:sz w:val="20"/>
              </w:rPr>
              <w:t>8</w:t>
            </w:r>
          </w:p>
        </w:tc>
        <w:tc>
          <w:tcPr>
            <w:tcW w:w="4353" w:type="dxa"/>
          </w:tcPr>
          <w:p w:rsidR="000827AE" w:rsidRPr="00B70530" w:rsidRDefault="000827AE" w:rsidP="000827AE">
            <w:pPr>
              <w:rPr>
                <w:rFonts w:eastAsia="Century"/>
                <w:sz w:val="20"/>
              </w:rPr>
            </w:pPr>
            <w:r>
              <w:rPr>
                <w:rFonts w:eastAsia="Century"/>
                <w:sz w:val="20"/>
              </w:rPr>
              <w:t xml:space="preserve">Managed ID (described in </w:t>
            </w:r>
            <w:r w:rsidR="009646A6">
              <w:rPr>
                <w:rFonts w:eastAsia="Century"/>
                <w:sz w:val="20"/>
              </w:rPr>
              <w:t>802.15.9/D01, 5.3.3.2</w:t>
            </w:r>
            <w:r>
              <w:rPr>
                <w:rFonts w:eastAsia="Century"/>
                <w:sz w:val="20"/>
              </w:rPr>
              <w:t>)</w:t>
            </w:r>
          </w:p>
        </w:tc>
      </w:tr>
      <w:tr w:rsidR="009646A6" w:rsidRPr="00B70530" w:rsidTr="000827AE">
        <w:tc>
          <w:tcPr>
            <w:tcW w:w="1695" w:type="dxa"/>
          </w:tcPr>
          <w:p w:rsidR="009646A6" w:rsidRDefault="009646A6" w:rsidP="00A23028">
            <w:pPr>
              <w:jc w:val="center"/>
              <w:rPr>
                <w:rFonts w:eastAsia="Century"/>
                <w:sz w:val="20"/>
              </w:rPr>
            </w:pPr>
            <w:r>
              <w:rPr>
                <w:rFonts w:eastAsia="Century"/>
                <w:sz w:val="20"/>
              </w:rPr>
              <w:t>0x19</w:t>
            </w:r>
          </w:p>
        </w:tc>
        <w:tc>
          <w:tcPr>
            <w:tcW w:w="4353" w:type="dxa"/>
          </w:tcPr>
          <w:p w:rsidR="009646A6" w:rsidRDefault="009646A6" w:rsidP="000827AE">
            <w:pPr>
              <w:rPr>
                <w:rFonts w:eastAsia="Century"/>
                <w:sz w:val="20"/>
              </w:rPr>
            </w:pPr>
            <w:r>
              <w:rPr>
                <w:rFonts w:eastAsia="Century"/>
                <w:sz w:val="20"/>
              </w:rPr>
              <w:t>Managed ID (described in 5.2.2.4.6a)</w:t>
            </w:r>
          </w:p>
        </w:tc>
      </w:tr>
    </w:tbl>
    <w:p w:rsidR="000827AE" w:rsidRDefault="000827AE" w:rsidP="00A24421">
      <w:pPr>
        <w:rPr>
          <w:b/>
          <w:i/>
          <w:sz w:val="20"/>
        </w:rPr>
      </w:pPr>
    </w:p>
    <w:p w:rsidR="00CC68CC" w:rsidRDefault="00CC68CC" w:rsidP="00A24421">
      <w:pPr>
        <w:rPr>
          <w:b/>
          <w:i/>
          <w:sz w:val="20"/>
        </w:rPr>
      </w:pPr>
      <w:r>
        <w:rPr>
          <w:b/>
          <w:i/>
          <w:sz w:val="20"/>
        </w:rPr>
        <w:t xml:space="preserve">Editorial note: ID 0x18 is supposed to capture KMPs as currently specified in 802.15.9/D01, clause 5.3.1 (i.e., this refers to key management related transport only that is specifically called out in clause 5.3.3.2). ID 0x019 is supposed to capture *any* higher-layer protocols (key establishment, key transport, etc.). With the latter, the specific protocol is to be outsourced to </w:t>
      </w:r>
      <w:proofErr w:type="gramStart"/>
      <w:r>
        <w:rPr>
          <w:b/>
          <w:i/>
          <w:sz w:val="20"/>
        </w:rPr>
        <w:t>a</w:t>
      </w:r>
      <w:proofErr w:type="gramEnd"/>
      <w:r w:rsidR="00923261">
        <w:rPr>
          <w:b/>
          <w:i/>
          <w:sz w:val="20"/>
        </w:rPr>
        <w:t xml:space="preserve"> IANA-style numbering authority. (This would also make sure that with any “new” higher-layer protocol one does not need to start an IEEE process to get a number assigned.)</w:t>
      </w:r>
    </w:p>
    <w:p w:rsidR="00923261" w:rsidRDefault="00923261" w:rsidP="00A24421">
      <w:pPr>
        <w:rPr>
          <w:b/>
          <w:i/>
          <w:sz w:val="20"/>
        </w:rPr>
      </w:pPr>
    </w:p>
    <w:p w:rsidR="00923261" w:rsidRDefault="00923261" w:rsidP="00A24421">
      <w:pPr>
        <w:rPr>
          <w:b/>
          <w:i/>
          <w:sz w:val="20"/>
        </w:rPr>
      </w:pPr>
      <w:r>
        <w:rPr>
          <w:b/>
          <w:i/>
          <w:sz w:val="20"/>
        </w:rPr>
        <w:t>This header information element shall be included with every frame fragment, should fragmentation occur.</w:t>
      </w:r>
    </w:p>
    <w:p w:rsidR="00A24421" w:rsidRDefault="00A24421" w:rsidP="00A24421">
      <w:pPr>
        <w:rPr>
          <w:b/>
          <w:i/>
          <w:sz w:val="20"/>
        </w:rPr>
      </w:pPr>
    </w:p>
    <w:p w:rsidR="00A24421" w:rsidRPr="00A24421" w:rsidRDefault="009646A6" w:rsidP="00A24421">
      <w:pPr>
        <w:rPr>
          <w:b/>
          <w:sz w:val="20"/>
        </w:rPr>
      </w:pPr>
      <w:r>
        <w:rPr>
          <w:b/>
          <w:sz w:val="20"/>
        </w:rPr>
        <w:t>5.2.2.4.6a “Any” Information Element</w:t>
      </w:r>
    </w:p>
    <w:p w:rsidR="00A24421" w:rsidRPr="00A24421" w:rsidRDefault="00A24421" w:rsidP="00A24421">
      <w:pPr>
        <w:rPr>
          <w:sz w:val="20"/>
        </w:rPr>
      </w:pPr>
    </w:p>
    <w:p w:rsidR="00A24421" w:rsidRDefault="00A24421" w:rsidP="00A24421">
      <w:pPr>
        <w:rPr>
          <w:b/>
          <w:i/>
          <w:sz w:val="20"/>
        </w:rPr>
      </w:pPr>
      <w:r>
        <w:rPr>
          <w:b/>
          <w:i/>
          <w:sz w:val="20"/>
        </w:rPr>
        <w:t>Insert the following entry in Table x of clause 5.3.3.2:</w:t>
      </w:r>
    </w:p>
    <w:p w:rsidR="00A24421" w:rsidRPr="00A24421" w:rsidRDefault="00A24421" w:rsidP="00A24421">
      <w:pPr>
        <w:rPr>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808080"/>
        </w:tblBorders>
        <w:tblLook w:val="00BF"/>
      </w:tblPr>
      <w:tblGrid>
        <w:gridCol w:w="1695"/>
        <w:gridCol w:w="2193"/>
        <w:gridCol w:w="2193"/>
      </w:tblGrid>
      <w:tr w:rsidR="009646A6" w:rsidRPr="00B70530" w:rsidTr="00A23028">
        <w:tc>
          <w:tcPr>
            <w:tcW w:w="1695" w:type="dxa"/>
          </w:tcPr>
          <w:p w:rsidR="009646A6" w:rsidRPr="00B70530" w:rsidRDefault="009646A6" w:rsidP="00A23028">
            <w:pPr>
              <w:rPr>
                <w:rFonts w:eastAsia="Century"/>
                <w:sz w:val="20"/>
              </w:rPr>
            </w:pPr>
            <w:r>
              <w:rPr>
                <w:rFonts w:eastAsia="Century"/>
                <w:sz w:val="20"/>
              </w:rPr>
              <w:t>Higher-Layer Id</w:t>
            </w:r>
          </w:p>
        </w:tc>
        <w:tc>
          <w:tcPr>
            <w:tcW w:w="2193" w:type="dxa"/>
          </w:tcPr>
          <w:p w:rsidR="009646A6" w:rsidRDefault="009646A6" w:rsidP="00A23028">
            <w:pPr>
              <w:jc w:val="center"/>
              <w:rPr>
                <w:rFonts w:eastAsia="Century"/>
                <w:sz w:val="20"/>
              </w:rPr>
            </w:pPr>
            <w:r>
              <w:rPr>
                <w:rFonts w:eastAsia="Century"/>
                <w:sz w:val="20"/>
              </w:rPr>
              <w:t>Length</w:t>
            </w:r>
          </w:p>
        </w:tc>
        <w:tc>
          <w:tcPr>
            <w:tcW w:w="2193" w:type="dxa"/>
          </w:tcPr>
          <w:p w:rsidR="009646A6" w:rsidRPr="00B70530" w:rsidRDefault="009646A6" w:rsidP="00A23028">
            <w:pPr>
              <w:jc w:val="center"/>
              <w:rPr>
                <w:rFonts w:eastAsia="Century"/>
                <w:sz w:val="20"/>
              </w:rPr>
            </w:pPr>
            <w:r>
              <w:rPr>
                <w:rFonts w:eastAsia="Century"/>
                <w:sz w:val="20"/>
              </w:rPr>
              <w:t>Protocol description</w:t>
            </w:r>
          </w:p>
        </w:tc>
      </w:tr>
      <w:tr w:rsidR="009646A6" w:rsidRPr="00B70530" w:rsidTr="00A23028">
        <w:tc>
          <w:tcPr>
            <w:tcW w:w="1695" w:type="dxa"/>
          </w:tcPr>
          <w:p w:rsidR="009646A6" w:rsidRPr="00B70530" w:rsidRDefault="009646A6" w:rsidP="00A24421">
            <w:pPr>
              <w:jc w:val="center"/>
              <w:rPr>
                <w:rFonts w:eastAsia="Century"/>
                <w:sz w:val="20"/>
              </w:rPr>
            </w:pPr>
            <w:r>
              <w:rPr>
                <w:rFonts w:eastAsia="Century"/>
                <w:sz w:val="20"/>
              </w:rPr>
              <w:t>0-255</w:t>
            </w:r>
          </w:p>
        </w:tc>
        <w:tc>
          <w:tcPr>
            <w:tcW w:w="2193" w:type="dxa"/>
          </w:tcPr>
          <w:p w:rsidR="009646A6" w:rsidRDefault="009646A6" w:rsidP="00A24421">
            <w:pPr>
              <w:jc w:val="center"/>
              <w:rPr>
                <w:rFonts w:eastAsia="Century"/>
                <w:sz w:val="20"/>
              </w:rPr>
            </w:pPr>
            <w:r>
              <w:rPr>
                <w:rFonts w:eastAsia="Century"/>
                <w:sz w:val="20"/>
              </w:rPr>
              <w:t>0</w:t>
            </w:r>
          </w:p>
        </w:tc>
        <w:tc>
          <w:tcPr>
            <w:tcW w:w="2193" w:type="dxa"/>
          </w:tcPr>
          <w:p w:rsidR="009646A6" w:rsidRPr="009646A6" w:rsidRDefault="009646A6" w:rsidP="00A24421">
            <w:pPr>
              <w:jc w:val="center"/>
              <w:rPr>
                <w:rFonts w:eastAsia="Century"/>
                <w:i/>
                <w:sz w:val="20"/>
              </w:rPr>
            </w:pPr>
            <w:r w:rsidRPr="009646A6">
              <w:rPr>
                <w:rFonts w:eastAsia="Century"/>
                <w:i/>
                <w:sz w:val="20"/>
              </w:rPr>
              <w:t xml:space="preserve">Up </w:t>
            </w:r>
            <w:r w:rsidR="00923261">
              <w:rPr>
                <w:rFonts w:eastAsia="Century"/>
                <w:i/>
                <w:sz w:val="20"/>
              </w:rPr>
              <w:t>to independent IANA-like body (</w:t>
            </w:r>
            <w:r w:rsidRPr="009646A6">
              <w:rPr>
                <w:rFonts w:eastAsia="Century"/>
                <w:i/>
                <w:sz w:val="20"/>
              </w:rPr>
              <w:t>TBD)</w:t>
            </w:r>
          </w:p>
        </w:tc>
      </w:tr>
    </w:tbl>
    <w:p w:rsidR="00A23028" w:rsidRDefault="00A23028">
      <w:pPr>
        <w:pStyle w:val="BodyText"/>
        <w:rPr>
          <w:i/>
        </w:rPr>
      </w:pPr>
    </w:p>
    <w:p w:rsidR="00923261" w:rsidRDefault="00923261">
      <w:pPr>
        <w:pStyle w:val="BodyText"/>
        <w:rPr>
          <w:b/>
          <w:i/>
          <w:sz w:val="20"/>
        </w:rPr>
      </w:pPr>
      <w:r w:rsidRPr="00923261">
        <w:rPr>
          <w:b/>
          <w:i/>
          <w:sz w:val="20"/>
        </w:rPr>
        <w:t>Editorial note:</w:t>
      </w:r>
      <w:r>
        <w:rPr>
          <w:b/>
          <w:i/>
          <w:sz w:val="20"/>
        </w:rPr>
        <w:t xml:space="preserve"> These TLV values just specify the type of higher-layer protocol that follows as a sequence of payload information elements (as result of 5.2.1.7b.2.1).</w:t>
      </w:r>
    </w:p>
    <w:p w:rsidR="00C64CF6" w:rsidRDefault="00C64CF6">
      <w:pPr>
        <w:pStyle w:val="BodyText"/>
        <w:rPr>
          <w:b/>
          <w:i/>
          <w:sz w:val="20"/>
        </w:rPr>
      </w:pPr>
    </w:p>
    <w:p w:rsidR="00C64CF6" w:rsidRPr="00923261" w:rsidRDefault="00C64CF6">
      <w:pPr>
        <w:pStyle w:val="BodyText"/>
        <w:rPr>
          <w:b/>
          <w:i/>
          <w:sz w:val="20"/>
        </w:rPr>
      </w:pPr>
      <w:r>
        <w:rPr>
          <w:b/>
          <w:i/>
          <w:sz w:val="20"/>
        </w:rPr>
        <w:t>Note that one could list the KMP fragments (clause 5.3.3.2 of 802.15.9/D0.1) here….</w:t>
      </w:r>
    </w:p>
    <w:sectPr w:rsidR="00C64CF6" w:rsidRPr="00923261">
      <w:headerReference w:type="default" r:id="rId7"/>
      <w:footerReference w:type="default" r:id="rId8"/>
      <w:pgSz w:w="12240" w:h="15840"/>
      <w:pgMar w:top="1800" w:right="1440" w:bottom="1800" w:left="1440" w:header="1296" w:footer="1296" w:gutter="0"/>
      <w:cols w:space="720"/>
      <w:docGrid w:linePitch="24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C40" w:rsidRDefault="00691C40" w:rsidP="00A23028">
      <w:r>
        <w:separator/>
      </w:r>
    </w:p>
  </w:endnote>
  <w:endnote w:type="continuationSeparator" w:id="0">
    <w:p w:rsidR="00691C40" w:rsidRDefault="00691C40" w:rsidP="00A230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Grande">
    <w:charset w:val="00"/>
    <w:family w:val="roman"/>
    <w:pitch w:val="variable"/>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WenQuanYi Zen Hei">
    <w:charset w:val="00"/>
    <w:family w:val="auto"/>
    <w:pitch w:val="variable"/>
    <w:sig w:usb0="00000000" w:usb1="00000000" w:usb2="00000000" w:usb3="00000000" w:csb0="00000000" w:csb1="00000000"/>
  </w:font>
  <w:font w:name="Lohit Devanagari">
    <w:charset w:val="00"/>
    <w:family w:val="auto"/>
    <w:pitch w:val="variable"/>
    <w:sig w:usb0="00000000" w:usb1="00000000" w:usb2="00000000" w:usb3="00000000" w:csb0="00000000" w:csb1="00000000"/>
  </w:font>
  <w:font w:name="Palatino">
    <w:charset w:val="00"/>
    <w:family w:val="roman"/>
    <w:pitch w:val="variable"/>
    <w:sig w:usb0="00000000" w:usb1="00000000" w:usb2="00000000" w:usb3="00000000" w:csb0="00000000" w:csb1="00000000"/>
  </w:font>
  <w:font w:name="New Century Schlbk">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Bold">
    <w:altName w:val="Cambria"/>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28" w:rsidRDefault="00A23028">
    <w:pPr>
      <w:pStyle w:val="Footer"/>
      <w:pBdr>
        <w:top w:val="single" w:sz="4" w:space="0" w:color="000000"/>
      </w:pBdr>
      <w:tabs>
        <w:tab w:val="clear" w:pos="4320"/>
        <w:tab w:val="clear" w:pos="8640"/>
        <w:tab w:val="center" w:pos="4680"/>
        <w:tab w:val="right" w:pos="9360"/>
      </w:tabs>
      <w:spacing w:before="240"/>
    </w:pPr>
    <w:r>
      <w:t>Submission</w:t>
    </w:r>
    <w:r>
      <w:tab/>
      <w:t xml:space="preserve">Page </w:t>
    </w:r>
    <w:fldSimple w:instr=" PAGE ">
      <w:r w:rsidR="00FE63BA">
        <w:rPr>
          <w:noProof/>
        </w:rPr>
        <w:t>3</w:t>
      </w:r>
    </w:fldSimple>
    <w:r>
      <w:tab/>
    </w:r>
    <w:fldSimple w:instr=" USERNAME ">
      <w:r w:rsidR="007C28CB">
        <w:rPr>
          <w:noProof/>
        </w:rPr>
        <w:t>René Struik</w:t>
      </w:r>
    </w:fldSimple>
    <w:r w:rsidR="007C28CB">
      <w:t xml:space="preserve">, </w:t>
    </w:r>
    <w:proofErr w:type="spellStart"/>
    <w:r w:rsidR="007C28CB">
      <w:t>Struik</w:t>
    </w:r>
    <w:proofErr w:type="spellEnd"/>
    <w:r w:rsidR="007C28CB">
      <w:t xml:space="preserve"> Security Consultancy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C40" w:rsidRDefault="00691C40" w:rsidP="00A23028">
      <w:r>
        <w:separator/>
      </w:r>
    </w:p>
  </w:footnote>
  <w:footnote w:type="continuationSeparator" w:id="0">
    <w:p w:rsidR="00691C40" w:rsidRDefault="00691C40" w:rsidP="00A23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28" w:rsidRDefault="00A23028">
    <w:pPr>
      <w:pStyle w:val="Header"/>
      <w:pBdr>
        <w:bottom w:val="single" w:sz="4" w:space="0" w:color="000000"/>
      </w:pBdr>
      <w:tabs>
        <w:tab w:val="clear" w:pos="4320"/>
        <w:tab w:val="clear" w:pos="8640"/>
        <w:tab w:val="right" w:pos="9270"/>
      </w:tabs>
      <w:spacing w:after="360"/>
      <w:jc w:val="both"/>
      <w:rPr>
        <w:rStyle w:val="highlight1"/>
        <w:rFonts w:ascii="Times" w:hAnsi="Times"/>
        <w:color w:val="000000"/>
        <w:sz w:val="28"/>
        <w:szCs w:val="28"/>
      </w:rPr>
    </w:pPr>
    <w:r>
      <w:rPr>
        <w:b/>
        <w:sz w:val="28"/>
      </w:rPr>
      <w:t>April, 2013</w:t>
    </w:r>
    <w:r>
      <w:rPr>
        <w:b/>
        <w:sz w:val="28"/>
      </w:rPr>
      <w:tab/>
      <w:t xml:space="preserve"> IEEE P802.15</w:t>
    </w:r>
    <w:r>
      <w:rPr>
        <w:rStyle w:val="highlight1"/>
        <w:rFonts w:ascii="Times" w:hAnsi="Times"/>
        <w:color w:val="000000"/>
        <w:sz w:val="28"/>
        <w:szCs w:val="28"/>
      </w:rPr>
      <w:t>-13-</w:t>
    </w:r>
    <w:r w:rsidR="009A36FF">
      <w:rPr>
        <w:rStyle w:val="highlight1"/>
        <w:rFonts w:ascii="Times" w:hAnsi="Times"/>
        <w:color w:val="000000"/>
        <w:sz w:val="28"/>
        <w:szCs w:val="28"/>
      </w:rPr>
      <w:t>0xxx</w:t>
    </w:r>
    <w:r>
      <w:rPr>
        <w:rStyle w:val="highlight1"/>
        <w:rFonts w:ascii="Times" w:hAnsi="Times"/>
        <w:color w:val="000000"/>
        <w:sz w:val="28"/>
        <w:szCs w:val="28"/>
      </w:rPr>
      <w:t>-00-0009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33020B37"/>
    <w:multiLevelType w:val="hybridMultilevel"/>
    <w:tmpl w:val="E0465924"/>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5CD30B4"/>
    <w:multiLevelType w:val="hybridMultilevel"/>
    <w:tmpl w:val="3DDEF370"/>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D52FD1"/>
    <w:rsid w:val="00041888"/>
    <w:rsid w:val="000827AE"/>
    <w:rsid w:val="004C5A61"/>
    <w:rsid w:val="00557485"/>
    <w:rsid w:val="00667F08"/>
    <w:rsid w:val="00691C40"/>
    <w:rsid w:val="007C28CB"/>
    <w:rsid w:val="00923261"/>
    <w:rsid w:val="009646A6"/>
    <w:rsid w:val="009A36FF"/>
    <w:rsid w:val="00A23028"/>
    <w:rsid w:val="00A24421"/>
    <w:rsid w:val="00B71AC7"/>
    <w:rsid w:val="00BD1B70"/>
    <w:rsid w:val="00C64CF6"/>
    <w:rsid w:val="00CC68CC"/>
    <w:rsid w:val="00D52FD1"/>
    <w:rsid w:val="00FE63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cs="New York"/>
      <w:kern w:val="1"/>
      <w:sz w:val="24"/>
      <w:lang w:eastAsia="hi-IN" w:bidi="hi-IN"/>
    </w:rPr>
  </w:style>
  <w:style w:type="paragraph" w:styleId="Heading1">
    <w:name w:val="heading 1"/>
    <w:basedOn w:val="Normal"/>
    <w:next w:val="BodyText"/>
    <w:qFormat/>
    <w:pPr>
      <w:keepNext/>
      <w:numPr>
        <w:numId w:val="1"/>
      </w:numPr>
      <w:spacing w:before="240" w:after="60"/>
      <w:outlineLvl w:val="0"/>
    </w:pPr>
    <w:rPr>
      <w:rFonts w:ascii="Arial" w:hAnsi="Arial"/>
      <w:b/>
      <w:sz w:val="28"/>
      <w:u w:val="double"/>
    </w:rPr>
  </w:style>
  <w:style w:type="paragraph" w:styleId="Heading2">
    <w:name w:val="heading 2"/>
    <w:basedOn w:val="Normal"/>
    <w:next w:val="BodyText"/>
    <w:qFormat/>
    <w:pPr>
      <w:keepNext/>
      <w:numPr>
        <w:ilvl w:val="1"/>
        <w:numId w:val="1"/>
      </w:numPr>
      <w:spacing w:before="240" w:after="60"/>
      <w:outlineLvl w:val="1"/>
    </w:pPr>
    <w:rPr>
      <w:rFonts w:ascii="Arial" w:hAnsi="Arial"/>
      <w:b/>
      <w:i/>
      <w:sz w:val="28"/>
      <w:u w:val="wave"/>
    </w:rPr>
  </w:style>
  <w:style w:type="paragraph" w:styleId="Heading3">
    <w:name w:val="heading 3"/>
    <w:basedOn w:val="Normal"/>
    <w:next w:val="BodyText"/>
    <w:qFormat/>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BodyText"/>
    <w:qFormat/>
    <w:pPr>
      <w:numPr>
        <w:ilvl w:val="3"/>
        <w:numId w:val="1"/>
      </w:numPr>
      <w:ind w:left="360" w:firstLine="0"/>
      <w:outlineLvl w:val="3"/>
    </w:pPr>
    <w:rPr>
      <w:rFonts w:ascii="Times" w:hAnsi="Times"/>
      <w:u w:val="single"/>
    </w:rPr>
  </w:style>
  <w:style w:type="paragraph" w:styleId="Heading5">
    <w:name w:val="heading 5"/>
    <w:basedOn w:val="Normal"/>
    <w:next w:val="BodyText"/>
    <w:qFormat/>
    <w:pPr>
      <w:numPr>
        <w:ilvl w:val="4"/>
        <w:numId w:val="1"/>
      </w:numPr>
      <w:spacing w:before="240" w:after="60"/>
      <w:outlineLvl w:val="4"/>
    </w:pPr>
    <w:rPr>
      <w:sz w:val="22"/>
      <w:u w:val="single"/>
    </w:rPr>
  </w:style>
  <w:style w:type="paragraph" w:styleId="Heading6">
    <w:name w:val="heading 6"/>
    <w:basedOn w:val="Normal"/>
    <w:next w:val="BodyText"/>
    <w:qFormat/>
    <w:pPr>
      <w:numPr>
        <w:ilvl w:val="5"/>
        <w:numId w:val="1"/>
      </w:numPr>
      <w:spacing w:before="240" w:after="60"/>
      <w:outlineLvl w:val="5"/>
    </w:pPr>
    <w:rPr>
      <w:i/>
      <w:sz w:val="22"/>
    </w:rPr>
  </w:style>
  <w:style w:type="paragraph" w:styleId="Heading7">
    <w:name w:val="heading 7"/>
    <w:basedOn w:val="Normal"/>
    <w:next w:val="BodyText"/>
    <w:qFormat/>
    <w:pPr>
      <w:numPr>
        <w:ilvl w:val="6"/>
        <w:numId w:val="1"/>
      </w:numPr>
      <w:spacing w:before="240" w:after="60"/>
      <w:outlineLvl w:val="6"/>
    </w:pPr>
    <w:rPr>
      <w:rFonts w:ascii="Arial" w:hAnsi="Arial"/>
      <w:sz w:val="20"/>
    </w:rPr>
  </w:style>
  <w:style w:type="paragraph" w:styleId="Heading8">
    <w:name w:val="heading 8"/>
    <w:basedOn w:val="Normal"/>
    <w:next w:val="BodyText"/>
    <w:qFormat/>
    <w:pPr>
      <w:numPr>
        <w:ilvl w:val="7"/>
        <w:numId w:val="1"/>
      </w:numPr>
      <w:spacing w:before="240" w:after="60"/>
      <w:outlineLvl w:val="7"/>
    </w:pPr>
    <w:rPr>
      <w:rFonts w:ascii="Arial" w:hAnsi="Arial"/>
      <w:i/>
      <w:sz w:val="20"/>
    </w:rPr>
  </w:style>
  <w:style w:type="paragraph" w:styleId="Heading9">
    <w:name w:val="heading 9"/>
    <w:basedOn w:val="Normal"/>
    <w:next w:val="BodyText"/>
    <w:qFormat/>
    <w:pPr>
      <w:numPr>
        <w:ilvl w:val="8"/>
        <w:numId w:val="1"/>
      </w:numPr>
      <w:spacing w:before="240" w:after="60"/>
      <w:outlineLvl w:val="8"/>
    </w:pPr>
    <w:rPr>
      <w:rFonts w:ascii="Arial" w:hAnsi="Arial"/>
      <w:b/>
      <w:i/>
      <w:sz w:val="1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pagenumber">
    <w:name w:val="page number"/>
  </w:style>
  <w:style w:type="character" w:styleId="Hyperlink">
    <w:name w:val="Hyperlink"/>
    <w:rPr>
      <w:color w:val="000080"/>
      <w:u w:val="single"/>
      <w:lang/>
    </w:rPr>
  </w:style>
  <w:style w:type="character" w:customStyle="1" w:styleId="highlight1">
    <w:name w:val="highlight1"/>
    <w:basedOn w:val="DefaultParagraphFont0"/>
    <w:rPr>
      <w:b/>
      <w:bCs/>
    </w:rPr>
  </w:style>
  <w:style w:type="character" w:customStyle="1" w:styleId="PlainTextChar">
    <w:name w:val="Plain Text Char"/>
    <w:basedOn w:val="DefaultParagraphFont0"/>
    <w:rPr>
      <w:rFonts w:ascii="Consolas" w:hAnsi="Consolas"/>
      <w:sz w:val="21"/>
      <w:szCs w:val="21"/>
      <w:lang w:val="en-GB"/>
    </w:rPr>
  </w:style>
  <w:style w:type="character" w:customStyle="1" w:styleId="BalloonTextChar">
    <w:name w:val="Balloon Text Char"/>
    <w:basedOn w:val="DefaultParagraphFont0"/>
    <w:rPr>
      <w:rFonts w:ascii="Lucida Grande" w:hAnsi="Lucida Grande" w:cs="New York"/>
      <w:sz w:val="18"/>
      <w:szCs w:val="18"/>
      <w:lang w:eastAsia="hi-IN" w:bidi="hi-IN"/>
    </w:rPr>
  </w:style>
  <w:style w:type="character" w:customStyle="1" w:styleId="annotationreference">
    <w:name w:val="annotation reference"/>
    <w:basedOn w:val="DefaultParagraphFont0"/>
    <w:rPr>
      <w:sz w:val="18"/>
      <w:szCs w:val="18"/>
    </w:rPr>
  </w:style>
  <w:style w:type="character" w:customStyle="1" w:styleId="CommentTextChar">
    <w:name w:val="Comment Text Char"/>
    <w:basedOn w:val="DefaultParagraphFont0"/>
    <w:rPr>
      <w:rFonts w:cs="New York"/>
      <w:sz w:val="24"/>
      <w:szCs w:val="24"/>
      <w:lang w:eastAsia="hi-IN" w:bidi="hi-IN"/>
    </w:rPr>
  </w:style>
  <w:style w:type="character" w:customStyle="1" w:styleId="CommentSubjectChar">
    <w:name w:val="Comment Subject Char"/>
    <w:rPr>
      <w:rFonts w:cs="New York"/>
      <w:b/>
      <w:bCs/>
      <w:sz w:val="24"/>
      <w:szCs w:val="24"/>
      <w:lang w:eastAsia="hi-IN" w:bidi="hi-IN"/>
    </w:rPr>
  </w:style>
  <w:style w:type="character" w:styleId="FollowedHyperlink">
    <w:name w:val="FollowedHyperlink"/>
    <w:basedOn w:val="DefaultParagraphFont0"/>
    <w:rPr>
      <w:color w:val="800080"/>
      <w:u w:val="single"/>
    </w:rPr>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WenQuanYi Zen Hei" w:hAnsi="Liberation Sans" w:cs="Lohit Devanagari"/>
      <w:sz w:val="28"/>
      <w:szCs w:val="28"/>
    </w:rPr>
  </w:style>
  <w:style w:type="paragraph" w:styleId="BodyText">
    <w:name w:val="Body Text"/>
    <w:basedOn w:val="Normal"/>
    <w:rPr>
      <w:color w:val="000000"/>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i/>
      <w:iCs/>
      <w:szCs w:val="24"/>
    </w:rPr>
  </w:style>
  <w:style w:type="paragraph" w:customStyle="1" w:styleId="Index">
    <w:name w:val="Index"/>
    <w:basedOn w:val="Normal"/>
    <w:pPr>
      <w:suppressLineNumbers/>
    </w:pPr>
    <w:rPr>
      <w:rFonts w:cs="Lohit Devanagari"/>
    </w:rPr>
  </w:style>
  <w:style w:type="paragraph" w:customStyle="1" w:styleId="caption0">
    <w:name w:val="caption"/>
    <w:basedOn w:val="Normal"/>
    <w:pPr>
      <w:suppressLineNumbers/>
      <w:spacing w:before="120" w:after="120"/>
    </w:pPr>
    <w:rPr>
      <w:rFonts w:cs="Lohit Devanagari"/>
      <w:i/>
      <w:iCs/>
      <w:szCs w:val="24"/>
    </w:rPr>
  </w:style>
  <w:style w:type="paragraph" w:styleId="Footer">
    <w:name w:val="footer"/>
    <w:basedOn w:val="Normal"/>
    <w:pPr>
      <w:suppressLineNumbers/>
      <w:tabs>
        <w:tab w:val="center" w:pos="4320"/>
        <w:tab w:val="right" w:pos="8640"/>
      </w:tabs>
    </w:pPr>
  </w:style>
  <w:style w:type="paragraph" w:styleId="Header">
    <w:name w:val="header"/>
    <w:basedOn w:val="Normal"/>
    <w:pPr>
      <w:suppressLineNumbers/>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DocumentMap">
    <w:name w:val="Document Map"/>
    <w:basedOn w:val="Normal"/>
    <w:pPr>
      <w:shd w:val="clear" w:color="auto" w:fill="000080"/>
    </w:pPr>
    <w:rPr>
      <w:rFonts w:ascii="Tahoma" w:hAnsi="Tahoma"/>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pPr>
      <w:widowControl w:val="0"/>
      <w:suppressLineNumbers/>
      <w:suppressAutoHyphens/>
      <w:jc w:val="center"/>
    </w:pPr>
    <w:rPr>
      <w:b/>
      <w:bCs/>
      <w:kern w:val="1"/>
      <w:lang w:eastAsia="ar-SA"/>
    </w:rPr>
  </w:style>
  <w:style w:type="paragraph" w:styleId="ListParagraph">
    <w:name w:val="List Paragraph"/>
    <w:basedOn w:val="Normal"/>
    <w:uiPriority w:val="34"/>
    <w:qFormat/>
    <w:pPr>
      <w:ind w:left="720"/>
    </w:pPr>
    <w:rPr>
      <w:rFonts w:cs="Times New Roman"/>
      <w:szCs w:val="24"/>
      <w:lang w:eastAsia="ar-SA" w:bidi="ar-SA"/>
    </w:rPr>
  </w:style>
  <w:style w:type="paragraph" w:styleId="PlainText">
    <w:name w:val="Plain Text"/>
    <w:basedOn w:val="Normal"/>
    <w:rPr>
      <w:rFonts w:ascii="Consolas" w:hAnsi="Consolas"/>
      <w:sz w:val="21"/>
      <w:szCs w:val="21"/>
      <w:lang w:val="en-GB" w:eastAsia="ar-SA" w:bidi="ar-SA"/>
    </w:rPr>
  </w:style>
  <w:style w:type="paragraph" w:styleId="BalloonText">
    <w:name w:val="Balloon Text"/>
    <w:basedOn w:val="Normal"/>
    <w:rPr>
      <w:rFonts w:ascii="Lucida Grande" w:hAnsi="Lucida Grande"/>
      <w:sz w:val="18"/>
      <w:szCs w:val="18"/>
    </w:rPr>
  </w:style>
  <w:style w:type="paragraph" w:customStyle="1" w:styleId="annotationtext">
    <w:name w:val="annotation text"/>
    <w:basedOn w:val="Normal"/>
    <w:rPr>
      <w:szCs w:val="24"/>
    </w:rPr>
  </w:style>
  <w:style w:type="paragraph" w:customStyle="1" w:styleId="annotationsubject">
    <w:name w:val="annotation subject"/>
    <w:pPr>
      <w:widowControl w:val="0"/>
      <w:suppressAutoHyphens/>
    </w:pPr>
    <w:rPr>
      <w:b/>
      <w:bCs/>
      <w:kern w:val="1"/>
      <w:lang w:eastAsia="ar-SA"/>
    </w:rPr>
  </w:style>
  <w:style w:type="paragraph" w:customStyle="1" w:styleId="FigTitle">
    <w:name w:val="FigTitle"/>
    <w:uiPriority w:val="99"/>
    <w:rsid w:val="007C28CB"/>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7C28CB"/>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Any over 802.15.9</vt:lpstr>
    </vt:vector>
  </TitlesOfParts>
  <Company/>
  <LinksUpToDate>false</LinksUpToDate>
  <CharactersWithSpaces>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Any over 802.15.9</dc:title>
  <dc:creator>Rene Struik</dc:creator>
  <cp:lastModifiedBy>Rene Struik</cp:lastModifiedBy>
  <cp:revision>3</cp:revision>
  <cp:lastPrinted>1601-01-01T00:00:00Z</cp:lastPrinted>
  <dcterms:created xsi:type="dcterms:W3CDTF">2013-04-29T14:14:00Z</dcterms:created>
  <dcterms:modified xsi:type="dcterms:W3CDTF">2013-04-29T14:14:00Z</dcterms:modified>
</cp:coreProperties>
</file>