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52051C" w:rsidP="007F380F">
            <w:pPr>
              <w:pStyle w:val="covertext"/>
            </w:pPr>
            <w:r>
              <w:fldChar w:fldCharType="begin"/>
            </w:r>
            <w:r>
              <w:instrText xml:space="preserve"> TITLE  \* MERGEFORMAT </w:instrText>
            </w:r>
            <w:r>
              <w:fldChar w:fldCharType="separate"/>
            </w:r>
            <w:r w:rsidR="00887C34">
              <w:rPr>
                <w:b/>
                <w:sz w:val="28"/>
              </w:rPr>
              <w:t xml:space="preserve">THz IG </w:t>
            </w:r>
            <w:proofErr w:type="spellStart"/>
            <w:r w:rsidR="007F380F">
              <w:rPr>
                <w:b/>
                <w:sz w:val="28"/>
              </w:rPr>
              <w:t>MArch</w:t>
            </w:r>
            <w:proofErr w:type="spellEnd"/>
            <w:r w:rsidR="00314D77">
              <w:rPr>
                <w:b/>
                <w:sz w:val="28"/>
              </w:rPr>
              <w:t xml:space="preserve"> 201</w:t>
            </w:r>
            <w:r w:rsidR="007F380F">
              <w:rPr>
                <w:b/>
                <w:sz w:val="28"/>
              </w:rPr>
              <w:t>3</w:t>
            </w:r>
            <w:r w:rsidR="00887C34">
              <w:rPr>
                <w:b/>
                <w:sz w:val="28"/>
              </w:rPr>
              <w:t xml:space="preserve"> Minutes</w:t>
            </w:r>
            <w:r>
              <w:fldChar w:fldCharType="end"/>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7F380F" w:rsidP="007F380F">
            <w:pPr>
              <w:pStyle w:val="covertext"/>
            </w:pPr>
            <w:r>
              <w:t>21</w:t>
            </w:r>
            <w:r w:rsidR="00AB2D65">
              <w:t xml:space="preserve"> </w:t>
            </w:r>
            <w:r>
              <w:t xml:space="preserve">March </w:t>
            </w:r>
            <w:r w:rsidR="00287273">
              <w:t xml:space="preserve"> 20</w:t>
            </w:r>
            <w:r w:rsidR="007133FD">
              <w:t>1</w:t>
            </w:r>
            <w:r>
              <w:t>3</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proofErr w:type="spellStart"/>
            <w:r>
              <w:rPr>
                <w:lang w:val="de-DE"/>
              </w:rPr>
              <w:t>Schleinitzstr</w:t>
            </w:r>
            <w:proofErr w:type="spellEnd"/>
            <w:r>
              <w:rPr>
                <w:lang w:val="de-DE"/>
              </w:rPr>
              <w:t>.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7F380F">
            <w:pPr>
              <w:pStyle w:val="covertext"/>
            </w:pPr>
            <w:r>
              <w:t xml:space="preserve">Meeting notes on the 802.15 IG THz  </w:t>
            </w:r>
            <w:r w:rsidR="007F380F">
              <w:t xml:space="preserve">March </w:t>
            </w:r>
            <w:r>
              <w:t xml:space="preserve"> 201</w:t>
            </w:r>
            <w:r w:rsidR="007F380F">
              <w:t>3</w:t>
            </w:r>
            <w:r>
              <w:t xml:space="preserve"> Plenary meeting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7F380F">
        <w:rPr>
          <w:b/>
          <w:sz w:val="28"/>
        </w:rPr>
        <w:t>March</w:t>
      </w:r>
      <w:r w:rsidR="007133FD">
        <w:rPr>
          <w:b/>
          <w:sz w:val="28"/>
        </w:rPr>
        <w:t xml:space="preserve"> 201</w:t>
      </w:r>
      <w:r w:rsidR="007F380F">
        <w:rPr>
          <w:b/>
          <w:sz w:val="28"/>
        </w:rPr>
        <w:t>3</w:t>
      </w:r>
      <w:r w:rsidR="00D80C2B">
        <w:rPr>
          <w:b/>
          <w:sz w:val="28"/>
        </w:rPr>
        <w:t xml:space="preserve"> THz IG</w:t>
      </w:r>
    </w:p>
    <w:p w:rsidR="0043071E" w:rsidRDefault="0043071E" w:rsidP="008532FC">
      <w:pPr>
        <w:widowControl w:val="0"/>
        <w:spacing w:before="120"/>
        <w:rPr>
          <w:rFonts w:eastAsia="Batang"/>
        </w:rPr>
      </w:pPr>
      <w:r>
        <w:rPr>
          <w:rFonts w:eastAsia="Batang"/>
        </w:rPr>
        <w:t xml:space="preserve">The THz IG meeting took place on </w:t>
      </w:r>
      <w:r w:rsidR="007F380F">
        <w:rPr>
          <w:rFonts w:eastAsia="Batang"/>
        </w:rPr>
        <w:t>19</w:t>
      </w:r>
      <w:r w:rsidR="00AE6AD3">
        <w:rPr>
          <w:rFonts w:eastAsia="Batang"/>
        </w:rPr>
        <w:t xml:space="preserve"> and </w:t>
      </w:r>
      <w:r w:rsidR="007F380F">
        <w:rPr>
          <w:rFonts w:eastAsia="Batang"/>
        </w:rPr>
        <w:t>20</w:t>
      </w:r>
      <w:r>
        <w:rPr>
          <w:rFonts w:eastAsia="Batang"/>
        </w:rPr>
        <w:t xml:space="preserve"> </w:t>
      </w:r>
      <w:r w:rsidR="007F380F">
        <w:rPr>
          <w:rFonts w:eastAsia="Batang"/>
        </w:rPr>
        <w:t xml:space="preserve">March </w:t>
      </w:r>
      <w:proofErr w:type="gramStart"/>
      <w:r>
        <w:rPr>
          <w:rFonts w:eastAsia="Batang"/>
        </w:rPr>
        <w:t>201</w:t>
      </w:r>
      <w:r w:rsidR="007F380F">
        <w:rPr>
          <w:rFonts w:eastAsia="Batang"/>
        </w:rPr>
        <w:t xml:space="preserve">3 </w:t>
      </w:r>
      <w:r>
        <w:rPr>
          <w:rFonts w:eastAsia="Batang"/>
        </w:rPr>
        <w:t xml:space="preserve"> in</w:t>
      </w:r>
      <w:proofErr w:type="gramEnd"/>
      <w:r>
        <w:rPr>
          <w:rFonts w:eastAsia="Batang"/>
        </w:rPr>
        <w:t xml:space="preserve"> the Time slots </w:t>
      </w:r>
      <w:r w:rsidR="00AE6AD3">
        <w:rPr>
          <w:rFonts w:eastAsia="Batang"/>
        </w:rPr>
        <w:t>Tuesday</w:t>
      </w:r>
      <w:r>
        <w:rPr>
          <w:rFonts w:eastAsia="Batang"/>
        </w:rPr>
        <w:t xml:space="preserve"> </w:t>
      </w:r>
      <w:r w:rsidR="007F380F">
        <w:rPr>
          <w:rFonts w:eastAsia="Batang"/>
        </w:rPr>
        <w:t>P</w:t>
      </w:r>
      <w:r w:rsidR="007D66C0">
        <w:rPr>
          <w:rFonts w:eastAsia="Batang"/>
        </w:rPr>
        <w:t>M</w:t>
      </w:r>
      <w:r>
        <w:rPr>
          <w:rFonts w:eastAsia="Batang"/>
        </w:rPr>
        <w:t>1</w:t>
      </w:r>
      <w:r w:rsidR="001E3B19">
        <w:rPr>
          <w:rFonts w:eastAsia="Batang"/>
        </w:rPr>
        <w:t>+</w:t>
      </w:r>
      <w:r w:rsidR="007F380F">
        <w:rPr>
          <w:rFonts w:eastAsia="Batang"/>
        </w:rPr>
        <w:t>P</w:t>
      </w:r>
      <w:r w:rsidR="001E3B19">
        <w:rPr>
          <w:rFonts w:eastAsia="Batang"/>
        </w:rPr>
        <w:t>M2</w:t>
      </w:r>
      <w:r w:rsidR="00AE6AD3">
        <w:rPr>
          <w:rFonts w:eastAsia="Batang"/>
        </w:rPr>
        <w:t xml:space="preserve"> </w:t>
      </w:r>
      <w:r w:rsidR="001E3B19">
        <w:rPr>
          <w:rFonts w:eastAsia="Batang"/>
        </w:rPr>
        <w:t xml:space="preserve">and </w:t>
      </w:r>
      <w:r w:rsidR="007F380F">
        <w:rPr>
          <w:rFonts w:eastAsia="Batang"/>
        </w:rPr>
        <w:t>Wednes</w:t>
      </w:r>
      <w:r>
        <w:rPr>
          <w:rFonts w:eastAsia="Batang"/>
        </w:rPr>
        <w:t xml:space="preserve">day </w:t>
      </w:r>
      <w:r w:rsidR="00AE6AD3">
        <w:rPr>
          <w:rFonts w:eastAsia="Batang"/>
        </w:rPr>
        <w:t>P</w:t>
      </w:r>
      <w:r>
        <w:rPr>
          <w:rFonts w:eastAsia="Batang"/>
        </w:rPr>
        <w:t>M</w:t>
      </w:r>
      <w:r w:rsidR="006C0A89">
        <w:rPr>
          <w:rFonts w:eastAsia="Batang"/>
        </w:rPr>
        <w:t>1</w:t>
      </w:r>
      <w:r w:rsidR="001E3B19">
        <w:rPr>
          <w:rFonts w:eastAsia="Batang"/>
        </w:rPr>
        <w:t>+</w:t>
      </w:r>
      <w:r w:rsidR="007D66C0">
        <w:rPr>
          <w:rFonts w:eastAsia="Batang"/>
        </w:rPr>
        <w:t>PM2</w:t>
      </w:r>
      <w:r w:rsidR="006C0A89">
        <w:rPr>
          <w:rFonts w:eastAsia="Batang"/>
        </w:rPr>
        <w:t>.</w:t>
      </w:r>
    </w:p>
    <w:p w:rsidR="004B7753" w:rsidRDefault="00D80C2B" w:rsidP="008532FC">
      <w:pPr>
        <w:widowControl w:val="0"/>
        <w:spacing w:before="120"/>
        <w:rPr>
          <w:rFonts w:eastAsia="Batang"/>
        </w:rPr>
      </w:pPr>
      <w:r w:rsidRPr="009646E5">
        <w:rPr>
          <w:rFonts w:eastAsia="Batang"/>
        </w:rPr>
        <w:t>Meeting was called to order</w:t>
      </w:r>
      <w:r w:rsidR="0057210C">
        <w:rPr>
          <w:rFonts w:eastAsia="Batang"/>
        </w:rPr>
        <w:t xml:space="preserve"> at </w:t>
      </w:r>
      <w:r w:rsidR="007F380F">
        <w:rPr>
          <w:rFonts w:eastAsia="Batang"/>
        </w:rPr>
        <w:t>1:30</w:t>
      </w:r>
      <w:r w:rsidR="00144F51">
        <w:rPr>
          <w:rFonts w:eastAsia="Batang"/>
        </w:rPr>
        <w:t xml:space="preserve"> </w:t>
      </w:r>
      <w:r w:rsidR="00C56ED5">
        <w:rPr>
          <w:rFonts w:eastAsia="Batang"/>
        </w:rPr>
        <w:t>pm</w:t>
      </w:r>
      <w:r w:rsidR="0057210C">
        <w:rPr>
          <w:rFonts w:eastAsia="Batang"/>
        </w:rPr>
        <w:t xml:space="preserve"> </w:t>
      </w:r>
      <w:r w:rsidR="00C56ED5">
        <w:rPr>
          <w:rFonts w:eastAsia="Batang"/>
        </w:rPr>
        <w:t xml:space="preserve">on </w:t>
      </w:r>
      <w:r w:rsidR="007F380F">
        <w:rPr>
          <w:rFonts w:eastAsia="Batang"/>
        </w:rPr>
        <w:t>19</w:t>
      </w:r>
      <w:r w:rsidR="00AE6AD3">
        <w:rPr>
          <w:rFonts w:eastAsia="Batang"/>
        </w:rPr>
        <w:t xml:space="preserve"> </w:t>
      </w:r>
      <w:r w:rsidR="007F380F">
        <w:rPr>
          <w:rFonts w:eastAsia="Batang"/>
        </w:rPr>
        <w:t>March 2013</w:t>
      </w:r>
      <w:r w:rsidRPr="009646E5">
        <w:rPr>
          <w:rFonts w:eastAsia="Batang"/>
        </w:rPr>
        <w:t xml:space="preserve">.  </w:t>
      </w:r>
      <w:r w:rsidR="008532FC">
        <w:rPr>
          <w:rFonts w:eastAsia="Batang"/>
        </w:rPr>
        <w:t xml:space="preserve">The patents statement was </w:t>
      </w:r>
      <w:r w:rsidR="00AE6AD3">
        <w:rPr>
          <w:rFonts w:eastAsia="Batang"/>
        </w:rPr>
        <w:t>mentioned</w:t>
      </w:r>
      <w:r w:rsidR="008532FC">
        <w:rPr>
          <w:rFonts w:eastAsia="Batang"/>
        </w:rPr>
        <w:t xml:space="preserve"> and no patent contributions were discussed. </w:t>
      </w:r>
      <w:r w:rsidR="0057210C">
        <w:rPr>
          <w:rFonts w:eastAsia="Batang"/>
        </w:rPr>
        <w:t xml:space="preserve">The </w:t>
      </w:r>
      <w:r w:rsidR="007F380F">
        <w:rPr>
          <w:rFonts w:eastAsia="Batang"/>
        </w:rPr>
        <w:t>November</w:t>
      </w:r>
      <w:r w:rsidR="00616C4C">
        <w:rPr>
          <w:rFonts w:eastAsia="Batang"/>
        </w:rPr>
        <w:t xml:space="preserve"> </w:t>
      </w:r>
      <w:proofErr w:type="gramStart"/>
      <w:r w:rsidR="00616C4C">
        <w:rPr>
          <w:rFonts w:eastAsia="Batang"/>
        </w:rPr>
        <w:t>201</w:t>
      </w:r>
      <w:r w:rsidR="007F380F">
        <w:rPr>
          <w:rFonts w:eastAsia="Batang"/>
        </w:rPr>
        <w:t xml:space="preserve">2 </w:t>
      </w:r>
      <w:r w:rsidR="006C0A89">
        <w:rPr>
          <w:rFonts w:eastAsia="Batang"/>
        </w:rPr>
        <w:t xml:space="preserve"> </w:t>
      </w:r>
      <w:r w:rsidR="007F380F">
        <w:rPr>
          <w:rFonts w:eastAsia="Batang"/>
        </w:rPr>
        <w:t>meeting</w:t>
      </w:r>
      <w:proofErr w:type="gramEnd"/>
      <w:r w:rsidR="007F380F">
        <w:rPr>
          <w:rFonts w:eastAsia="Batang"/>
        </w:rPr>
        <w:t xml:space="preserve"> notes</w:t>
      </w:r>
      <w:r w:rsidR="004B7753">
        <w:rPr>
          <w:rFonts w:eastAsia="Batang"/>
        </w:rPr>
        <w:t xml:space="preserve"> </w:t>
      </w:r>
      <w:r w:rsidR="00A62CF5">
        <w:rPr>
          <w:rFonts w:eastAsia="Batang"/>
        </w:rPr>
        <w:t>were approved</w:t>
      </w:r>
      <w:r w:rsidR="004B7753">
        <w:rPr>
          <w:rFonts w:eastAsia="Batang"/>
        </w:rPr>
        <w:t>.</w:t>
      </w:r>
    </w:p>
    <w:p w:rsidR="002012B0" w:rsidRDefault="008532FC" w:rsidP="008532FC">
      <w:pPr>
        <w:widowControl w:val="0"/>
        <w:spacing w:before="120"/>
        <w:rPr>
          <w:rFonts w:eastAsia="Batang"/>
        </w:rPr>
      </w:pPr>
      <w:r>
        <w:rPr>
          <w:rFonts w:eastAsia="Batang"/>
        </w:rPr>
        <w:t xml:space="preserve">Call for contributions/Changes of the agenda or for any other business, no discussions followed. </w:t>
      </w:r>
      <w:r w:rsidR="00316372">
        <w:rPr>
          <w:rFonts w:eastAsia="Batang"/>
        </w:rPr>
        <w:t xml:space="preserve"> </w:t>
      </w:r>
      <w:r w:rsidR="002903DF">
        <w:rPr>
          <w:rFonts w:eastAsia="Batang"/>
        </w:rPr>
        <w:t xml:space="preserve"> </w:t>
      </w:r>
    </w:p>
    <w:p w:rsidR="00715FE1" w:rsidRPr="009646E5" w:rsidRDefault="007F380F">
      <w:pPr>
        <w:widowControl w:val="0"/>
        <w:spacing w:before="120"/>
        <w:rPr>
          <w:rFonts w:eastAsia="Batang"/>
        </w:rPr>
      </w:pPr>
      <w:r>
        <w:rPr>
          <w:rFonts w:eastAsia="Batang"/>
        </w:rPr>
        <w:t>5</w:t>
      </w:r>
      <w:r w:rsidR="008532FC">
        <w:rPr>
          <w:rFonts w:eastAsia="Batang"/>
        </w:rPr>
        <w:t xml:space="preserve"> contributions were presented:</w:t>
      </w:r>
    </w:p>
    <w:p w:rsidR="00A22FA8" w:rsidRPr="00A22FA8" w:rsidRDefault="00A22FA8" w:rsidP="00A22FA8">
      <w:pPr>
        <w:widowControl w:val="0"/>
        <w:spacing w:before="120"/>
        <w:rPr>
          <w:rFonts w:eastAsia="Batang"/>
          <w:bCs/>
        </w:rPr>
      </w:pPr>
      <w:r w:rsidRPr="00A22FA8">
        <w:rPr>
          <w:rFonts w:eastAsia="Batang"/>
          <w:b/>
          <w:bCs/>
          <w:u w:val="single"/>
        </w:rPr>
        <w:t>Contribution #</w:t>
      </w:r>
      <w:proofErr w:type="gramStart"/>
      <w:r w:rsidRPr="00A22FA8">
        <w:rPr>
          <w:rFonts w:eastAsia="Batang"/>
          <w:b/>
          <w:bCs/>
          <w:u w:val="single"/>
        </w:rPr>
        <w:t xml:space="preserve">1 </w:t>
      </w:r>
      <w:r w:rsidRPr="00A22FA8">
        <w:rPr>
          <w:rFonts w:eastAsia="Batang"/>
          <w:b/>
          <w:bCs/>
        </w:rPr>
        <w:t>:</w:t>
      </w:r>
      <w:proofErr w:type="gramEnd"/>
      <w:r w:rsidRPr="00A22FA8">
        <w:rPr>
          <w:rFonts w:eastAsia="Batang"/>
          <w:bCs/>
        </w:rPr>
        <w:t xml:space="preserve"> Thomas Kürner, TU Braunschweig (Germany), “Launching a Study Group on THz”; (Document 15-13-0130-00-0thz)</w:t>
      </w:r>
    </w:p>
    <w:p w:rsidR="00A22FA8" w:rsidRDefault="00A22FA8" w:rsidP="00A22FA8">
      <w:pPr>
        <w:widowControl w:val="0"/>
        <w:spacing w:before="120"/>
        <w:rPr>
          <w:rFonts w:eastAsia="Batang"/>
          <w:bCs/>
        </w:rPr>
      </w:pPr>
      <w:r w:rsidRPr="00A22FA8">
        <w:rPr>
          <w:rFonts w:eastAsia="Batang"/>
          <w:bCs/>
        </w:rPr>
        <w:t xml:space="preserve">This documents follows the discussions at the previous IEEE 802 </w:t>
      </w:r>
      <w:proofErr w:type="spellStart"/>
      <w:r w:rsidRPr="00A22FA8">
        <w:rPr>
          <w:rFonts w:eastAsia="Batang"/>
          <w:bCs/>
        </w:rPr>
        <w:t>plenary's</w:t>
      </w:r>
      <w:proofErr w:type="spellEnd"/>
      <w:r w:rsidRPr="00A22FA8">
        <w:rPr>
          <w:rFonts w:eastAsia="Batang"/>
          <w:bCs/>
        </w:rPr>
        <w:t xml:space="preserve"> on spinning off a Study Group on THz Communications. To start this process a proposal is made to focus first on the application of THz Communications at wireless data centers. The </w:t>
      </w:r>
      <w:proofErr w:type="gramStart"/>
      <w:r w:rsidRPr="00A22FA8">
        <w:rPr>
          <w:rFonts w:eastAsia="Batang"/>
          <w:bCs/>
        </w:rPr>
        <w:t>documents concludes</w:t>
      </w:r>
      <w:proofErr w:type="gramEnd"/>
      <w:r w:rsidRPr="00A22FA8">
        <w:rPr>
          <w:rFonts w:eastAsia="Batang"/>
          <w:bCs/>
        </w:rPr>
        <w:t xml:space="preserve"> with a proposal for a roadmap on creating a study group.</w:t>
      </w:r>
      <w:r w:rsidR="001F7133">
        <w:rPr>
          <w:rFonts w:eastAsia="Batang"/>
          <w:bCs/>
        </w:rPr>
        <w:t xml:space="preserve"> </w:t>
      </w:r>
    </w:p>
    <w:p w:rsidR="001F7133" w:rsidRPr="00A22FA8" w:rsidRDefault="001F7133" w:rsidP="00A22FA8">
      <w:pPr>
        <w:widowControl w:val="0"/>
        <w:spacing w:before="120"/>
        <w:rPr>
          <w:rFonts w:eastAsia="Batang"/>
          <w:bCs/>
        </w:rPr>
      </w:pPr>
      <w:r>
        <w:rPr>
          <w:rFonts w:eastAsia="Batang"/>
          <w:bCs/>
        </w:rPr>
        <w:t xml:space="preserve">Based on the discussion following the presentation of contribution 1, a revision of </w:t>
      </w:r>
      <w:proofErr w:type="gramStart"/>
      <w:r>
        <w:rPr>
          <w:rFonts w:eastAsia="Batang"/>
          <w:bCs/>
        </w:rPr>
        <w:t>the  document</w:t>
      </w:r>
      <w:proofErr w:type="gramEnd"/>
      <w:r>
        <w:rPr>
          <w:rFonts w:eastAsia="Batang"/>
          <w:bCs/>
        </w:rPr>
        <w:t xml:space="preserve"> has been produced (13/130r1), which was presented to the 801.15 SC WNG on Wednesday AM2.</w:t>
      </w:r>
    </w:p>
    <w:p w:rsidR="00A22FA8" w:rsidRPr="00A22FA8" w:rsidRDefault="00A22FA8" w:rsidP="00A22FA8">
      <w:pPr>
        <w:widowControl w:val="0"/>
        <w:spacing w:before="120"/>
        <w:rPr>
          <w:rFonts w:eastAsia="Batang"/>
          <w:bCs/>
        </w:rPr>
      </w:pPr>
      <w:r w:rsidRPr="00A22FA8">
        <w:rPr>
          <w:rFonts w:eastAsia="Batang"/>
          <w:b/>
          <w:bCs/>
          <w:u w:val="single"/>
        </w:rPr>
        <w:t>Contribution #</w:t>
      </w:r>
      <w:proofErr w:type="gramStart"/>
      <w:r w:rsidRPr="00A22FA8">
        <w:rPr>
          <w:rFonts w:eastAsia="Batang"/>
          <w:b/>
          <w:bCs/>
          <w:u w:val="single"/>
        </w:rPr>
        <w:t>2 :</w:t>
      </w:r>
      <w:proofErr w:type="gramEnd"/>
      <w:r w:rsidRPr="00A22FA8">
        <w:rPr>
          <w:rFonts w:eastAsia="Batang"/>
          <w:b/>
          <w:bCs/>
          <w:u w:val="single"/>
        </w:rPr>
        <w:t xml:space="preserve"> </w:t>
      </w:r>
      <w:r w:rsidRPr="00A22FA8">
        <w:rPr>
          <w:rFonts w:eastAsia="Batang"/>
          <w:bCs/>
        </w:rPr>
        <w:t xml:space="preserve">Hiroyo Ogawa, </w:t>
      </w:r>
      <w:r w:rsidR="00B201CD">
        <w:rPr>
          <w:rFonts w:eastAsia="Batang"/>
          <w:bCs/>
        </w:rPr>
        <w:t>ARIB</w:t>
      </w:r>
      <w:r w:rsidRPr="00A22FA8">
        <w:rPr>
          <w:rFonts w:eastAsia="Batang"/>
          <w:bCs/>
        </w:rPr>
        <w:t>, (Japan), “Optical interconnection of data center”; (Document 15-13-0181-02-0thz)</w:t>
      </w:r>
    </w:p>
    <w:p w:rsidR="00A22FA8" w:rsidRPr="00A22FA8" w:rsidRDefault="00A22FA8" w:rsidP="00A22FA8">
      <w:pPr>
        <w:widowControl w:val="0"/>
        <w:spacing w:before="120"/>
        <w:rPr>
          <w:rFonts w:eastAsia="Batang"/>
          <w:bCs/>
        </w:rPr>
      </w:pPr>
      <w:r w:rsidRPr="00A22FA8">
        <w:rPr>
          <w:rFonts w:eastAsia="Batang"/>
          <w:bCs/>
        </w:rPr>
        <w:t xml:space="preserve">The data rate of optical interconnection known as </w:t>
      </w:r>
      <w:proofErr w:type="spellStart"/>
      <w:r w:rsidRPr="00A22FA8">
        <w:rPr>
          <w:rFonts w:eastAsia="Batang"/>
          <w:bCs/>
        </w:rPr>
        <w:t>InfiniBand</w:t>
      </w:r>
      <w:proofErr w:type="spellEnd"/>
      <w:r w:rsidRPr="00A22FA8">
        <w:rPr>
          <w:rFonts w:eastAsia="Batang"/>
          <w:bCs/>
        </w:rPr>
        <w:t xml:space="preserve"> are presented as information for future terahertz communication systems.</w:t>
      </w:r>
    </w:p>
    <w:p w:rsidR="009646E5" w:rsidRDefault="00A22FA8" w:rsidP="00A22FA8">
      <w:pPr>
        <w:widowControl w:val="0"/>
        <w:spacing w:before="120"/>
        <w:rPr>
          <w:rFonts w:eastAsia="Batang"/>
          <w:bCs/>
        </w:rPr>
      </w:pPr>
      <w:r w:rsidRPr="00A22FA8">
        <w:rPr>
          <w:rFonts w:eastAsia="Batang"/>
          <w:b/>
          <w:bCs/>
          <w:u w:val="single"/>
        </w:rPr>
        <w:t>Contribution #</w:t>
      </w:r>
      <w:proofErr w:type="gramStart"/>
      <w:r w:rsidRPr="00A22FA8">
        <w:rPr>
          <w:rFonts w:eastAsia="Batang"/>
          <w:b/>
          <w:bCs/>
          <w:u w:val="single"/>
        </w:rPr>
        <w:t>3 :</w:t>
      </w:r>
      <w:proofErr w:type="gramEnd"/>
      <w:r w:rsidRPr="00A22FA8">
        <w:rPr>
          <w:rFonts w:eastAsia="Batang"/>
          <w:b/>
          <w:bCs/>
          <w:u w:val="single"/>
        </w:rPr>
        <w:t xml:space="preserve"> </w:t>
      </w:r>
      <w:r w:rsidRPr="00A22FA8">
        <w:rPr>
          <w:rFonts w:eastAsia="Batang"/>
          <w:bCs/>
        </w:rPr>
        <w:t>Sebastian Priebe, TU Braunschweig (Germany) ,“MAC Layer Concepts for THz Communications”; (Document 15-13-0119-00-0thz)</w:t>
      </w:r>
    </w:p>
    <w:p w:rsidR="00A22FA8" w:rsidRDefault="00A22FA8" w:rsidP="00A22FA8">
      <w:pPr>
        <w:widowControl w:val="0"/>
        <w:spacing w:before="120"/>
        <w:jc w:val="both"/>
        <w:rPr>
          <w:rFonts w:eastAsia="Batang"/>
          <w:bCs/>
        </w:rPr>
      </w:pPr>
      <w:r w:rsidRPr="00A22FA8">
        <w:rPr>
          <w:rFonts w:eastAsia="Batang"/>
          <w:bCs/>
        </w:rPr>
        <w:t xml:space="preserve">Wireless THz radio networks will, alike any other digital data transmission system, need an appropriate Medium Access Control protocol definition, which has not been subject to any discussions in the Interest Group THz yet. Hence, this document identifies the basic requirements for a THz MAC layer to be fulfilled. Those requirements differ significantly from conventional wireless data communications systems and depend highly on the use cases of THz radio, as is illustrated. Moreover, the document addresses the potential reuse of established MAC protocol definitions </w:t>
      </w:r>
      <w:proofErr w:type="spellStart"/>
      <w:r w:rsidRPr="00A22FA8">
        <w:rPr>
          <w:rFonts w:eastAsia="Batang"/>
          <w:bCs/>
        </w:rPr>
        <w:t>forTHz</w:t>
      </w:r>
      <w:proofErr w:type="spellEnd"/>
      <w:r w:rsidRPr="00A22FA8">
        <w:rPr>
          <w:rFonts w:eastAsia="Batang"/>
          <w:bCs/>
        </w:rPr>
        <w:t xml:space="preserve"> communications and names required amendments, where applicable.</w:t>
      </w:r>
    </w:p>
    <w:p w:rsidR="00A22FA8" w:rsidRPr="00A22FA8" w:rsidRDefault="00A22FA8" w:rsidP="00A22FA8">
      <w:pPr>
        <w:widowControl w:val="0"/>
        <w:spacing w:before="120"/>
        <w:rPr>
          <w:rFonts w:eastAsia="Batang"/>
          <w:bCs/>
        </w:rPr>
      </w:pPr>
      <w:r w:rsidRPr="00A22FA8">
        <w:rPr>
          <w:rFonts w:eastAsia="Batang"/>
          <w:b/>
          <w:bCs/>
          <w:u w:val="single"/>
        </w:rPr>
        <w:t>Contribution #</w:t>
      </w:r>
      <w:proofErr w:type="gramStart"/>
      <w:r w:rsidRPr="00A22FA8">
        <w:rPr>
          <w:rFonts w:eastAsia="Batang"/>
          <w:b/>
          <w:bCs/>
          <w:u w:val="single"/>
        </w:rPr>
        <w:t xml:space="preserve">4 </w:t>
      </w:r>
      <w:r w:rsidRPr="00A22FA8">
        <w:rPr>
          <w:rFonts w:eastAsia="Batang"/>
          <w:b/>
          <w:bCs/>
        </w:rPr>
        <w:t>:</w:t>
      </w:r>
      <w:proofErr w:type="gramEnd"/>
      <w:r w:rsidRPr="00A22FA8">
        <w:rPr>
          <w:rFonts w:eastAsia="Batang"/>
          <w:b/>
          <w:bCs/>
        </w:rPr>
        <w:t xml:space="preserve"> </w:t>
      </w:r>
      <w:r w:rsidR="00205684">
        <w:rPr>
          <w:rFonts w:eastAsia="Batang"/>
          <w:bCs/>
        </w:rPr>
        <w:t xml:space="preserve">John </w:t>
      </w:r>
      <w:proofErr w:type="spellStart"/>
      <w:r w:rsidR="00205684">
        <w:rPr>
          <w:rFonts w:eastAsia="Batang"/>
          <w:bCs/>
        </w:rPr>
        <w:t>d’</w:t>
      </w:r>
      <w:proofErr w:type="spellEnd"/>
      <w:r w:rsidR="00205684">
        <w:rPr>
          <w:rFonts w:eastAsia="Batang"/>
          <w:bCs/>
        </w:rPr>
        <w:t xml:space="preserve"> Ambrosia</w:t>
      </w:r>
      <w:r w:rsidRPr="00A22FA8">
        <w:rPr>
          <w:rFonts w:eastAsia="Batang"/>
          <w:bCs/>
        </w:rPr>
        <w:t xml:space="preserve">, Dell (USA), “Introduction: Industry Connections in IEEE 802”; (Document </w:t>
      </w:r>
      <w:r w:rsidRPr="00A22FA8">
        <w:rPr>
          <w:rFonts w:eastAsia="Batang"/>
          <w:b/>
          <w:bCs/>
        </w:rPr>
        <w:t>15-13-0146-00-0thz</w:t>
      </w:r>
      <w:r w:rsidRPr="00A22FA8">
        <w:rPr>
          <w:rFonts w:eastAsia="Batang"/>
          <w:bCs/>
        </w:rPr>
        <w:t xml:space="preserve">) </w:t>
      </w:r>
    </w:p>
    <w:p w:rsidR="00A22FA8" w:rsidRDefault="001F7133" w:rsidP="00A22FA8">
      <w:pPr>
        <w:widowControl w:val="0"/>
        <w:spacing w:before="120"/>
        <w:rPr>
          <w:rFonts w:eastAsia="Batang"/>
          <w:bCs/>
        </w:rPr>
      </w:pPr>
      <w:proofErr w:type="gramStart"/>
      <w:r>
        <w:rPr>
          <w:rFonts w:eastAsia="Batang"/>
          <w:bCs/>
        </w:rPr>
        <w:t>Information of the IG THz on the Industry Connection.</w:t>
      </w:r>
      <w:proofErr w:type="gramEnd"/>
    </w:p>
    <w:p w:rsidR="00A22FA8" w:rsidRPr="00A22FA8" w:rsidRDefault="00A22FA8" w:rsidP="00A22FA8">
      <w:pPr>
        <w:widowControl w:val="0"/>
        <w:spacing w:before="120"/>
        <w:rPr>
          <w:rFonts w:eastAsia="Batang"/>
          <w:bCs/>
        </w:rPr>
      </w:pPr>
      <w:r w:rsidRPr="00A22FA8">
        <w:rPr>
          <w:rFonts w:eastAsia="Batang"/>
          <w:b/>
          <w:bCs/>
          <w:u w:val="single"/>
        </w:rPr>
        <w:t>Contribution #</w:t>
      </w:r>
      <w:proofErr w:type="gramStart"/>
      <w:r w:rsidRPr="00A22FA8">
        <w:rPr>
          <w:rFonts w:eastAsia="Batang"/>
          <w:b/>
          <w:bCs/>
          <w:u w:val="single"/>
        </w:rPr>
        <w:t xml:space="preserve">5 </w:t>
      </w:r>
      <w:r w:rsidRPr="00A22FA8">
        <w:rPr>
          <w:rFonts w:eastAsia="Batang"/>
          <w:b/>
          <w:bCs/>
        </w:rPr>
        <w:t>:</w:t>
      </w:r>
      <w:proofErr w:type="gramEnd"/>
      <w:r w:rsidRPr="00A22FA8">
        <w:rPr>
          <w:rFonts w:eastAsia="Batang"/>
          <w:b/>
          <w:bCs/>
        </w:rPr>
        <w:t xml:space="preserve"> </w:t>
      </w:r>
      <w:r w:rsidRPr="00A22FA8">
        <w:rPr>
          <w:rFonts w:eastAsia="Batang"/>
          <w:bCs/>
        </w:rPr>
        <w:t xml:space="preserve">Michael </w:t>
      </w:r>
      <w:proofErr w:type="spellStart"/>
      <w:r w:rsidRPr="00A22FA8">
        <w:rPr>
          <w:rFonts w:eastAsia="Batang"/>
          <w:bCs/>
        </w:rPr>
        <w:t>Grigat</w:t>
      </w:r>
      <w:proofErr w:type="spellEnd"/>
      <w:r w:rsidRPr="00A22FA8">
        <w:rPr>
          <w:rFonts w:eastAsia="Batang"/>
          <w:bCs/>
        </w:rPr>
        <w:t xml:space="preserve"> , Deutsche Telekom (Germany), “Propagation Aspects of Terahertz Outdoor Fixed Wireless Links”; (Document </w:t>
      </w:r>
      <w:r w:rsidRPr="00A22FA8">
        <w:rPr>
          <w:rFonts w:eastAsia="Batang"/>
          <w:b/>
          <w:bCs/>
        </w:rPr>
        <w:t>15-13-0175-01-0thz</w:t>
      </w:r>
      <w:r w:rsidRPr="00A22FA8">
        <w:rPr>
          <w:rFonts w:eastAsia="Batang"/>
          <w:bCs/>
        </w:rPr>
        <w:t xml:space="preserve">) </w:t>
      </w:r>
    </w:p>
    <w:p w:rsidR="00A22FA8" w:rsidRPr="00A22FA8" w:rsidRDefault="001F7133" w:rsidP="001F7133">
      <w:pPr>
        <w:widowControl w:val="0"/>
        <w:spacing w:before="120"/>
        <w:jc w:val="both"/>
        <w:rPr>
          <w:rFonts w:eastAsia="Batang"/>
          <w:bCs/>
        </w:rPr>
      </w:pPr>
      <w:r w:rsidRPr="001F7133">
        <w:rPr>
          <w:rFonts w:eastAsia="Batang"/>
          <w:bCs/>
        </w:rPr>
        <w:t>Based on previous presented Link Budget Analysis for Terahertz Fixed Wireless Links (15-12-</w:t>
      </w:r>
      <w:r w:rsidRPr="001F7133">
        <w:rPr>
          <w:rFonts w:eastAsia="Batang"/>
          <w:bCs/>
        </w:rPr>
        <w:lastRenderedPageBreak/>
        <w:t>0582) some additional link aspects for Terahertz Fixed Wireless Links are further discussed, addressing the</w:t>
      </w:r>
      <w:r>
        <w:rPr>
          <w:rFonts w:eastAsia="Batang"/>
          <w:bCs/>
        </w:rPr>
        <w:t xml:space="preserve"> </w:t>
      </w:r>
      <w:r w:rsidRPr="001F7133">
        <w:rPr>
          <w:rFonts w:eastAsia="Batang"/>
          <w:bCs/>
        </w:rPr>
        <w:t>influence of fog and rain and impairments of pole twist and sway effects for high gain antenna links.</w:t>
      </w:r>
    </w:p>
    <w:p w:rsidR="001E3B19" w:rsidRDefault="001F7133" w:rsidP="004B7753">
      <w:pPr>
        <w:widowControl w:val="0"/>
        <w:spacing w:before="120"/>
        <w:rPr>
          <w:rFonts w:eastAsia="Batang"/>
        </w:rPr>
      </w:pPr>
      <w:r>
        <w:rPr>
          <w:rFonts w:eastAsia="Batang"/>
        </w:rPr>
        <w:t>Furthermore three</w:t>
      </w:r>
      <w:r w:rsidR="004B7753">
        <w:rPr>
          <w:rFonts w:eastAsia="Batang"/>
        </w:rPr>
        <w:t xml:space="preserve"> rounds of discussions have been made targeting</w:t>
      </w:r>
      <w:r w:rsidR="001E3B19">
        <w:rPr>
          <w:rFonts w:eastAsia="Batang"/>
        </w:rPr>
        <w:t>:</w:t>
      </w:r>
    </w:p>
    <w:p w:rsidR="001F7133" w:rsidRPr="001F7133" w:rsidRDefault="001F7133" w:rsidP="001E3B19">
      <w:pPr>
        <w:pStyle w:val="Listenabsatz"/>
        <w:widowControl w:val="0"/>
        <w:numPr>
          <w:ilvl w:val="0"/>
          <w:numId w:val="14"/>
        </w:numPr>
        <w:spacing w:before="120"/>
        <w:rPr>
          <w:rFonts w:eastAsia="Batang"/>
          <w:b/>
        </w:rPr>
      </w:pPr>
      <w:r w:rsidRPr="001F7133">
        <w:rPr>
          <w:rFonts w:eastAsia="Batang"/>
          <w:b/>
        </w:rPr>
        <w:t>Feedback from the presentation of (13/130r1) to SC WNG:</w:t>
      </w:r>
    </w:p>
    <w:p w:rsidR="001F7133" w:rsidRPr="001F7133" w:rsidRDefault="001F7133" w:rsidP="001F7133">
      <w:pPr>
        <w:widowControl w:val="0"/>
        <w:ind w:left="357"/>
        <w:rPr>
          <w:rFonts w:eastAsia="Batang"/>
        </w:rPr>
      </w:pPr>
      <w:r>
        <w:rPr>
          <w:rFonts w:eastAsia="Batang"/>
        </w:rPr>
        <w:tab/>
        <w:t xml:space="preserve">The only discussion after the presentation was on the comparison of THz </w:t>
      </w:r>
      <w:r>
        <w:rPr>
          <w:rFonts w:eastAsia="Batang"/>
        </w:rPr>
        <w:tab/>
        <w:t xml:space="preserve">communications with FSO. A broader scope of the PAR should include also FSO as a </w:t>
      </w:r>
      <w:r>
        <w:rPr>
          <w:rFonts w:eastAsia="Batang"/>
        </w:rPr>
        <w:tab/>
        <w:t>potential solution.</w:t>
      </w:r>
    </w:p>
    <w:p w:rsidR="001E3B19" w:rsidRDefault="001E3B19" w:rsidP="001E3B19">
      <w:pPr>
        <w:pStyle w:val="Listenabsatz"/>
        <w:widowControl w:val="0"/>
        <w:numPr>
          <w:ilvl w:val="0"/>
          <w:numId w:val="14"/>
        </w:numPr>
        <w:spacing w:before="120"/>
        <w:rPr>
          <w:rFonts w:eastAsia="Batang"/>
        </w:rPr>
      </w:pPr>
      <w:r w:rsidRPr="001E3B19">
        <w:rPr>
          <w:rFonts w:eastAsia="Batang"/>
          <w:b/>
        </w:rPr>
        <w:t>Discussion on the TED</w:t>
      </w:r>
      <w:r>
        <w:rPr>
          <w:rFonts w:eastAsia="Batang"/>
          <w:b/>
        </w:rPr>
        <w:t xml:space="preserve"> (11/745r</w:t>
      </w:r>
      <w:r w:rsidR="001F7133">
        <w:rPr>
          <w:rFonts w:eastAsia="Batang"/>
          <w:b/>
        </w:rPr>
        <w:t>7</w:t>
      </w:r>
      <w:r>
        <w:rPr>
          <w:rFonts w:eastAsia="Batang"/>
          <w:b/>
        </w:rPr>
        <w:t>)</w:t>
      </w:r>
      <w:r>
        <w:rPr>
          <w:rFonts w:eastAsia="Batang"/>
        </w:rPr>
        <w:t xml:space="preserve">: </w:t>
      </w:r>
      <w:r w:rsidR="008344D5">
        <w:rPr>
          <w:rFonts w:eastAsia="Batang"/>
        </w:rPr>
        <w:t>The content of the TED has been updated based on the contributions made in the meeting.</w:t>
      </w:r>
    </w:p>
    <w:p w:rsidR="00A22FA8" w:rsidRPr="00A22FA8" w:rsidRDefault="00A22FA8" w:rsidP="00A22FA8">
      <w:pPr>
        <w:pStyle w:val="Listenabsatz"/>
        <w:widowControl w:val="0"/>
        <w:numPr>
          <w:ilvl w:val="0"/>
          <w:numId w:val="14"/>
        </w:numPr>
        <w:spacing w:before="120"/>
        <w:jc w:val="both"/>
        <w:rPr>
          <w:rFonts w:eastAsia="Batang"/>
          <w:b/>
        </w:rPr>
      </w:pPr>
      <w:r w:rsidRPr="00A22FA8">
        <w:rPr>
          <w:rFonts w:eastAsia="Batang"/>
          <w:b/>
        </w:rPr>
        <w:t xml:space="preserve">Discussion on spinning-off a Study Group on „ Beam switchable wireless point-to-point 40/100 </w:t>
      </w:r>
      <w:proofErr w:type="spellStart"/>
      <w:r w:rsidRPr="00A22FA8">
        <w:rPr>
          <w:rFonts w:eastAsia="Batang"/>
          <w:b/>
        </w:rPr>
        <w:t>Gbps</w:t>
      </w:r>
      <w:proofErr w:type="spellEnd"/>
      <w:r w:rsidRPr="00A22FA8">
        <w:rPr>
          <w:rFonts w:eastAsia="Batang"/>
          <w:b/>
        </w:rPr>
        <w:t xml:space="preserve"> links”</w:t>
      </w:r>
    </w:p>
    <w:p w:rsidR="00A22FA8" w:rsidRPr="002B09D3" w:rsidRDefault="00A22FA8" w:rsidP="002B09D3">
      <w:pPr>
        <w:pStyle w:val="Listenabsatz"/>
        <w:widowControl w:val="0"/>
        <w:numPr>
          <w:ilvl w:val="0"/>
          <w:numId w:val="17"/>
        </w:numPr>
        <w:spacing w:before="120"/>
        <w:jc w:val="both"/>
        <w:rPr>
          <w:rFonts w:eastAsia="Batang"/>
        </w:rPr>
      </w:pPr>
      <w:r w:rsidRPr="00A22FA8">
        <w:rPr>
          <w:rFonts w:eastAsia="Batang"/>
        </w:rPr>
        <w:t>Several possibilities to increase interest from industry have been discussed</w:t>
      </w:r>
      <w:r w:rsidR="002B09D3">
        <w:rPr>
          <w:rFonts w:eastAsia="Batang"/>
        </w:rPr>
        <w:t xml:space="preserve">. </w:t>
      </w:r>
      <w:r w:rsidRPr="002B09D3">
        <w:rPr>
          <w:rFonts w:eastAsia="Batang"/>
        </w:rPr>
        <w:t>Going through Industry Connection may not help on short-term</w:t>
      </w:r>
      <w:r w:rsidR="002B09D3">
        <w:rPr>
          <w:rFonts w:eastAsia="Batang"/>
        </w:rPr>
        <w:t>. But initiating an IC activity may be of interest for the future.</w:t>
      </w:r>
    </w:p>
    <w:p w:rsidR="00A22FA8" w:rsidRDefault="002B09D3" w:rsidP="00A22FA8">
      <w:pPr>
        <w:pStyle w:val="Listenabsatz"/>
        <w:widowControl w:val="0"/>
        <w:numPr>
          <w:ilvl w:val="0"/>
          <w:numId w:val="17"/>
        </w:numPr>
        <w:spacing w:before="120"/>
        <w:jc w:val="both"/>
        <w:rPr>
          <w:rFonts w:eastAsia="Batang"/>
        </w:rPr>
      </w:pPr>
      <w:r>
        <w:rPr>
          <w:rFonts w:eastAsia="Batang"/>
        </w:rPr>
        <w:t>The following steps and APs to be completed</w:t>
      </w:r>
      <w:r w:rsidR="00A22FA8" w:rsidRPr="00A22FA8">
        <w:rPr>
          <w:rFonts w:eastAsia="Batang"/>
        </w:rPr>
        <w:t xml:space="preserve"> until the </w:t>
      </w:r>
      <w:proofErr w:type="spellStart"/>
      <w:r w:rsidR="00A22FA8" w:rsidRPr="00A22FA8">
        <w:rPr>
          <w:rFonts w:eastAsia="Batang"/>
        </w:rPr>
        <w:t>Genenva</w:t>
      </w:r>
      <w:proofErr w:type="spellEnd"/>
      <w:r w:rsidR="00A22FA8" w:rsidRPr="00A22FA8">
        <w:rPr>
          <w:rFonts w:eastAsia="Batang"/>
        </w:rPr>
        <w:t xml:space="preserve"> Plenary</w:t>
      </w:r>
      <w:r>
        <w:rPr>
          <w:rFonts w:eastAsia="Batang"/>
        </w:rPr>
        <w:t xml:space="preserve"> have been agreed:</w:t>
      </w:r>
    </w:p>
    <w:p w:rsidR="00A22FA8" w:rsidRDefault="00A22FA8" w:rsidP="00A22FA8">
      <w:pPr>
        <w:pStyle w:val="Listenabsatz"/>
        <w:widowControl w:val="0"/>
        <w:numPr>
          <w:ilvl w:val="0"/>
          <w:numId w:val="17"/>
        </w:numPr>
        <w:spacing w:before="120"/>
        <w:ind w:left="1418"/>
        <w:jc w:val="both"/>
        <w:rPr>
          <w:rFonts w:eastAsia="Batang"/>
        </w:rPr>
      </w:pPr>
      <w:r>
        <w:rPr>
          <w:rFonts w:eastAsia="Batang"/>
        </w:rPr>
        <w:tab/>
      </w:r>
      <w:r w:rsidRPr="00A22FA8">
        <w:rPr>
          <w:rFonts w:eastAsia="Batang"/>
        </w:rPr>
        <w:t xml:space="preserve">Direct approach of potential users for a presentation at Geneva or </w:t>
      </w:r>
      <w:proofErr w:type="gramStart"/>
      <w:r w:rsidRPr="00A22FA8">
        <w:rPr>
          <w:rFonts w:eastAsia="Batang"/>
        </w:rPr>
        <w:t>a</w:t>
      </w:r>
      <w:proofErr w:type="gramEnd"/>
      <w:r w:rsidRPr="00A22FA8">
        <w:rPr>
          <w:rFonts w:eastAsia="Batang"/>
        </w:rPr>
        <w:t xml:space="preserve"> at least in a </w:t>
      </w:r>
      <w:r>
        <w:rPr>
          <w:rFonts w:eastAsia="Batang"/>
        </w:rPr>
        <w:tab/>
      </w:r>
      <w:r w:rsidRPr="00A22FA8">
        <w:rPr>
          <w:rFonts w:eastAsia="Batang"/>
        </w:rPr>
        <w:t>Telco before the Geneva Meeting</w:t>
      </w:r>
      <w:r w:rsidR="002B09D3">
        <w:rPr>
          <w:rFonts w:eastAsia="Batang"/>
        </w:rPr>
        <w:t xml:space="preserve"> (based on the list of authors of papers on this topic, e. g.)</w:t>
      </w:r>
    </w:p>
    <w:p w:rsidR="00A22FA8" w:rsidRDefault="00A22FA8" w:rsidP="00A22FA8">
      <w:pPr>
        <w:pStyle w:val="Listenabsatz"/>
        <w:widowControl w:val="0"/>
        <w:numPr>
          <w:ilvl w:val="0"/>
          <w:numId w:val="17"/>
        </w:numPr>
        <w:spacing w:before="120"/>
        <w:ind w:left="1418"/>
        <w:jc w:val="both"/>
        <w:rPr>
          <w:rFonts w:eastAsia="Batang"/>
        </w:rPr>
      </w:pPr>
      <w:r>
        <w:rPr>
          <w:rFonts w:eastAsia="Batang"/>
        </w:rPr>
        <w:tab/>
      </w:r>
      <w:r w:rsidRPr="00A22FA8">
        <w:rPr>
          <w:rFonts w:eastAsia="Batang"/>
        </w:rPr>
        <w:t xml:space="preserve">For the data center application </w:t>
      </w:r>
      <w:r w:rsidR="002B09D3">
        <w:rPr>
          <w:rFonts w:eastAsia="Batang"/>
        </w:rPr>
        <w:t>it might be helpful to set</w:t>
      </w:r>
      <w:r w:rsidRPr="00A22FA8">
        <w:rPr>
          <w:rFonts w:eastAsia="Batang"/>
        </w:rPr>
        <w:t xml:space="preserve"> up a link with 802.3</w:t>
      </w:r>
      <w:r w:rsidR="002B09D3">
        <w:rPr>
          <w:rFonts w:eastAsia="Batang"/>
        </w:rPr>
        <w:t>. It is likely that in 802.3 representatives from potential end users</w:t>
      </w:r>
      <w:r w:rsidRPr="00A22FA8">
        <w:rPr>
          <w:rFonts w:eastAsia="Batang"/>
        </w:rPr>
        <w:t xml:space="preserve"> </w:t>
      </w:r>
      <w:r w:rsidR="002B09D3">
        <w:rPr>
          <w:rFonts w:eastAsia="Batang"/>
        </w:rPr>
        <w:t>are participating there.</w:t>
      </w:r>
    </w:p>
    <w:p w:rsidR="002B09D3" w:rsidRDefault="00A22FA8" w:rsidP="002B09D3">
      <w:pPr>
        <w:pStyle w:val="Listenabsatz"/>
        <w:widowControl w:val="0"/>
        <w:numPr>
          <w:ilvl w:val="0"/>
          <w:numId w:val="17"/>
        </w:numPr>
        <w:spacing w:before="120"/>
        <w:ind w:left="1418"/>
        <w:jc w:val="both"/>
        <w:rPr>
          <w:rFonts w:eastAsia="Batang"/>
        </w:rPr>
      </w:pPr>
      <w:r w:rsidRPr="002B09D3">
        <w:rPr>
          <w:rFonts w:eastAsia="Batang"/>
        </w:rPr>
        <w:tab/>
      </w:r>
      <w:r w:rsidR="002B09D3" w:rsidRPr="00A22FA8">
        <w:rPr>
          <w:rFonts w:eastAsia="Batang"/>
        </w:rPr>
        <w:t>for the Geneva meeting</w:t>
      </w:r>
      <w:r w:rsidR="002B09D3">
        <w:rPr>
          <w:rFonts w:eastAsia="Batang"/>
        </w:rPr>
        <w:t xml:space="preserve"> a p</w:t>
      </w:r>
      <w:r w:rsidRPr="002B09D3">
        <w:rPr>
          <w:rFonts w:eastAsia="Batang"/>
        </w:rPr>
        <w:t xml:space="preserve">reparation of a more detailed presentation on wireless data centers </w:t>
      </w:r>
    </w:p>
    <w:p w:rsidR="0052051C" w:rsidRPr="002B09D3" w:rsidRDefault="00A22FA8" w:rsidP="002B09D3">
      <w:pPr>
        <w:pStyle w:val="Listenabsatz"/>
        <w:widowControl w:val="0"/>
        <w:numPr>
          <w:ilvl w:val="0"/>
          <w:numId w:val="17"/>
        </w:numPr>
        <w:spacing w:before="120"/>
        <w:ind w:left="1418"/>
        <w:jc w:val="both"/>
        <w:rPr>
          <w:rFonts w:eastAsia="Batang"/>
        </w:rPr>
      </w:pPr>
      <w:proofErr w:type="gramStart"/>
      <w:r w:rsidRPr="002B09D3">
        <w:rPr>
          <w:rFonts w:eastAsia="Batang"/>
        </w:rPr>
        <w:t xml:space="preserve">At  </w:t>
      </w:r>
      <w:r w:rsidR="002B09D3">
        <w:rPr>
          <w:rFonts w:eastAsia="Batang"/>
        </w:rPr>
        <w:t>Geneva</w:t>
      </w:r>
      <w:proofErr w:type="gramEnd"/>
      <w:r w:rsidR="002B09D3">
        <w:rPr>
          <w:rFonts w:eastAsia="Batang"/>
        </w:rPr>
        <w:t xml:space="preserve"> the status will be revised in order to decide whether </w:t>
      </w:r>
      <w:r w:rsidRPr="002B09D3">
        <w:rPr>
          <w:rFonts w:eastAsia="Batang"/>
        </w:rPr>
        <w:t xml:space="preserve"> a motion towards a Study Group</w:t>
      </w:r>
      <w:r w:rsidR="002B09D3">
        <w:rPr>
          <w:rFonts w:eastAsia="Batang"/>
        </w:rPr>
        <w:t xml:space="preserve"> should be made.</w:t>
      </w:r>
    </w:p>
    <w:p w:rsidR="001E3B19" w:rsidRPr="001E3B19" w:rsidRDefault="001E3B19" w:rsidP="00A22FA8">
      <w:pPr>
        <w:pStyle w:val="Listenabsatz"/>
        <w:widowControl w:val="0"/>
        <w:spacing w:before="120"/>
        <w:rPr>
          <w:rFonts w:eastAsia="Batang"/>
        </w:rPr>
      </w:pPr>
    </w:p>
    <w:p w:rsidR="002012B0" w:rsidRDefault="002012B0" w:rsidP="00D80C2B">
      <w:pPr>
        <w:widowControl w:val="0"/>
        <w:spacing w:before="120"/>
        <w:rPr>
          <w:rFonts w:eastAsia="Batang"/>
        </w:rPr>
      </w:pPr>
      <w:r>
        <w:rPr>
          <w:rFonts w:eastAsia="Batang"/>
        </w:rPr>
        <w:t xml:space="preserve">The meeting was adjourned </w:t>
      </w:r>
      <w:r w:rsidR="0043071E">
        <w:rPr>
          <w:rFonts w:eastAsia="Batang"/>
        </w:rPr>
        <w:t xml:space="preserve">on </w:t>
      </w:r>
      <w:r w:rsidR="00A22FA8">
        <w:rPr>
          <w:rFonts w:eastAsia="Batang"/>
        </w:rPr>
        <w:t>20</w:t>
      </w:r>
      <w:r w:rsidR="00AE6AD3">
        <w:rPr>
          <w:rFonts w:eastAsia="Batang"/>
        </w:rPr>
        <w:t xml:space="preserve"> </w:t>
      </w:r>
      <w:proofErr w:type="gramStart"/>
      <w:r w:rsidR="00A22FA8">
        <w:rPr>
          <w:rFonts w:eastAsia="Batang"/>
        </w:rPr>
        <w:t>March</w:t>
      </w:r>
      <w:r w:rsidR="004B7753">
        <w:rPr>
          <w:rFonts w:eastAsia="Batang"/>
        </w:rPr>
        <w:t xml:space="preserve"> </w:t>
      </w:r>
      <w:r w:rsidR="00FF5588">
        <w:rPr>
          <w:rFonts w:eastAsia="Batang"/>
        </w:rPr>
        <w:t xml:space="preserve"> a</w:t>
      </w:r>
      <w:r>
        <w:rPr>
          <w:rFonts w:eastAsia="Batang"/>
        </w:rPr>
        <w:t>t</w:t>
      </w:r>
      <w:proofErr w:type="gramEnd"/>
      <w:r>
        <w:rPr>
          <w:rFonts w:eastAsia="Batang"/>
        </w:rPr>
        <w:t xml:space="preserve"> </w:t>
      </w:r>
      <w:r w:rsidR="00770ADF">
        <w:rPr>
          <w:rFonts w:eastAsia="Batang"/>
        </w:rPr>
        <w:t>5.</w:t>
      </w:r>
      <w:r w:rsidR="00A22FA8">
        <w:rPr>
          <w:rFonts w:eastAsia="Batang"/>
        </w:rPr>
        <w:t>2</w:t>
      </w:r>
      <w:r>
        <w:rPr>
          <w:rFonts w:eastAsia="Batang"/>
        </w:rPr>
        <w:t xml:space="preserve"> </w:t>
      </w:r>
      <w:r w:rsidR="00B54AF2">
        <w:rPr>
          <w:rFonts w:eastAsia="Batang"/>
        </w:rPr>
        <w:t>p</w:t>
      </w:r>
      <w:r>
        <w:rPr>
          <w:rFonts w:eastAsia="Batang"/>
        </w:rPr>
        <w:t>m.</w:t>
      </w:r>
    </w:p>
    <w:p w:rsidR="00CC17DE" w:rsidRDefault="00CC17DE" w:rsidP="00D80C2B">
      <w:pPr>
        <w:widowControl w:val="0"/>
        <w:spacing w:before="120"/>
        <w:rPr>
          <w:b/>
          <w:u w:val="single"/>
        </w:rPr>
      </w:pPr>
    </w:p>
    <w:p w:rsidR="006E3752" w:rsidRPr="008F5DE6" w:rsidRDefault="00381D4E" w:rsidP="00D80C2B">
      <w:pPr>
        <w:widowControl w:val="0"/>
        <w:spacing w:before="120"/>
        <w:rPr>
          <w:b/>
          <w:u w:val="single"/>
        </w:rPr>
      </w:pPr>
      <w:r w:rsidRPr="008F5DE6">
        <w:rPr>
          <w:b/>
          <w:u w:val="single"/>
        </w:rPr>
        <w:t>Attendees:</w:t>
      </w:r>
    </w:p>
    <w:p w:rsidR="00984B6E" w:rsidRPr="008F5DE6" w:rsidRDefault="00984B6E" w:rsidP="007133FD">
      <w:pPr>
        <w:widowControl w:val="0"/>
        <w:spacing w:before="120"/>
        <w:rPr>
          <w:bCs/>
        </w:rPr>
      </w:pPr>
      <w:r w:rsidRPr="008F5DE6">
        <w:rPr>
          <w:bCs/>
        </w:rPr>
        <w:t>Thomas Kürner, TU Braunschweig</w:t>
      </w:r>
    </w:p>
    <w:p w:rsidR="00314D77" w:rsidRPr="008F5DE6" w:rsidRDefault="00314D77" w:rsidP="00984B6E">
      <w:pPr>
        <w:widowControl w:val="0"/>
        <w:spacing w:before="120"/>
        <w:rPr>
          <w:bCs/>
        </w:rPr>
      </w:pPr>
      <w:r w:rsidRPr="008F5DE6">
        <w:rPr>
          <w:bCs/>
        </w:rPr>
        <w:t xml:space="preserve">Katsuhiro </w:t>
      </w:r>
      <w:proofErr w:type="spellStart"/>
      <w:r w:rsidRPr="008F5DE6">
        <w:rPr>
          <w:bCs/>
        </w:rPr>
        <w:t>Aijto</w:t>
      </w:r>
      <w:proofErr w:type="spellEnd"/>
      <w:r w:rsidRPr="008F5DE6">
        <w:rPr>
          <w:bCs/>
        </w:rPr>
        <w:t>, NTT</w:t>
      </w:r>
      <w:r w:rsidR="008C1D0C" w:rsidRPr="008F5DE6">
        <w:rPr>
          <w:bCs/>
        </w:rPr>
        <w:t xml:space="preserve"> Corp.</w:t>
      </w:r>
    </w:p>
    <w:p w:rsidR="00C90D47" w:rsidRDefault="00C90D47" w:rsidP="00C90D47">
      <w:pPr>
        <w:widowControl w:val="0"/>
        <w:spacing w:before="120"/>
        <w:rPr>
          <w:bCs/>
        </w:rPr>
      </w:pPr>
      <w:r>
        <w:rPr>
          <w:bCs/>
        </w:rPr>
        <w:t>Shoichi Kitazawa, ATR Wave Engineering Labs</w:t>
      </w:r>
    </w:p>
    <w:p w:rsidR="004F61E7" w:rsidRDefault="004F61E7" w:rsidP="008C25D1">
      <w:pPr>
        <w:widowControl w:val="0"/>
        <w:spacing w:before="120"/>
        <w:rPr>
          <w:bCs/>
        </w:rPr>
      </w:pPr>
      <w:r>
        <w:rPr>
          <w:bCs/>
        </w:rPr>
        <w:t>Rick Roberts, Intel</w:t>
      </w:r>
    </w:p>
    <w:p w:rsidR="00247EDD" w:rsidRDefault="00247EDD" w:rsidP="00944A1D">
      <w:pPr>
        <w:widowControl w:val="0"/>
        <w:spacing w:before="120"/>
        <w:rPr>
          <w:bCs/>
        </w:rPr>
      </w:pPr>
      <w:r>
        <w:rPr>
          <w:bCs/>
        </w:rPr>
        <w:t xml:space="preserve">Nobuhiko </w:t>
      </w:r>
      <w:proofErr w:type="spellStart"/>
      <w:r>
        <w:rPr>
          <w:bCs/>
        </w:rPr>
        <w:t>Shibagaki</w:t>
      </w:r>
      <w:proofErr w:type="spellEnd"/>
      <w:r>
        <w:rPr>
          <w:bCs/>
        </w:rPr>
        <w:t>, Hitachi</w:t>
      </w:r>
    </w:p>
    <w:p w:rsidR="00944A1D" w:rsidRDefault="004B7753" w:rsidP="00564A85">
      <w:pPr>
        <w:widowControl w:val="0"/>
        <w:spacing w:before="120"/>
        <w:rPr>
          <w:bCs/>
        </w:rPr>
      </w:pPr>
      <w:r>
        <w:rPr>
          <w:bCs/>
        </w:rPr>
        <w:t xml:space="preserve">Norihiko </w:t>
      </w:r>
      <w:proofErr w:type="spellStart"/>
      <w:r>
        <w:rPr>
          <w:bCs/>
        </w:rPr>
        <w:t>Sekine</w:t>
      </w:r>
      <w:proofErr w:type="spellEnd"/>
      <w:r>
        <w:rPr>
          <w:bCs/>
        </w:rPr>
        <w:t>, NICT</w:t>
      </w:r>
    </w:p>
    <w:p w:rsidR="007D66C0" w:rsidRPr="007F380F" w:rsidRDefault="00F24D2C" w:rsidP="00564A85">
      <w:pPr>
        <w:widowControl w:val="0"/>
        <w:spacing w:before="120"/>
        <w:rPr>
          <w:bCs/>
          <w:lang w:val="de-DE"/>
        </w:rPr>
      </w:pPr>
      <w:r w:rsidRPr="007F380F">
        <w:rPr>
          <w:bCs/>
          <w:lang w:val="de-DE"/>
        </w:rPr>
        <w:t xml:space="preserve">Michael </w:t>
      </w:r>
      <w:proofErr w:type="spellStart"/>
      <w:r w:rsidRPr="007F380F">
        <w:rPr>
          <w:bCs/>
          <w:lang w:val="de-DE"/>
        </w:rPr>
        <w:t>Grigat</w:t>
      </w:r>
      <w:proofErr w:type="spellEnd"/>
      <w:r w:rsidRPr="007F380F">
        <w:rPr>
          <w:bCs/>
          <w:lang w:val="de-DE"/>
        </w:rPr>
        <w:t>, Deutsche Telekom</w:t>
      </w:r>
    </w:p>
    <w:p w:rsidR="007D66C0" w:rsidRDefault="00205684" w:rsidP="00564A85">
      <w:pPr>
        <w:widowControl w:val="0"/>
        <w:spacing w:before="120"/>
        <w:rPr>
          <w:bCs/>
          <w:lang w:val="de-DE"/>
        </w:rPr>
      </w:pPr>
      <w:r>
        <w:rPr>
          <w:bCs/>
          <w:lang w:val="de-DE"/>
        </w:rPr>
        <w:lastRenderedPageBreak/>
        <w:t>Ralf-Peter Braun, Deutsche Telekom</w:t>
      </w:r>
    </w:p>
    <w:p w:rsidR="00205684" w:rsidRDefault="00205684" w:rsidP="00564A85">
      <w:pPr>
        <w:widowControl w:val="0"/>
        <w:spacing w:before="120"/>
        <w:rPr>
          <w:bCs/>
          <w:lang w:val="de-DE"/>
        </w:rPr>
      </w:pPr>
      <w:r>
        <w:rPr>
          <w:bCs/>
          <w:lang w:val="de-DE"/>
        </w:rPr>
        <w:t>Sebastian Priebe, TU Braunschweig</w:t>
      </w:r>
    </w:p>
    <w:p w:rsidR="00205684" w:rsidRDefault="00205684" w:rsidP="00564A85">
      <w:pPr>
        <w:widowControl w:val="0"/>
        <w:spacing w:before="120"/>
        <w:rPr>
          <w:bCs/>
          <w:lang w:val="de-DE"/>
        </w:rPr>
      </w:pPr>
      <w:r>
        <w:rPr>
          <w:bCs/>
          <w:lang w:val="de-DE"/>
        </w:rPr>
        <w:t xml:space="preserve">Makoto Yaita, NTT, </w:t>
      </w:r>
      <w:proofErr w:type="spellStart"/>
      <w:r>
        <w:rPr>
          <w:bCs/>
          <w:lang w:val="de-DE"/>
        </w:rPr>
        <w:t>Microsystem</w:t>
      </w:r>
      <w:proofErr w:type="spellEnd"/>
      <w:r>
        <w:rPr>
          <w:bCs/>
          <w:lang w:val="de-DE"/>
        </w:rPr>
        <w:t xml:space="preserve"> Integration Labs.</w:t>
      </w:r>
    </w:p>
    <w:p w:rsidR="00205684" w:rsidRDefault="00205684" w:rsidP="00564A85">
      <w:pPr>
        <w:widowControl w:val="0"/>
        <w:spacing w:before="120"/>
        <w:rPr>
          <w:bCs/>
          <w:lang w:val="de-DE"/>
        </w:rPr>
      </w:pPr>
      <w:proofErr w:type="spellStart"/>
      <w:r>
        <w:rPr>
          <w:bCs/>
          <w:lang w:val="de-DE"/>
        </w:rPr>
        <w:t>Kazu</w:t>
      </w:r>
      <w:proofErr w:type="spellEnd"/>
      <w:r>
        <w:rPr>
          <w:bCs/>
          <w:lang w:val="de-DE"/>
        </w:rPr>
        <w:t xml:space="preserve"> Takahashi, Panasonic</w:t>
      </w:r>
    </w:p>
    <w:p w:rsidR="00205684" w:rsidRDefault="00205684" w:rsidP="00564A85">
      <w:pPr>
        <w:widowControl w:val="0"/>
        <w:spacing w:before="120"/>
        <w:rPr>
          <w:bCs/>
          <w:lang w:val="de-DE"/>
        </w:rPr>
      </w:pPr>
      <w:r>
        <w:rPr>
          <w:bCs/>
          <w:lang w:val="de-DE"/>
        </w:rPr>
        <w:t>Hiroyo Ogawa, ARIB</w:t>
      </w:r>
    </w:p>
    <w:p w:rsidR="00205684" w:rsidRDefault="00205684" w:rsidP="00564A85">
      <w:pPr>
        <w:widowControl w:val="0"/>
        <w:spacing w:before="120"/>
        <w:rPr>
          <w:bCs/>
          <w:lang w:val="de-DE"/>
        </w:rPr>
      </w:pPr>
      <w:r>
        <w:rPr>
          <w:bCs/>
          <w:lang w:val="de-DE"/>
        </w:rPr>
        <w:t xml:space="preserve">Valentine </w:t>
      </w:r>
      <w:proofErr w:type="spellStart"/>
      <w:r>
        <w:rPr>
          <w:bCs/>
          <w:lang w:val="de-DE"/>
        </w:rPr>
        <w:t>Atkens</w:t>
      </w:r>
      <w:proofErr w:type="spellEnd"/>
      <w:r>
        <w:rPr>
          <w:bCs/>
          <w:lang w:val="de-DE"/>
        </w:rPr>
        <w:t>, Western Digital</w:t>
      </w:r>
    </w:p>
    <w:p w:rsidR="00205684" w:rsidRPr="00205684" w:rsidRDefault="00205684" w:rsidP="00564A85">
      <w:pPr>
        <w:widowControl w:val="0"/>
        <w:spacing w:before="120"/>
        <w:rPr>
          <w:bCs/>
        </w:rPr>
      </w:pPr>
      <w:r w:rsidRPr="00205684">
        <w:rPr>
          <w:bCs/>
        </w:rPr>
        <w:t xml:space="preserve">André </w:t>
      </w:r>
      <w:proofErr w:type="spellStart"/>
      <w:r w:rsidRPr="00205684">
        <w:rPr>
          <w:bCs/>
        </w:rPr>
        <w:t>Bourdoux</w:t>
      </w:r>
      <w:proofErr w:type="spellEnd"/>
      <w:r w:rsidRPr="00205684">
        <w:rPr>
          <w:bCs/>
        </w:rPr>
        <w:t>, IMEC</w:t>
      </w:r>
    </w:p>
    <w:p w:rsidR="00205684" w:rsidRPr="00205684" w:rsidRDefault="00205684" w:rsidP="00564A85">
      <w:pPr>
        <w:widowControl w:val="0"/>
        <w:spacing w:before="120"/>
        <w:rPr>
          <w:bCs/>
        </w:rPr>
      </w:pPr>
      <w:r w:rsidRPr="00205684">
        <w:rPr>
          <w:bCs/>
        </w:rPr>
        <w:t xml:space="preserve">John </w:t>
      </w:r>
      <w:proofErr w:type="spellStart"/>
      <w:r w:rsidRPr="00205684">
        <w:rPr>
          <w:bCs/>
        </w:rPr>
        <w:t>d’Ambrosia</w:t>
      </w:r>
      <w:proofErr w:type="spellEnd"/>
      <w:r w:rsidRPr="00205684">
        <w:rPr>
          <w:bCs/>
        </w:rPr>
        <w:t>, Dell</w:t>
      </w:r>
    </w:p>
    <w:p w:rsidR="00205684" w:rsidRDefault="00205684" w:rsidP="00564A85">
      <w:pPr>
        <w:widowControl w:val="0"/>
        <w:spacing w:before="120"/>
        <w:rPr>
          <w:bCs/>
        </w:rPr>
      </w:pPr>
      <w:r>
        <w:rPr>
          <w:bCs/>
        </w:rPr>
        <w:t xml:space="preserve">Michael </w:t>
      </w:r>
      <w:proofErr w:type="spellStart"/>
      <w:r>
        <w:rPr>
          <w:bCs/>
        </w:rPr>
        <w:t>Sim</w:t>
      </w:r>
      <w:proofErr w:type="spellEnd"/>
      <w:r>
        <w:rPr>
          <w:bCs/>
        </w:rPr>
        <w:t>, Panasonic</w:t>
      </w:r>
    </w:p>
    <w:p w:rsidR="00205684" w:rsidRPr="00205684" w:rsidRDefault="00205684" w:rsidP="00564A85">
      <w:pPr>
        <w:widowControl w:val="0"/>
        <w:spacing w:before="120"/>
        <w:rPr>
          <w:bCs/>
        </w:rPr>
      </w:pPr>
      <w:r>
        <w:rPr>
          <w:bCs/>
        </w:rPr>
        <w:t>Shu Kato, Tohoku University</w:t>
      </w:r>
    </w:p>
    <w:p w:rsidR="00205684" w:rsidRPr="00205684" w:rsidRDefault="00205684" w:rsidP="00564A85">
      <w:pPr>
        <w:widowControl w:val="0"/>
        <w:spacing w:before="120"/>
        <w:rPr>
          <w:bCs/>
        </w:rPr>
      </w:pPr>
    </w:p>
    <w:p w:rsidR="001D3E84" w:rsidRPr="00205684" w:rsidRDefault="001D3E84" w:rsidP="008C25D1">
      <w:pPr>
        <w:widowControl w:val="0"/>
        <w:spacing w:before="120"/>
        <w:rPr>
          <w:bCs/>
        </w:rPr>
      </w:pPr>
    </w:p>
    <w:sectPr w:rsidR="001D3E84" w:rsidRPr="00205684" w:rsidSect="00FB484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97D" w:rsidRDefault="00AD697D">
      <w:r>
        <w:separator/>
      </w:r>
    </w:p>
  </w:endnote>
  <w:endnote w:type="continuationSeparator" w:id="0">
    <w:p w:rsidR="00AD697D" w:rsidRDefault="00AD6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97D" w:rsidRDefault="00AD697D">
      <w:r>
        <w:separator/>
      </w:r>
    </w:p>
  </w:footnote>
  <w:footnote w:type="continuationSeparator" w:id="0">
    <w:p w:rsidR="00AD697D" w:rsidRDefault="00AD6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7F380F"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2013</w:t>
    </w:r>
    <w:r w:rsidR="00A67FD7">
      <w:rPr>
        <w:b/>
        <w:sz w:val="28"/>
      </w:rPr>
      <w:tab/>
      <w:t xml:space="preserve"> IEEE P802.15-1</w:t>
    </w:r>
    <w:r>
      <w:rPr>
        <w:b/>
        <w:sz w:val="28"/>
      </w:rPr>
      <w:t>3</w:t>
    </w:r>
    <w:r w:rsidR="00A67FD7">
      <w:rPr>
        <w:b/>
        <w:sz w:val="28"/>
      </w:rPr>
      <w:t>-0</w:t>
    </w:r>
    <w:r>
      <w:rPr>
        <w:b/>
        <w:sz w:val="28"/>
      </w:rPr>
      <w:t>215</w:t>
    </w:r>
    <w:r w:rsidR="00A67FD7">
      <w:rPr>
        <w:b/>
        <w:sz w:val="28"/>
      </w:rPr>
      <w:t xml:space="preserve">-00-0thz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3">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4">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13">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8"/>
  </w:num>
  <w:num w:numId="3">
    <w:abstractNumId w:val="4"/>
  </w:num>
  <w:num w:numId="4">
    <w:abstractNumId w:val="11"/>
  </w:num>
  <w:num w:numId="5">
    <w:abstractNumId w:val="6"/>
  </w:num>
  <w:num w:numId="6">
    <w:abstractNumId w:val="5"/>
  </w:num>
  <w:num w:numId="7">
    <w:abstractNumId w:val="10"/>
  </w:num>
  <w:num w:numId="8">
    <w:abstractNumId w:val="1"/>
  </w:num>
  <w:num w:numId="9">
    <w:abstractNumId w:val="9"/>
  </w:num>
  <w:num w:numId="10">
    <w:abstractNumId w:val="7"/>
  </w:num>
  <w:num w:numId="11">
    <w:abstractNumId w:val="13"/>
  </w:num>
  <w:num w:numId="12">
    <w:abstractNumId w:val="3"/>
  </w:num>
  <w:num w:numId="13">
    <w:abstractNumId w:val="16"/>
  </w:num>
  <w:num w:numId="14">
    <w:abstractNumId w:val="14"/>
  </w:num>
  <w:num w:numId="15">
    <w:abstractNumId w:val="2"/>
  </w:num>
  <w:num w:numId="16">
    <w:abstractNumId w:val="1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1197D"/>
    <w:rsid w:val="0008657F"/>
    <w:rsid w:val="00091FBC"/>
    <w:rsid w:val="000D2510"/>
    <w:rsid w:val="000D342A"/>
    <w:rsid w:val="000E73D7"/>
    <w:rsid w:val="000F0DE0"/>
    <w:rsid w:val="000F5F64"/>
    <w:rsid w:val="00113CBB"/>
    <w:rsid w:val="001150D6"/>
    <w:rsid w:val="0013040B"/>
    <w:rsid w:val="00144F51"/>
    <w:rsid w:val="001549CB"/>
    <w:rsid w:val="00155509"/>
    <w:rsid w:val="0016195C"/>
    <w:rsid w:val="0016760C"/>
    <w:rsid w:val="001A2997"/>
    <w:rsid w:val="001A3D9D"/>
    <w:rsid w:val="001B7175"/>
    <w:rsid w:val="001C0FA9"/>
    <w:rsid w:val="001C2682"/>
    <w:rsid w:val="001D3E84"/>
    <w:rsid w:val="001E3B19"/>
    <w:rsid w:val="001F7133"/>
    <w:rsid w:val="002012B0"/>
    <w:rsid w:val="00205684"/>
    <w:rsid w:val="00220C26"/>
    <w:rsid w:val="0022299D"/>
    <w:rsid w:val="00242395"/>
    <w:rsid w:val="00247EDD"/>
    <w:rsid w:val="002656CF"/>
    <w:rsid w:val="00265C41"/>
    <w:rsid w:val="00266F0C"/>
    <w:rsid w:val="00287273"/>
    <w:rsid w:val="002903DF"/>
    <w:rsid w:val="00294B47"/>
    <w:rsid w:val="002B09D3"/>
    <w:rsid w:val="002E14EE"/>
    <w:rsid w:val="002E418C"/>
    <w:rsid w:val="002F51F2"/>
    <w:rsid w:val="00304E3A"/>
    <w:rsid w:val="00314D77"/>
    <w:rsid w:val="00316372"/>
    <w:rsid w:val="003514CD"/>
    <w:rsid w:val="00372741"/>
    <w:rsid w:val="00377E29"/>
    <w:rsid w:val="00381D4E"/>
    <w:rsid w:val="00391566"/>
    <w:rsid w:val="003B2EFF"/>
    <w:rsid w:val="003B5B56"/>
    <w:rsid w:val="003C0818"/>
    <w:rsid w:val="003E7C12"/>
    <w:rsid w:val="003F3DBF"/>
    <w:rsid w:val="003F51FF"/>
    <w:rsid w:val="0043071E"/>
    <w:rsid w:val="0045438F"/>
    <w:rsid w:val="00457433"/>
    <w:rsid w:val="00490865"/>
    <w:rsid w:val="0049367D"/>
    <w:rsid w:val="00496E80"/>
    <w:rsid w:val="004A6428"/>
    <w:rsid w:val="004B7753"/>
    <w:rsid w:val="004F61E7"/>
    <w:rsid w:val="004F61F9"/>
    <w:rsid w:val="0052051C"/>
    <w:rsid w:val="00523B23"/>
    <w:rsid w:val="00530322"/>
    <w:rsid w:val="00530EA3"/>
    <w:rsid w:val="005365B2"/>
    <w:rsid w:val="005438D9"/>
    <w:rsid w:val="00564A85"/>
    <w:rsid w:val="0056764D"/>
    <w:rsid w:val="00567FDF"/>
    <w:rsid w:val="0057137C"/>
    <w:rsid w:val="0057210C"/>
    <w:rsid w:val="00584E68"/>
    <w:rsid w:val="00591F1F"/>
    <w:rsid w:val="005A15B4"/>
    <w:rsid w:val="005A2ED5"/>
    <w:rsid w:val="005A4700"/>
    <w:rsid w:val="005A5D89"/>
    <w:rsid w:val="005A6C1F"/>
    <w:rsid w:val="005C0BE3"/>
    <w:rsid w:val="005C39A5"/>
    <w:rsid w:val="005D77C2"/>
    <w:rsid w:val="0060744F"/>
    <w:rsid w:val="00616C4C"/>
    <w:rsid w:val="00621C6B"/>
    <w:rsid w:val="00633B06"/>
    <w:rsid w:val="006704CE"/>
    <w:rsid w:val="00675D71"/>
    <w:rsid w:val="00682806"/>
    <w:rsid w:val="00682904"/>
    <w:rsid w:val="006C0A89"/>
    <w:rsid w:val="006E2B93"/>
    <w:rsid w:val="006E3752"/>
    <w:rsid w:val="00712651"/>
    <w:rsid w:val="00712C4C"/>
    <w:rsid w:val="007133FD"/>
    <w:rsid w:val="00715FE1"/>
    <w:rsid w:val="0073524E"/>
    <w:rsid w:val="00745784"/>
    <w:rsid w:val="00770ADF"/>
    <w:rsid w:val="00774E2D"/>
    <w:rsid w:val="00780BCF"/>
    <w:rsid w:val="00790A00"/>
    <w:rsid w:val="00794FFC"/>
    <w:rsid w:val="007A7235"/>
    <w:rsid w:val="007A74E0"/>
    <w:rsid w:val="007C62F4"/>
    <w:rsid w:val="007D0D50"/>
    <w:rsid w:val="007D66C0"/>
    <w:rsid w:val="007E436C"/>
    <w:rsid w:val="007F2BED"/>
    <w:rsid w:val="007F380F"/>
    <w:rsid w:val="0080197C"/>
    <w:rsid w:val="00813216"/>
    <w:rsid w:val="00820351"/>
    <w:rsid w:val="00830C9D"/>
    <w:rsid w:val="008344D5"/>
    <w:rsid w:val="0084427E"/>
    <w:rsid w:val="008532FC"/>
    <w:rsid w:val="00877AD1"/>
    <w:rsid w:val="00881B17"/>
    <w:rsid w:val="0088260A"/>
    <w:rsid w:val="00887C34"/>
    <w:rsid w:val="008A1B5C"/>
    <w:rsid w:val="008C1D0C"/>
    <w:rsid w:val="008C25D1"/>
    <w:rsid w:val="008F0DF9"/>
    <w:rsid w:val="008F5DE6"/>
    <w:rsid w:val="00911AFC"/>
    <w:rsid w:val="009121B1"/>
    <w:rsid w:val="00933E5E"/>
    <w:rsid w:val="00936D85"/>
    <w:rsid w:val="0094006F"/>
    <w:rsid w:val="00941669"/>
    <w:rsid w:val="00944A1D"/>
    <w:rsid w:val="00955DB7"/>
    <w:rsid w:val="009646E5"/>
    <w:rsid w:val="00964A61"/>
    <w:rsid w:val="00984B6E"/>
    <w:rsid w:val="009B3206"/>
    <w:rsid w:val="009C2367"/>
    <w:rsid w:val="009C33C2"/>
    <w:rsid w:val="009F30F2"/>
    <w:rsid w:val="009F4C7C"/>
    <w:rsid w:val="009F753F"/>
    <w:rsid w:val="00A010EA"/>
    <w:rsid w:val="00A06534"/>
    <w:rsid w:val="00A076ED"/>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11A30"/>
    <w:rsid w:val="00B12180"/>
    <w:rsid w:val="00B12A6A"/>
    <w:rsid w:val="00B201CD"/>
    <w:rsid w:val="00B311E3"/>
    <w:rsid w:val="00B407F8"/>
    <w:rsid w:val="00B4518C"/>
    <w:rsid w:val="00B52EE7"/>
    <w:rsid w:val="00B54AF2"/>
    <w:rsid w:val="00B641E5"/>
    <w:rsid w:val="00B91487"/>
    <w:rsid w:val="00BB2206"/>
    <w:rsid w:val="00BB24A9"/>
    <w:rsid w:val="00BB2C63"/>
    <w:rsid w:val="00BB2D83"/>
    <w:rsid w:val="00BC1131"/>
    <w:rsid w:val="00BC3F6B"/>
    <w:rsid w:val="00BD5681"/>
    <w:rsid w:val="00BE15D0"/>
    <w:rsid w:val="00BE6414"/>
    <w:rsid w:val="00BF3E97"/>
    <w:rsid w:val="00C153E6"/>
    <w:rsid w:val="00C21861"/>
    <w:rsid w:val="00C42B16"/>
    <w:rsid w:val="00C45146"/>
    <w:rsid w:val="00C462C9"/>
    <w:rsid w:val="00C5160E"/>
    <w:rsid w:val="00C56ED5"/>
    <w:rsid w:val="00C63F0E"/>
    <w:rsid w:val="00C90D47"/>
    <w:rsid w:val="00C920E5"/>
    <w:rsid w:val="00CC17DE"/>
    <w:rsid w:val="00CD079B"/>
    <w:rsid w:val="00D1004F"/>
    <w:rsid w:val="00D149FD"/>
    <w:rsid w:val="00D165A5"/>
    <w:rsid w:val="00D27476"/>
    <w:rsid w:val="00D508AC"/>
    <w:rsid w:val="00D530BB"/>
    <w:rsid w:val="00D61205"/>
    <w:rsid w:val="00D6556D"/>
    <w:rsid w:val="00D80C2B"/>
    <w:rsid w:val="00DA007D"/>
    <w:rsid w:val="00DA68F1"/>
    <w:rsid w:val="00DC2530"/>
    <w:rsid w:val="00DD2090"/>
    <w:rsid w:val="00DF2B2C"/>
    <w:rsid w:val="00E0232B"/>
    <w:rsid w:val="00E1082A"/>
    <w:rsid w:val="00E2705D"/>
    <w:rsid w:val="00E41A1F"/>
    <w:rsid w:val="00E50907"/>
    <w:rsid w:val="00E557C2"/>
    <w:rsid w:val="00E74E40"/>
    <w:rsid w:val="00E92E92"/>
    <w:rsid w:val="00EA6AA0"/>
    <w:rsid w:val="00EC32DF"/>
    <w:rsid w:val="00ED1866"/>
    <w:rsid w:val="00ED25CB"/>
    <w:rsid w:val="00EE5783"/>
    <w:rsid w:val="00EF01F6"/>
    <w:rsid w:val="00F24D2C"/>
    <w:rsid w:val="00F66C36"/>
    <w:rsid w:val="00F97AA3"/>
    <w:rsid w:val="00FB4848"/>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0</TotalTime>
  <Pages>4</Pages>
  <Words>788</Words>
  <Characters>4971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5</cp:revision>
  <cp:lastPrinted>2012-04-16T11:57:00Z</cp:lastPrinted>
  <dcterms:created xsi:type="dcterms:W3CDTF">2013-03-21T13:48:00Z</dcterms:created>
  <dcterms:modified xsi:type="dcterms:W3CDTF">2013-03-21T14:43:00Z</dcterms:modified>
  <cp:category>15-09-0792-00-0thz</cp:category>
</cp:coreProperties>
</file>