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4D" w:rsidRPr="00935B18" w:rsidRDefault="00DE4F4D" w:rsidP="00DE4F4D">
      <w:pPr>
        <w:jc w:val="center"/>
        <w:rPr>
          <w:rFonts w:ascii="Times New Roman" w:hAnsi="Times New Roman" w:cs="Times New Roman"/>
          <w:b/>
        </w:rPr>
      </w:pPr>
      <w:r w:rsidRPr="00935B18">
        <w:rPr>
          <w:rFonts w:ascii="Times New Roman" w:hAnsi="Times New Roman" w:cs="Times New Roman"/>
          <w:b/>
        </w:rPr>
        <w:t>IEEE P802.15</w:t>
      </w:r>
    </w:p>
    <w:p w:rsidR="00DE4F4D" w:rsidRPr="00935B18" w:rsidRDefault="00DE4F4D" w:rsidP="00DE4F4D">
      <w:pPr>
        <w:jc w:val="center"/>
        <w:rPr>
          <w:rFonts w:ascii="Times New Roman" w:hAnsi="Times New Roman" w:cs="Times New Roman"/>
          <w:b/>
        </w:rPr>
      </w:pPr>
      <w:r w:rsidRPr="00935B18">
        <w:rPr>
          <w:rFonts w:ascii="Times New Roman" w:hAnsi="Times New Roman" w:cs="Times New Roman"/>
          <w:b/>
        </w:rPr>
        <w:t>Wireless Personal Area Networks</w:t>
      </w:r>
    </w:p>
    <w:p w:rsidR="00DE4F4D" w:rsidRPr="00935B18" w:rsidRDefault="00DE4F4D" w:rsidP="00DE4F4D">
      <w:pPr>
        <w:rPr>
          <w:rFonts w:ascii="Times New Roman" w:hAnsi="Times New Roman" w:cs="Times New Roman"/>
          <w:b/>
        </w:rPr>
      </w:pPr>
    </w:p>
    <w:tbl>
      <w:tblPr>
        <w:tblW w:w="0" w:type="auto"/>
        <w:tblInd w:w="108" w:type="dxa"/>
        <w:tblLayout w:type="fixed"/>
        <w:tblLook w:val="0000"/>
      </w:tblPr>
      <w:tblGrid>
        <w:gridCol w:w="1260"/>
        <w:gridCol w:w="4050"/>
        <w:gridCol w:w="4140"/>
      </w:tblGrid>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Project</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IEEE P802.15 Working Group for Wireless Personal Area Networks (WPANs)</w:t>
            </w: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Title</w:t>
            </w:r>
          </w:p>
        </w:tc>
        <w:tc>
          <w:tcPr>
            <w:tcW w:w="8190" w:type="dxa"/>
            <w:gridSpan w:val="2"/>
            <w:tcBorders>
              <w:top w:val="single" w:sz="6" w:space="0" w:color="auto"/>
            </w:tcBorders>
          </w:tcPr>
          <w:p w:rsidR="00DE4F4D" w:rsidRPr="00935B18" w:rsidRDefault="00630F29" w:rsidP="00DE4F4D">
            <w:pPr>
              <w:rPr>
                <w:rFonts w:ascii="Times New Roman" w:hAnsi="Times New Roman" w:cs="Times New Roman"/>
              </w:rPr>
            </w:pPr>
            <w:fldSimple w:instr=" TITLE  \* MERGEFORMAT ">
              <w:r w:rsidR="00DE4F4D" w:rsidRPr="00935B18">
                <w:rPr>
                  <w:rFonts w:ascii="Times New Roman" w:hAnsi="Times New Roman" w:cs="Times New Roman"/>
                  <w:b/>
                </w:rPr>
                <w:t>Proposed Resolution for LB85 ID # 288</w:t>
              </w:r>
            </w:fldSimple>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Date Submitted</w:t>
            </w:r>
          </w:p>
        </w:tc>
        <w:tc>
          <w:tcPr>
            <w:tcW w:w="8190" w:type="dxa"/>
            <w:gridSpan w:val="2"/>
            <w:tcBorders>
              <w:top w:val="single" w:sz="6" w:space="0" w:color="auto"/>
            </w:tcBorders>
          </w:tcPr>
          <w:p w:rsidR="00DE4F4D" w:rsidRPr="00935B18" w:rsidRDefault="0036192F" w:rsidP="00DE4F4D">
            <w:pPr>
              <w:rPr>
                <w:rFonts w:ascii="Times New Roman" w:hAnsi="Times New Roman" w:cs="Times New Roman"/>
              </w:rPr>
            </w:pPr>
            <w:r>
              <w:rPr>
                <w:rFonts w:ascii="Times New Roman" w:hAnsi="Times New Roman" w:cs="Times New Roman"/>
              </w:rPr>
              <w:t>30 October 2012</w:t>
            </w:r>
          </w:p>
        </w:tc>
      </w:tr>
      <w:tr w:rsidR="00DE4F4D" w:rsidRPr="00935B18" w:rsidTr="00865906">
        <w:tc>
          <w:tcPr>
            <w:tcW w:w="126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Source</w:t>
            </w:r>
          </w:p>
        </w:tc>
        <w:tc>
          <w:tcPr>
            <w:tcW w:w="405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w:t>
            </w:r>
            <w:fldSimple w:instr=" AUTHOR  \* MERGEFORMAT ">
              <w:r w:rsidRPr="00935B18">
                <w:rPr>
                  <w:rFonts w:ascii="Times New Roman" w:hAnsi="Times New Roman" w:cs="Times New Roman"/>
                  <w:noProof/>
                </w:rPr>
                <w:t>B. A. Rolfe, et al</w:t>
              </w:r>
            </w:fldSimple>
            <w:r w:rsidRPr="00935B18">
              <w:rPr>
                <w:rFonts w:ascii="Times New Roman" w:hAnsi="Times New Roman" w:cs="Times New Roman"/>
              </w:rPr>
              <w:t>]</w:t>
            </w:r>
            <w:r w:rsidRPr="00935B18">
              <w:rPr>
                <w:rFonts w:ascii="Times New Roman" w:hAnsi="Times New Roman" w:cs="Times New Roman"/>
              </w:rPr>
              <w:br/>
              <w:t>[</w:t>
            </w:r>
            <w:fldSimple w:instr=" DOCPROPERTY &quot;Company&quot;  \* MERGEFORMAT ">
              <w:r w:rsidRPr="00935B18">
                <w:rPr>
                  <w:rFonts w:ascii="Times New Roman" w:hAnsi="Times New Roman" w:cs="Times New Roman"/>
                </w:rPr>
                <w:t>BCA</w:t>
              </w:r>
            </w:fldSimple>
            <w:r w:rsidRPr="00935B18">
              <w:rPr>
                <w:rFonts w:ascii="Times New Roman" w:hAnsi="Times New Roman" w:cs="Times New Roman"/>
              </w:rPr>
              <w:t>]</w:t>
            </w:r>
            <w:r w:rsidRPr="00935B18">
              <w:rPr>
                <w:rFonts w:ascii="Times New Roman" w:hAnsi="Times New Roman" w:cs="Times New Roman"/>
              </w:rPr>
              <w:br/>
              <w:t>[PO Box 798 Los Gatos CA 95006]</w:t>
            </w:r>
          </w:p>
        </w:tc>
        <w:tc>
          <w:tcPr>
            <w:tcW w:w="4140" w:type="dxa"/>
            <w:tcBorders>
              <w:top w:val="single" w:sz="4" w:space="0" w:color="auto"/>
              <w:bottom w:val="single" w:sz="4"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Voice:</w:t>
            </w:r>
            <w:r w:rsidRPr="00935B18">
              <w:rPr>
                <w:rFonts w:ascii="Times New Roman" w:hAnsi="Times New Roman" w:cs="Times New Roman"/>
              </w:rPr>
              <w:tab/>
              <w:t>[  +1 408 395 7207 ]</w:t>
            </w:r>
            <w:r w:rsidRPr="00935B18">
              <w:rPr>
                <w:rFonts w:ascii="Times New Roman" w:hAnsi="Times New Roman" w:cs="Times New Roman"/>
              </w:rPr>
              <w:br/>
              <w:t>Fax:</w:t>
            </w:r>
            <w:r w:rsidRPr="00935B18">
              <w:rPr>
                <w:rFonts w:ascii="Times New Roman" w:hAnsi="Times New Roman" w:cs="Times New Roman"/>
              </w:rPr>
              <w:tab/>
              <w:t>[   Deprecated ]</w:t>
            </w:r>
            <w:r w:rsidRPr="00935B18">
              <w:rPr>
                <w:rFonts w:ascii="Times New Roman" w:hAnsi="Times New Roman" w:cs="Times New Roman"/>
              </w:rPr>
              <w:br/>
              <w:t>E-mail:</w:t>
            </w:r>
            <w:r w:rsidRPr="00935B18">
              <w:rPr>
                <w:rFonts w:ascii="Times New Roman" w:hAnsi="Times New Roman" w:cs="Times New Roman"/>
              </w:rPr>
              <w:tab/>
              <w:t xml:space="preserve">[   </w:t>
            </w:r>
            <w:proofErr w:type="spellStart"/>
            <w:r w:rsidRPr="00935B18">
              <w:rPr>
                <w:rFonts w:ascii="Times New Roman" w:hAnsi="Times New Roman" w:cs="Times New Roman"/>
              </w:rPr>
              <w:t>ben</w:t>
            </w:r>
            <w:proofErr w:type="spellEnd"/>
            <w:r w:rsidRPr="00935B18">
              <w:rPr>
                <w:rFonts w:ascii="Times New Roman" w:hAnsi="Times New Roman" w:cs="Times New Roman"/>
              </w:rPr>
              <w:t xml:space="preserve"> @ blindcreek.com ]</w:t>
            </w: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Re:</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802.14.4k LECIM LB85 Comment Resolution</w:t>
            </w:r>
          </w:p>
          <w:p w:rsidR="00DE4F4D" w:rsidRPr="00935B18" w:rsidRDefault="00DE4F4D" w:rsidP="00DE4F4D">
            <w:pPr>
              <w:rPr>
                <w:rFonts w:ascii="Times New Roman" w:hAnsi="Times New Roman" w:cs="Times New Roman"/>
              </w:rPr>
            </w:pP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Abstract</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This contribution proposes a solution to comment ID #288 that provides for authenticating fragments with no additional overhead added to the fragment itself.</w:t>
            </w:r>
          </w:p>
          <w:p w:rsidR="00DE4F4D" w:rsidRPr="00935B18" w:rsidRDefault="00DE4F4D" w:rsidP="00DE4F4D">
            <w:pPr>
              <w:rPr>
                <w:rFonts w:ascii="Times New Roman" w:hAnsi="Times New Roman" w:cs="Times New Roman"/>
              </w:rPr>
            </w:pPr>
          </w:p>
        </w:tc>
      </w:tr>
      <w:tr w:rsidR="00DE4F4D" w:rsidRPr="00935B18" w:rsidTr="00865906">
        <w:tc>
          <w:tcPr>
            <w:tcW w:w="1260" w:type="dxa"/>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Purpose</w:t>
            </w:r>
          </w:p>
        </w:tc>
        <w:tc>
          <w:tcPr>
            <w:tcW w:w="8190" w:type="dxa"/>
            <w:gridSpan w:val="2"/>
            <w:tcBorders>
              <w:top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Support preparation of the LECIM draft in preparation for balloting</w:t>
            </w:r>
          </w:p>
        </w:tc>
      </w:tr>
      <w:tr w:rsidR="00DE4F4D" w:rsidRPr="00935B18" w:rsidTr="00865906">
        <w:tc>
          <w:tcPr>
            <w:tcW w:w="1260" w:type="dxa"/>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Notice</w:t>
            </w:r>
          </w:p>
        </w:tc>
        <w:tc>
          <w:tcPr>
            <w:tcW w:w="8190" w:type="dxa"/>
            <w:gridSpan w:val="2"/>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E4F4D" w:rsidRPr="00935B18" w:rsidTr="00865906">
        <w:tc>
          <w:tcPr>
            <w:tcW w:w="1260" w:type="dxa"/>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Release</w:t>
            </w:r>
          </w:p>
        </w:tc>
        <w:tc>
          <w:tcPr>
            <w:tcW w:w="8190" w:type="dxa"/>
            <w:gridSpan w:val="2"/>
            <w:tcBorders>
              <w:top w:val="single" w:sz="6" w:space="0" w:color="auto"/>
              <w:bottom w:val="single" w:sz="6" w:space="0" w:color="auto"/>
            </w:tcBorders>
          </w:tcPr>
          <w:p w:rsidR="00DE4F4D" w:rsidRPr="00935B18" w:rsidRDefault="00DE4F4D" w:rsidP="00DE4F4D">
            <w:pPr>
              <w:rPr>
                <w:rFonts w:ascii="Times New Roman" w:hAnsi="Times New Roman" w:cs="Times New Roman"/>
              </w:rPr>
            </w:pPr>
            <w:r w:rsidRPr="00935B18">
              <w:rPr>
                <w:rFonts w:ascii="Times New Roman" w:hAnsi="Times New Roman" w:cs="Times New Roman"/>
              </w:rPr>
              <w:t>The contributor acknowledges and accepts that this contribution becomes the property of IEEE and may be made publicly available by P802.15.</w:t>
            </w:r>
          </w:p>
        </w:tc>
      </w:tr>
    </w:tbl>
    <w:p w:rsidR="00DE4F4D" w:rsidRDefault="00DE4F4D">
      <w:pPr>
        <w:rPr>
          <w:rFonts w:asciiTheme="majorHAnsi" w:eastAsiaTheme="majorEastAsia" w:hAnsiTheme="majorHAnsi" w:cstheme="majorBidi"/>
          <w:color w:val="17365D" w:themeColor="text2" w:themeShade="BF"/>
          <w:spacing w:val="5"/>
          <w:kern w:val="28"/>
          <w:sz w:val="52"/>
          <w:szCs w:val="52"/>
        </w:rPr>
      </w:pPr>
    </w:p>
    <w:p w:rsidR="00DE4F4D" w:rsidRDefault="00DE4F4D">
      <w:pPr>
        <w:rPr>
          <w:rFonts w:asciiTheme="majorHAnsi" w:eastAsiaTheme="majorEastAsia" w:hAnsiTheme="majorHAnsi" w:cstheme="majorBidi"/>
          <w:color w:val="17365D" w:themeColor="text2" w:themeShade="BF"/>
          <w:spacing w:val="5"/>
          <w:kern w:val="28"/>
          <w:sz w:val="52"/>
          <w:szCs w:val="52"/>
        </w:rPr>
      </w:pPr>
      <w:r>
        <w:br w:type="page"/>
      </w:r>
    </w:p>
    <w:p w:rsidR="00444AE6" w:rsidRDefault="002552A2" w:rsidP="002552A2">
      <w:pPr>
        <w:pStyle w:val="Title"/>
      </w:pPr>
      <w:r>
        <w:lastRenderedPageBreak/>
        <w:t>An option for Fragment Authentication with no per-Fragment overhead</w:t>
      </w:r>
    </w:p>
    <w:p w:rsidR="002552A2" w:rsidRDefault="002552A2" w:rsidP="002552A2">
      <w:pPr>
        <w:pStyle w:val="Subtitle"/>
      </w:pPr>
      <w:r>
        <w:t>Benjamin Rolfe, David Howard, Jonathan Simon</w:t>
      </w:r>
    </w:p>
    <w:sdt>
      <w:sdtPr>
        <w:rPr>
          <w:rFonts w:asciiTheme="minorHAnsi" w:eastAsiaTheme="minorHAnsi" w:hAnsiTheme="minorHAnsi" w:cstheme="minorBidi"/>
          <w:b w:val="0"/>
          <w:bCs w:val="0"/>
          <w:color w:val="auto"/>
          <w:sz w:val="22"/>
          <w:szCs w:val="22"/>
        </w:rPr>
        <w:id w:val="144896444"/>
        <w:docPartObj>
          <w:docPartGallery w:val="Table of Contents"/>
          <w:docPartUnique/>
        </w:docPartObj>
      </w:sdtPr>
      <w:sdtContent>
        <w:p w:rsidR="00E15637" w:rsidRDefault="00E15637">
          <w:pPr>
            <w:pStyle w:val="TOCHeading"/>
          </w:pPr>
          <w:r>
            <w:t>Contents</w:t>
          </w:r>
        </w:p>
        <w:p w:rsidR="00DE4F4D" w:rsidRDefault="00630F29">
          <w:pPr>
            <w:pStyle w:val="TOC1"/>
            <w:tabs>
              <w:tab w:val="right" w:leader="dot" w:pos="9350"/>
            </w:tabs>
            <w:rPr>
              <w:rFonts w:eastAsiaTheme="minorEastAsia"/>
              <w:noProof/>
            </w:rPr>
          </w:pPr>
          <w:r>
            <w:fldChar w:fldCharType="begin"/>
          </w:r>
          <w:r w:rsidR="00E15637">
            <w:instrText xml:space="preserve"> TOC \o "1-3" \h \z \u </w:instrText>
          </w:r>
          <w:r>
            <w:fldChar w:fldCharType="separate"/>
          </w:r>
          <w:hyperlink w:anchor="_Toc339403534" w:history="1">
            <w:r w:rsidR="00DE4F4D" w:rsidRPr="00277472">
              <w:rPr>
                <w:rStyle w:val="Hyperlink"/>
                <w:noProof/>
              </w:rPr>
              <w:t>Introduction</w:t>
            </w:r>
            <w:r w:rsidR="00DE4F4D">
              <w:rPr>
                <w:noProof/>
                <w:webHidden/>
              </w:rPr>
              <w:tab/>
            </w:r>
            <w:r>
              <w:rPr>
                <w:noProof/>
                <w:webHidden/>
              </w:rPr>
              <w:fldChar w:fldCharType="begin"/>
            </w:r>
            <w:r w:rsidR="00DE4F4D">
              <w:rPr>
                <w:noProof/>
                <w:webHidden/>
              </w:rPr>
              <w:instrText xml:space="preserve"> PAGEREF _Toc339403534 \h </w:instrText>
            </w:r>
            <w:r>
              <w:rPr>
                <w:noProof/>
                <w:webHidden/>
              </w:rPr>
            </w:r>
            <w:r>
              <w:rPr>
                <w:noProof/>
                <w:webHidden/>
              </w:rPr>
              <w:fldChar w:fldCharType="separate"/>
            </w:r>
            <w:r w:rsidR="00DE4F4D">
              <w:rPr>
                <w:noProof/>
                <w:webHidden/>
              </w:rPr>
              <w:t>2</w:t>
            </w:r>
            <w:r>
              <w:rPr>
                <w:noProof/>
                <w:webHidden/>
              </w:rPr>
              <w:fldChar w:fldCharType="end"/>
            </w:r>
          </w:hyperlink>
        </w:p>
        <w:p w:rsidR="00DE4F4D" w:rsidRDefault="00630F29">
          <w:pPr>
            <w:pStyle w:val="TOC1"/>
            <w:tabs>
              <w:tab w:val="right" w:leader="dot" w:pos="9350"/>
            </w:tabs>
            <w:rPr>
              <w:rFonts w:eastAsiaTheme="minorEastAsia"/>
              <w:noProof/>
            </w:rPr>
          </w:pPr>
          <w:hyperlink w:anchor="_Toc339403535" w:history="1">
            <w:r w:rsidR="00DE4F4D" w:rsidRPr="00277472">
              <w:rPr>
                <w:rStyle w:val="Hyperlink"/>
                <w:noProof/>
              </w:rPr>
              <w:t>Overview</w:t>
            </w:r>
            <w:r w:rsidR="00DE4F4D">
              <w:rPr>
                <w:noProof/>
                <w:webHidden/>
              </w:rPr>
              <w:tab/>
            </w:r>
            <w:r>
              <w:rPr>
                <w:noProof/>
                <w:webHidden/>
              </w:rPr>
              <w:fldChar w:fldCharType="begin"/>
            </w:r>
            <w:r w:rsidR="00DE4F4D">
              <w:rPr>
                <w:noProof/>
                <w:webHidden/>
              </w:rPr>
              <w:instrText xml:space="preserve"> PAGEREF _Toc339403535 \h </w:instrText>
            </w:r>
            <w:r>
              <w:rPr>
                <w:noProof/>
                <w:webHidden/>
              </w:rPr>
            </w:r>
            <w:r>
              <w:rPr>
                <w:noProof/>
                <w:webHidden/>
              </w:rPr>
              <w:fldChar w:fldCharType="separate"/>
            </w:r>
            <w:r w:rsidR="00DE4F4D">
              <w:rPr>
                <w:noProof/>
                <w:webHidden/>
              </w:rPr>
              <w:t>2</w:t>
            </w:r>
            <w:r>
              <w:rPr>
                <w:noProof/>
                <w:webHidden/>
              </w:rPr>
              <w:fldChar w:fldCharType="end"/>
            </w:r>
          </w:hyperlink>
        </w:p>
        <w:p w:rsidR="00DE4F4D" w:rsidRDefault="00630F29">
          <w:pPr>
            <w:pStyle w:val="TOC1"/>
            <w:tabs>
              <w:tab w:val="right" w:leader="dot" w:pos="9350"/>
            </w:tabs>
            <w:rPr>
              <w:rFonts w:eastAsiaTheme="minorEastAsia"/>
              <w:noProof/>
            </w:rPr>
          </w:pPr>
          <w:hyperlink w:anchor="_Toc339403536" w:history="1">
            <w:r w:rsidR="00DE4F4D" w:rsidRPr="00277472">
              <w:rPr>
                <w:rStyle w:val="Hyperlink"/>
                <w:noProof/>
              </w:rPr>
              <w:t>MPDU Counter</w:t>
            </w:r>
            <w:r w:rsidR="00DE4F4D">
              <w:rPr>
                <w:noProof/>
                <w:webHidden/>
              </w:rPr>
              <w:tab/>
            </w:r>
            <w:r>
              <w:rPr>
                <w:noProof/>
                <w:webHidden/>
              </w:rPr>
              <w:fldChar w:fldCharType="begin"/>
            </w:r>
            <w:r w:rsidR="00DE4F4D">
              <w:rPr>
                <w:noProof/>
                <w:webHidden/>
              </w:rPr>
              <w:instrText xml:space="preserve"> PAGEREF _Toc339403536 \h </w:instrText>
            </w:r>
            <w:r>
              <w:rPr>
                <w:noProof/>
                <w:webHidden/>
              </w:rPr>
            </w:r>
            <w:r>
              <w:rPr>
                <w:noProof/>
                <w:webHidden/>
              </w:rPr>
              <w:fldChar w:fldCharType="separate"/>
            </w:r>
            <w:r w:rsidR="00DE4F4D">
              <w:rPr>
                <w:noProof/>
                <w:webHidden/>
              </w:rPr>
              <w:t>3</w:t>
            </w:r>
            <w:r>
              <w:rPr>
                <w:noProof/>
                <w:webHidden/>
              </w:rPr>
              <w:fldChar w:fldCharType="end"/>
            </w:r>
          </w:hyperlink>
        </w:p>
        <w:p w:rsidR="00DE4F4D" w:rsidRDefault="00630F29">
          <w:pPr>
            <w:pStyle w:val="TOC1"/>
            <w:tabs>
              <w:tab w:val="right" w:leader="dot" w:pos="9350"/>
            </w:tabs>
            <w:rPr>
              <w:rFonts w:eastAsiaTheme="minorEastAsia"/>
              <w:noProof/>
            </w:rPr>
          </w:pPr>
          <w:hyperlink w:anchor="_Toc339403537" w:history="1">
            <w:r w:rsidR="00DE4F4D" w:rsidRPr="00277472">
              <w:rPr>
                <w:rStyle w:val="Hyperlink"/>
                <w:noProof/>
              </w:rPr>
              <w:t>Text changes to 4k Draft 2</w:t>
            </w:r>
            <w:r w:rsidR="00DE4F4D">
              <w:rPr>
                <w:noProof/>
                <w:webHidden/>
              </w:rPr>
              <w:tab/>
            </w:r>
            <w:r>
              <w:rPr>
                <w:noProof/>
                <w:webHidden/>
              </w:rPr>
              <w:fldChar w:fldCharType="begin"/>
            </w:r>
            <w:r w:rsidR="00DE4F4D">
              <w:rPr>
                <w:noProof/>
                <w:webHidden/>
              </w:rPr>
              <w:instrText xml:space="preserve"> PAGEREF _Toc339403537 \h </w:instrText>
            </w:r>
            <w:r>
              <w:rPr>
                <w:noProof/>
                <w:webHidden/>
              </w:rPr>
            </w:r>
            <w:r>
              <w:rPr>
                <w:noProof/>
                <w:webHidden/>
              </w:rPr>
              <w:fldChar w:fldCharType="separate"/>
            </w:r>
            <w:r w:rsidR="00DE4F4D">
              <w:rPr>
                <w:noProof/>
                <w:webHidden/>
              </w:rPr>
              <w:t>4</w:t>
            </w:r>
            <w:r>
              <w:rPr>
                <w:noProof/>
                <w:webHidden/>
              </w:rPr>
              <w:fldChar w:fldCharType="end"/>
            </w:r>
          </w:hyperlink>
        </w:p>
        <w:p w:rsidR="00E15637" w:rsidRDefault="00630F29">
          <w:r>
            <w:fldChar w:fldCharType="end"/>
          </w:r>
        </w:p>
      </w:sdtContent>
    </w:sdt>
    <w:p w:rsidR="002552A2" w:rsidRDefault="002552A2" w:rsidP="002552A2"/>
    <w:p w:rsidR="002552A2" w:rsidRDefault="002552A2" w:rsidP="002552A2">
      <w:pPr>
        <w:pStyle w:val="Heading1"/>
      </w:pPr>
      <w:bookmarkStart w:id="0" w:name="_Toc339403534"/>
      <w:r>
        <w:t>Introduction</w:t>
      </w:r>
      <w:bookmarkEnd w:id="0"/>
    </w:p>
    <w:p w:rsidR="00CD4A44" w:rsidRDefault="00CD4A44" w:rsidP="002552A2">
      <w:r>
        <w:t>A</w:t>
      </w:r>
      <w:r w:rsidRPr="00CD4A44">
        <w:t xml:space="preserve"> concern </w:t>
      </w:r>
      <w:r>
        <w:t xml:space="preserve">has been raised is that a malicious operator may </w:t>
      </w:r>
      <w:r w:rsidR="00855182">
        <w:t>attack</w:t>
      </w:r>
      <w:r w:rsidR="00855182" w:rsidRPr="00CD4A44">
        <w:t xml:space="preserve"> </w:t>
      </w:r>
      <w:r w:rsidRPr="00CD4A44">
        <w:t>a fragment</w:t>
      </w:r>
      <w:r w:rsidR="00855182">
        <w:t>ed frame transmission</w:t>
      </w:r>
      <w:r>
        <w:t xml:space="preserve"> </w:t>
      </w:r>
      <w:r w:rsidR="00855182">
        <w:t>by inserting</w:t>
      </w:r>
      <w:r w:rsidRPr="00CD4A44">
        <w:t xml:space="preserve"> a </w:t>
      </w:r>
      <w:r>
        <w:t xml:space="preserve">bogus </w:t>
      </w:r>
      <w:r w:rsidRPr="00CD4A44">
        <w:t xml:space="preserve">fragment that </w:t>
      </w:r>
      <w:r>
        <w:t xml:space="preserve">will pass the fragment validation check, </w:t>
      </w:r>
      <w:r w:rsidRPr="00CD4A44">
        <w:t xml:space="preserve">but isn't really part of the </w:t>
      </w:r>
      <w:r w:rsidR="007E7C81">
        <w:t xml:space="preserve">MPDU. When reassembled MPDU is validated it will most likely be </w:t>
      </w:r>
      <w:r w:rsidRPr="00CD4A44">
        <w:t xml:space="preserve">discarded, but the effort was wasted and energy will be spent trying again.  The energy needed </w:t>
      </w:r>
      <w:r w:rsidR="00855182">
        <w:t>to perform this attack is less</w:t>
      </w:r>
      <w:r w:rsidR="007E7C81">
        <w:t xml:space="preserve"> than, say, a brute force denial </w:t>
      </w:r>
      <w:r w:rsidR="00855182">
        <w:t xml:space="preserve">of </w:t>
      </w:r>
      <w:r w:rsidR="007E7C81">
        <w:t xml:space="preserve">service attack. </w:t>
      </w:r>
    </w:p>
    <w:p w:rsidR="002552A2" w:rsidRDefault="002552A2" w:rsidP="002552A2">
      <w:r>
        <w:t xml:space="preserve">This contribution proposes a solution that provides for authenticating fragments with no additional overhead added to the fragment itself. The overhead is limited to additional fields in the </w:t>
      </w:r>
      <w:r w:rsidR="00A12398" w:rsidRPr="00A12398">
        <w:t>fragment context frame</w:t>
      </w:r>
      <w:r>
        <w:t xml:space="preserve">, and needs be present only the authentication protection is required. We suggest this feature be optional when fragmentation is implemented.  We feel the complexity addition is small for implementations that include MAC security as defined in 802.15.4-2011. </w:t>
      </w:r>
      <w:r w:rsidR="00A12398">
        <w:t xml:space="preserve"> </w:t>
      </w:r>
    </w:p>
    <w:p w:rsidR="002E4962" w:rsidRDefault="002E4962" w:rsidP="002552A2">
      <w:r>
        <w:t>This scheme assumes, as we do for all 802.15.4 security, that how keys are distributed is out of scope of this standard</w:t>
      </w:r>
      <w:r w:rsidR="006D155B">
        <w:t>. The scheme described in this document uses the</w:t>
      </w:r>
      <w:r>
        <w:t xml:space="preserve"> algorithms for the MIC </w:t>
      </w:r>
      <w:r w:rsidR="006D155B">
        <w:t>defined in the base standard</w:t>
      </w:r>
      <w:r>
        <w:t xml:space="preserve">.  </w:t>
      </w:r>
      <w:r w:rsidR="006D155B">
        <w:t>It is assumed</w:t>
      </w:r>
      <w:r w:rsidR="00A12398">
        <w:t xml:space="preserve"> that anyone who would implement this security </w:t>
      </w:r>
      <w:r w:rsidR="006D155B">
        <w:t xml:space="preserve">mechanism </w:t>
      </w:r>
      <w:r w:rsidR="00A12398">
        <w:t>understands how the MIC-32 is calculated and used.</w:t>
      </w:r>
    </w:p>
    <w:p w:rsidR="002552A2" w:rsidRDefault="002552A2" w:rsidP="002552A2">
      <w:pPr>
        <w:pStyle w:val="Heading1"/>
      </w:pPr>
      <w:bookmarkStart w:id="1" w:name="_Toc339403535"/>
      <w:r>
        <w:t>Overview</w:t>
      </w:r>
      <w:bookmarkEnd w:id="1"/>
    </w:p>
    <w:p w:rsidR="002552A2" w:rsidRDefault="002552A2" w:rsidP="002552A2">
      <w:r>
        <w:t xml:space="preserve">The basic scheme is </w:t>
      </w:r>
      <w:r w:rsidR="00A12398">
        <w:t>that when secure fragments are enabled, the MAC</w:t>
      </w:r>
      <w:r>
        <w:t xml:space="preserve"> replace</w:t>
      </w:r>
      <w:r w:rsidR="00A12398">
        <w:t>s</w:t>
      </w:r>
      <w:r>
        <w:t xml:space="preserve"> the CRC</w:t>
      </w:r>
      <w:r w:rsidR="00A12398">
        <w:t>-32</w:t>
      </w:r>
      <w:r>
        <w:t xml:space="preserve"> use</w:t>
      </w:r>
      <w:r w:rsidR="00A12398">
        <w:t>d for fragment validation with the</w:t>
      </w:r>
      <w:r>
        <w:t xml:space="preserve"> MIC</w:t>
      </w:r>
      <w:r w:rsidR="00A12398">
        <w:t>-32</w:t>
      </w:r>
      <w:r>
        <w:t xml:space="preserve"> as used in 80</w:t>
      </w:r>
      <w:r w:rsidR="00A12398">
        <w:t xml:space="preserve">2.15.4-2011.  </w:t>
      </w:r>
    </w:p>
    <w:p w:rsidR="002552A2" w:rsidRDefault="002552A2" w:rsidP="002552A2">
      <w:r>
        <w:lastRenderedPageBreak/>
        <w:t>To provide for the “used once” counter required for the MIC to be used (the “nonce”</w:t>
      </w:r>
      <w:r w:rsidR="007E7C81">
        <w:t xml:space="preserve">) of sufficient length, </w:t>
      </w:r>
      <w:r w:rsidR="00A12398">
        <w:t>the</w:t>
      </w:r>
      <w:r w:rsidR="007E7C81">
        <w:t xml:space="preserve"> </w:t>
      </w:r>
      <w:r w:rsidR="00A12398" w:rsidRPr="00A12398">
        <w:t>fragment context frame</w:t>
      </w:r>
      <w:r w:rsidR="00A12398">
        <w:t xml:space="preserve"> </w:t>
      </w:r>
      <w:r w:rsidR="007E7C81">
        <w:t xml:space="preserve">will include a counter, which is used as part of a nonce value needed to compute a MIC. The fragment number transmitted with each fragment is combined with the transaction unique counter value to form the nonce. </w:t>
      </w:r>
      <w:r w:rsidR="00554867">
        <w:t>Thus t</w:t>
      </w:r>
      <w:r w:rsidR="007E7C81">
        <w:t xml:space="preserve">he transaction counter forms the upper bits and the </w:t>
      </w:r>
      <w:r w:rsidR="004C553E">
        <w:t xml:space="preserve">fragment number </w:t>
      </w:r>
      <w:r w:rsidR="007E7C81">
        <w:t xml:space="preserve">the </w:t>
      </w:r>
      <w:r w:rsidR="00714454">
        <w:t>low</w:t>
      </w:r>
      <w:r w:rsidR="007E7C81">
        <w:t xml:space="preserve"> </w:t>
      </w:r>
      <w:r w:rsidR="00554867">
        <w:t xml:space="preserve">6 </w:t>
      </w:r>
      <w:r w:rsidR="007E7C81">
        <w:t xml:space="preserve">bits. </w:t>
      </w:r>
    </w:p>
    <w:p w:rsidR="007E7C81" w:rsidRDefault="007E7C81" w:rsidP="002552A2">
      <w:r>
        <w:t xml:space="preserve">The transaction setup message is a complete MPDU in a single fragment, as such may be secured when the PHY configuration supports the resulting message length. </w:t>
      </w:r>
    </w:p>
    <w:p w:rsidR="00EA04E2" w:rsidRDefault="00EA04E2" w:rsidP="00EA04E2">
      <w:pPr>
        <w:pStyle w:val="Heading1"/>
      </w:pPr>
      <w:bookmarkStart w:id="2" w:name="_Toc339403536"/>
      <w:r>
        <w:t>MPDU Counter</w:t>
      </w:r>
      <w:bookmarkEnd w:id="2"/>
      <w:r>
        <w:t xml:space="preserve"> </w:t>
      </w:r>
    </w:p>
    <w:p w:rsidR="001C18EE" w:rsidRDefault="00EA04E2" w:rsidP="00EA04E2">
      <w:r>
        <w:t xml:space="preserve">For security to work as intended, the nonce must not repeat between re-keying.  </w:t>
      </w:r>
      <w:r w:rsidR="001C18EE">
        <w:t>The frame counter used in 7.3.2 is 32 bits.  The MPDU counter field is 26 bits. U</w:t>
      </w:r>
      <w:r>
        <w:t xml:space="preserve">pon reception of a fragment this value is used as the most significant </w:t>
      </w:r>
      <w:r w:rsidR="001C18EE">
        <w:t xml:space="preserve">26 bits and </w:t>
      </w:r>
      <w:r>
        <w:t xml:space="preserve">combined with the 6 bits of fragment number </w:t>
      </w:r>
      <w:r w:rsidR="001C18EE">
        <w:t xml:space="preserve">to form the 32 bit frame counter used in 7.3.2 to form the </w:t>
      </w:r>
      <w:r w:rsidR="004C553E">
        <w:t>CCM</w:t>
      </w:r>
      <w:r w:rsidR="001C18EE">
        <w:t xml:space="preserve">* nonce. </w:t>
      </w:r>
      <w:r>
        <w:t xml:space="preserve"> </w:t>
      </w:r>
      <w:r w:rsidR="001C18EE">
        <w:t xml:space="preserve">With each MPDU transaction the MPDU counter value is incremented. </w:t>
      </w:r>
    </w:p>
    <w:p w:rsidR="00EA04E2" w:rsidRDefault="00EA04E2" w:rsidP="00EA04E2">
      <w:r>
        <w:t xml:space="preserve">With a </w:t>
      </w:r>
      <w:r w:rsidR="001C18EE">
        <w:t>26</w:t>
      </w:r>
      <w:r>
        <w:t xml:space="preserve"> bit MPDU unique value, with 1 MPDU per second would allow going for over </w:t>
      </w:r>
      <w:r w:rsidR="001C18EE">
        <w:t>2 years</w:t>
      </w:r>
      <w:r>
        <w:t xml:space="preserve"> between re-keying.  </w:t>
      </w:r>
      <w:r w:rsidR="001C18EE">
        <w:t>In a typical LECIM device one message per hour may be more typical, in which case a device may go over 7000 years between rekeying. For device transmitting more often (not LECIM) and using security, and MPDU fragmentation, they will need to rekey somewhat more often</w:t>
      </w:r>
      <w:r w:rsidR="00714454">
        <w:t xml:space="preserve"> than they might if not using fragmentation</w:t>
      </w:r>
      <w:r w:rsidR="001C18EE">
        <w:t>.</w:t>
      </w:r>
      <w:r w:rsidR="00714454">
        <w:t xml:space="preserve">  This seems like a reasonable range of application tradeoffs.</w:t>
      </w:r>
      <w:r w:rsidR="001C18EE">
        <w:t xml:space="preserve"> </w:t>
      </w:r>
    </w:p>
    <w:p w:rsidR="00EA04E2" w:rsidRDefault="00EA04E2" w:rsidP="002552A2"/>
    <w:p w:rsidR="00EA04E2" w:rsidRDefault="00EA04E2" w:rsidP="00EA04E2">
      <w:pPr>
        <w:jc w:val="center"/>
      </w:pPr>
      <w:r>
        <w:object w:dxaOrig="6265" w:dyaOrig="4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65pt;height:206.6pt" o:ole="">
            <v:imagedata r:id="rId7" o:title=""/>
          </v:shape>
          <o:OLEObject Type="Embed" ProgID="Visio.Drawing.11" ShapeID="_x0000_i1025" DrawAspect="Content" ObjectID="_1413286567" r:id="rId8"/>
        </w:object>
      </w:r>
    </w:p>
    <w:p w:rsidR="00F44F11" w:rsidRDefault="00A21D3D" w:rsidP="00A21D3D">
      <w:pPr>
        <w:pStyle w:val="Caption"/>
      </w:pPr>
      <w:r>
        <w:t xml:space="preserve">Figure </w:t>
      </w:r>
      <w:fldSimple w:instr=" SEQ Figure \* ARABIC ">
        <w:r>
          <w:rPr>
            <w:noProof/>
          </w:rPr>
          <w:t>1</w:t>
        </w:r>
      </w:fldSimple>
      <w:r>
        <w:t>:  Building the nonce for MIC calculation</w:t>
      </w:r>
    </w:p>
    <w:p w:rsidR="00E15637" w:rsidRDefault="00E15637" w:rsidP="00A21D3D">
      <w:pPr>
        <w:pStyle w:val="Heading1"/>
      </w:pPr>
    </w:p>
    <w:p w:rsidR="00A21D3D" w:rsidRDefault="00A21D3D" w:rsidP="00A21D3D">
      <w:pPr>
        <w:pStyle w:val="Heading1"/>
      </w:pPr>
      <w:bookmarkStart w:id="3" w:name="_Toc339403537"/>
      <w:r>
        <w:t>Text changes to 4k Draft 2</w:t>
      </w:r>
      <w:bookmarkEnd w:id="3"/>
    </w:p>
    <w:p w:rsidR="00672ABD" w:rsidRDefault="00672ABD" w:rsidP="00A21D3D">
      <w:r>
        <w:t xml:space="preserve">The following explains the necessary changes to implement this proposed solution to CID # </w:t>
      </w:r>
      <w:r w:rsidR="00714454">
        <w:t>288.</w:t>
      </w:r>
    </w:p>
    <w:p w:rsidR="00A21D3D" w:rsidRDefault="00A21D3D" w:rsidP="00A21D3D">
      <w:pPr>
        <w:rPr>
          <w:b/>
          <w:bCs/>
        </w:rPr>
      </w:pPr>
      <w:r w:rsidRPr="00A21D3D">
        <w:rPr>
          <w:b/>
          <w:bCs/>
        </w:rPr>
        <w:t>5.2.4.25 MPDU Fragment Sequence Context Description IE</w:t>
      </w:r>
    </w:p>
    <w:p w:rsidR="000D4B77" w:rsidRDefault="00A21D3D" w:rsidP="00A21D3D">
      <w:r>
        <w:t>In figure 48ww change “Reserved” field to “Secure Fragment”</w:t>
      </w:r>
      <w:r w:rsidR="000D4B77">
        <w:t>.  Add a new field between “Addressing” and “PHY-dependent Parameter” fields</w:t>
      </w:r>
      <w:r>
        <w:t xml:space="preserve"> </w:t>
      </w:r>
      <w:r w:rsidR="000D4B77">
        <w:t xml:space="preserve"> named </w:t>
      </w:r>
      <w:r>
        <w:t>“MPDU Counter”</w:t>
      </w:r>
      <w:r w:rsidR="000D4B77">
        <w:t xml:space="preserve"> with</w:t>
      </w:r>
      <w:r>
        <w:t xml:space="preserve"> length </w:t>
      </w:r>
      <w:r w:rsidR="000D4B77">
        <w:t>shown as 0/</w:t>
      </w:r>
      <w:r>
        <w:t xml:space="preserve">4 octets. </w:t>
      </w:r>
    </w:p>
    <w:tbl>
      <w:tblPr>
        <w:tblStyle w:val="TableGrid"/>
        <w:tblW w:w="0" w:type="auto"/>
        <w:tblLook w:val="04A0"/>
      </w:tblPr>
      <w:tblGrid>
        <w:gridCol w:w="1193"/>
        <w:gridCol w:w="1193"/>
        <w:gridCol w:w="1174"/>
        <w:gridCol w:w="1181"/>
        <w:gridCol w:w="1127"/>
        <w:gridCol w:w="1260"/>
        <w:gridCol w:w="1284"/>
        <w:gridCol w:w="1164"/>
      </w:tblGrid>
      <w:tr w:rsidR="003262E0" w:rsidTr="003262E0">
        <w:tc>
          <w:tcPr>
            <w:tcW w:w="5868" w:type="dxa"/>
            <w:gridSpan w:val="5"/>
          </w:tcPr>
          <w:p w:rsidR="003262E0" w:rsidRPr="003262E0" w:rsidRDefault="003262E0" w:rsidP="003262E0">
            <w:pPr>
              <w:jc w:val="center"/>
              <w:rPr>
                <w:b/>
              </w:rPr>
            </w:pPr>
            <w:r w:rsidRPr="003262E0">
              <w:rPr>
                <w:b/>
              </w:rPr>
              <w:t>Octets: 2</w:t>
            </w:r>
          </w:p>
        </w:tc>
        <w:tc>
          <w:tcPr>
            <w:tcW w:w="1260" w:type="dxa"/>
          </w:tcPr>
          <w:p w:rsidR="003262E0" w:rsidRPr="003262E0" w:rsidRDefault="003262E0" w:rsidP="003262E0">
            <w:pPr>
              <w:jc w:val="center"/>
              <w:rPr>
                <w:b/>
              </w:rPr>
            </w:pPr>
          </w:p>
        </w:tc>
        <w:tc>
          <w:tcPr>
            <w:tcW w:w="1284" w:type="dxa"/>
          </w:tcPr>
          <w:p w:rsidR="003262E0" w:rsidRPr="003262E0" w:rsidRDefault="003262E0" w:rsidP="003262E0">
            <w:pPr>
              <w:jc w:val="center"/>
              <w:rPr>
                <w:b/>
              </w:rPr>
            </w:pPr>
          </w:p>
        </w:tc>
        <w:tc>
          <w:tcPr>
            <w:tcW w:w="1164" w:type="dxa"/>
            <w:vMerge w:val="restart"/>
          </w:tcPr>
          <w:p w:rsidR="003262E0" w:rsidRDefault="003262E0" w:rsidP="00A21D3D"/>
        </w:tc>
      </w:tr>
      <w:tr w:rsidR="003262E0" w:rsidTr="003262E0">
        <w:tc>
          <w:tcPr>
            <w:tcW w:w="1193" w:type="dxa"/>
          </w:tcPr>
          <w:p w:rsidR="003262E0" w:rsidRPr="003262E0" w:rsidRDefault="003262E0" w:rsidP="003262E0">
            <w:pPr>
              <w:jc w:val="center"/>
              <w:rPr>
                <w:b/>
              </w:rPr>
            </w:pPr>
            <w:r w:rsidRPr="003262E0">
              <w:rPr>
                <w:b/>
              </w:rPr>
              <w:t>Bits: 1</w:t>
            </w:r>
          </w:p>
        </w:tc>
        <w:tc>
          <w:tcPr>
            <w:tcW w:w="1193" w:type="dxa"/>
          </w:tcPr>
          <w:p w:rsidR="003262E0" w:rsidRPr="003262E0" w:rsidRDefault="003262E0" w:rsidP="003262E0">
            <w:pPr>
              <w:jc w:val="center"/>
              <w:rPr>
                <w:b/>
                <w:color w:val="FF0000"/>
              </w:rPr>
            </w:pPr>
            <w:r w:rsidRPr="003262E0">
              <w:rPr>
                <w:b/>
                <w:color w:val="FF0000"/>
              </w:rPr>
              <w:t>1</w:t>
            </w:r>
          </w:p>
        </w:tc>
        <w:tc>
          <w:tcPr>
            <w:tcW w:w="1174" w:type="dxa"/>
          </w:tcPr>
          <w:p w:rsidR="003262E0" w:rsidRPr="003262E0" w:rsidRDefault="003262E0" w:rsidP="003262E0">
            <w:pPr>
              <w:jc w:val="center"/>
              <w:rPr>
                <w:b/>
              </w:rPr>
            </w:pPr>
            <w:r w:rsidRPr="003262E0">
              <w:rPr>
                <w:b/>
              </w:rPr>
              <w:t>10</w:t>
            </w:r>
          </w:p>
        </w:tc>
        <w:tc>
          <w:tcPr>
            <w:tcW w:w="1181" w:type="dxa"/>
          </w:tcPr>
          <w:p w:rsidR="003262E0" w:rsidRPr="003262E0" w:rsidRDefault="003262E0" w:rsidP="003262E0">
            <w:pPr>
              <w:jc w:val="center"/>
              <w:rPr>
                <w:b/>
              </w:rPr>
            </w:pPr>
            <w:r w:rsidRPr="003262E0">
              <w:rPr>
                <w:b/>
              </w:rPr>
              <w:t>3</w:t>
            </w:r>
          </w:p>
        </w:tc>
        <w:tc>
          <w:tcPr>
            <w:tcW w:w="1127" w:type="dxa"/>
          </w:tcPr>
          <w:p w:rsidR="003262E0" w:rsidRPr="003262E0" w:rsidRDefault="003262E0" w:rsidP="003262E0">
            <w:pPr>
              <w:jc w:val="center"/>
              <w:rPr>
                <w:b/>
              </w:rPr>
            </w:pPr>
            <w:r w:rsidRPr="003262E0">
              <w:rPr>
                <w:b/>
              </w:rPr>
              <w:t>1</w:t>
            </w:r>
          </w:p>
        </w:tc>
        <w:tc>
          <w:tcPr>
            <w:tcW w:w="1260" w:type="dxa"/>
          </w:tcPr>
          <w:p w:rsidR="003262E0" w:rsidRPr="003262E0" w:rsidRDefault="003262E0" w:rsidP="003262E0">
            <w:pPr>
              <w:jc w:val="center"/>
              <w:rPr>
                <w:b/>
              </w:rPr>
            </w:pPr>
            <w:r w:rsidRPr="003262E0">
              <w:rPr>
                <w:b/>
              </w:rPr>
              <w:t>10</w:t>
            </w:r>
          </w:p>
        </w:tc>
        <w:tc>
          <w:tcPr>
            <w:tcW w:w="1284" w:type="dxa"/>
          </w:tcPr>
          <w:p w:rsidR="003262E0" w:rsidRPr="003262E0" w:rsidRDefault="003262E0" w:rsidP="003262E0">
            <w:pPr>
              <w:jc w:val="center"/>
              <w:rPr>
                <w:b/>
              </w:rPr>
            </w:pPr>
            <w:r w:rsidRPr="003262E0">
              <w:rPr>
                <w:b/>
              </w:rPr>
              <w:t>6</w:t>
            </w:r>
          </w:p>
        </w:tc>
        <w:tc>
          <w:tcPr>
            <w:tcW w:w="1164" w:type="dxa"/>
            <w:vMerge/>
          </w:tcPr>
          <w:p w:rsidR="003262E0" w:rsidRDefault="003262E0" w:rsidP="00A21D3D"/>
        </w:tc>
      </w:tr>
      <w:tr w:rsidR="003262E0" w:rsidTr="003262E0">
        <w:tc>
          <w:tcPr>
            <w:tcW w:w="1193" w:type="dxa"/>
          </w:tcPr>
          <w:p w:rsidR="003262E0" w:rsidRPr="003262E0" w:rsidRDefault="003262E0" w:rsidP="003262E0">
            <w:pPr>
              <w:jc w:val="center"/>
            </w:pPr>
            <w:r w:rsidRPr="003262E0">
              <w:t>Fragment</w:t>
            </w:r>
          </w:p>
          <w:p w:rsidR="003262E0" w:rsidRDefault="003262E0" w:rsidP="003262E0">
            <w:pPr>
              <w:jc w:val="center"/>
            </w:pPr>
            <w:r w:rsidRPr="003262E0">
              <w:t>Tx Option</w:t>
            </w:r>
          </w:p>
        </w:tc>
        <w:tc>
          <w:tcPr>
            <w:tcW w:w="1193" w:type="dxa"/>
          </w:tcPr>
          <w:p w:rsidR="003262E0" w:rsidRPr="003262E0" w:rsidRDefault="003262E0" w:rsidP="003262E0">
            <w:pPr>
              <w:jc w:val="center"/>
              <w:rPr>
                <w:color w:val="FF0000"/>
              </w:rPr>
            </w:pPr>
            <w:r w:rsidRPr="003262E0">
              <w:rPr>
                <w:color w:val="FF0000"/>
              </w:rPr>
              <w:t>Secure Fragment</w:t>
            </w:r>
          </w:p>
        </w:tc>
        <w:tc>
          <w:tcPr>
            <w:tcW w:w="1174" w:type="dxa"/>
          </w:tcPr>
          <w:p w:rsidR="003262E0" w:rsidRDefault="003262E0" w:rsidP="003262E0">
            <w:pPr>
              <w:jc w:val="center"/>
            </w:pPr>
            <w:r>
              <w:t>TID</w:t>
            </w:r>
          </w:p>
        </w:tc>
        <w:tc>
          <w:tcPr>
            <w:tcW w:w="1181" w:type="dxa"/>
          </w:tcPr>
          <w:p w:rsidR="003262E0" w:rsidRDefault="003262E0" w:rsidP="003262E0">
            <w:pPr>
              <w:jc w:val="center"/>
            </w:pPr>
            <w:r>
              <w:t>I-ACK Policy</w:t>
            </w:r>
          </w:p>
        </w:tc>
        <w:tc>
          <w:tcPr>
            <w:tcW w:w="1127" w:type="dxa"/>
          </w:tcPr>
          <w:p w:rsidR="003262E0" w:rsidRDefault="003262E0" w:rsidP="003262E0">
            <w:pPr>
              <w:jc w:val="center"/>
            </w:pPr>
            <w:r>
              <w:t>TID Extension</w:t>
            </w:r>
          </w:p>
        </w:tc>
        <w:tc>
          <w:tcPr>
            <w:tcW w:w="1260" w:type="dxa"/>
          </w:tcPr>
          <w:p w:rsidR="003262E0" w:rsidRPr="003262E0" w:rsidRDefault="003262E0" w:rsidP="003262E0">
            <w:pPr>
              <w:jc w:val="center"/>
            </w:pPr>
            <w:r w:rsidRPr="003262E0">
              <w:t>MPDU</w:t>
            </w:r>
          </w:p>
          <w:p w:rsidR="003262E0" w:rsidRPr="003262E0" w:rsidRDefault="003262E0" w:rsidP="003262E0">
            <w:pPr>
              <w:jc w:val="center"/>
            </w:pPr>
            <w:r w:rsidRPr="003262E0">
              <w:t>Size /</w:t>
            </w:r>
          </w:p>
          <w:p w:rsidR="003262E0" w:rsidRPr="003262E0" w:rsidRDefault="003262E0" w:rsidP="003262E0">
            <w:pPr>
              <w:jc w:val="center"/>
            </w:pPr>
            <w:r w:rsidRPr="003262E0">
              <w:t>Success</w:t>
            </w:r>
          </w:p>
          <w:p w:rsidR="003262E0" w:rsidRDefault="003262E0" w:rsidP="003262E0">
            <w:pPr>
              <w:jc w:val="center"/>
            </w:pPr>
            <w:r w:rsidRPr="003262E0">
              <w:t>Threshold</w:t>
            </w:r>
          </w:p>
        </w:tc>
        <w:tc>
          <w:tcPr>
            <w:tcW w:w="1284" w:type="dxa"/>
          </w:tcPr>
          <w:p w:rsidR="003262E0" w:rsidRDefault="003262E0" w:rsidP="003262E0">
            <w:pPr>
              <w:jc w:val="center"/>
            </w:pPr>
            <w:r>
              <w:t>Addressing Information</w:t>
            </w:r>
          </w:p>
        </w:tc>
        <w:tc>
          <w:tcPr>
            <w:tcW w:w="1164" w:type="dxa"/>
            <w:vMerge/>
          </w:tcPr>
          <w:p w:rsidR="003262E0" w:rsidRDefault="003262E0" w:rsidP="00A21D3D"/>
        </w:tc>
      </w:tr>
    </w:tbl>
    <w:p w:rsidR="003262E0" w:rsidRDefault="003262E0" w:rsidP="00A21D3D"/>
    <w:p w:rsidR="003262E0" w:rsidRDefault="003262E0" w:rsidP="00A21D3D"/>
    <w:tbl>
      <w:tblPr>
        <w:tblStyle w:val="TableGrid"/>
        <w:tblW w:w="0" w:type="auto"/>
        <w:tblInd w:w="918" w:type="dxa"/>
        <w:tblLook w:val="04A0"/>
      </w:tblPr>
      <w:tblGrid>
        <w:gridCol w:w="1146"/>
        <w:gridCol w:w="1762"/>
        <w:gridCol w:w="1502"/>
        <w:gridCol w:w="941"/>
        <w:gridCol w:w="1042"/>
        <w:gridCol w:w="1530"/>
      </w:tblGrid>
      <w:tr w:rsidR="00672ABD" w:rsidTr="00672ABD">
        <w:tc>
          <w:tcPr>
            <w:tcW w:w="1146" w:type="dxa"/>
            <w:vMerge w:val="restart"/>
          </w:tcPr>
          <w:p w:rsidR="00672ABD" w:rsidRDefault="00672ABD" w:rsidP="00672ABD">
            <w:pPr>
              <w:jc w:val="center"/>
            </w:pPr>
          </w:p>
        </w:tc>
        <w:tc>
          <w:tcPr>
            <w:tcW w:w="1762" w:type="dxa"/>
          </w:tcPr>
          <w:p w:rsidR="00672ABD" w:rsidRDefault="00672ABD" w:rsidP="00672ABD">
            <w:pPr>
              <w:jc w:val="center"/>
            </w:pPr>
            <w:r w:rsidRPr="00672ABD">
              <w:rPr>
                <w:b/>
                <w:bCs/>
              </w:rPr>
              <w:t>0/24/40</w:t>
            </w:r>
          </w:p>
        </w:tc>
        <w:tc>
          <w:tcPr>
            <w:tcW w:w="1502" w:type="dxa"/>
          </w:tcPr>
          <w:p w:rsidR="00672ABD" w:rsidRDefault="00672ABD" w:rsidP="00672ABD">
            <w:pPr>
              <w:jc w:val="center"/>
            </w:pPr>
            <w:r w:rsidRPr="00672ABD">
              <w:rPr>
                <w:b/>
                <w:bCs/>
              </w:rPr>
              <w:t>variable</w:t>
            </w:r>
          </w:p>
        </w:tc>
        <w:tc>
          <w:tcPr>
            <w:tcW w:w="1620" w:type="dxa"/>
            <w:gridSpan w:val="2"/>
          </w:tcPr>
          <w:p w:rsidR="00672ABD" w:rsidRPr="003262E0" w:rsidRDefault="00672ABD" w:rsidP="00672ABD">
            <w:pPr>
              <w:jc w:val="center"/>
              <w:rPr>
                <w:b/>
                <w:bCs/>
                <w:color w:val="FF0000"/>
              </w:rPr>
            </w:pPr>
            <w:r w:rsidRPr="003262E0">
              <w:rPr>
                <w:b/>
                <w:bCs/>
                <w:color w:val="FF0000"/>
              </w:rPr>
              <w:t>0/4</w:t>
            </w:r>
          </w:p>
        </w:tc>
        <w:tc>
          <w:tcPr>
            <w:tcW w:w="1530" w:type="dxa"/>
          </w:tcPr>
          <w:p w:rsidR="00672ABD" w:rsidRDefault="00672ABD" w:rsidP="00672ABD">
            <w:pPr>
              <w:jc w:val="center"/>
            </w:pPr>
            <w:r w:rsidRPr="00672ABD">
              <w:rPr>
                <w:b/>
                <w:bCs/>
              </w:rPr>
              <w:t>variable</w:t>
            </w:r>
          </w:p>
        </w:tc>
      </w:tr>
      <w:tr w:rsidR="001C18EE" w:rsidTr="00870D1E">
        <w:tc>
          <w:tcPr>
            <w:tcW w:w="1146" w:type="dxa"/>
            <w:vMerge/>
          </w:tcPr>
          <w:p w:rsidR="001C18EE" w:rsidRDefault="001C18EE" w:rsidP="00672ABD">
            <w:pPr>
              <w:jc w:val="center"/>
            </w:pPr>
          </w:p>
        </w:tc>
        <w:tc>
          <w:tcPr>
            <w:tcW w:w="1762" w:type="dxa"/>
          </w:tcPr>
          <w:p w:rsidR="001C18EE" w:rsidRDefault="001C18EE" w:rsidP="00672ABD">
            <w:pPr>
              <w:jc w:val="center"/>
            </w:pPr>
          </w:p>
        </w:tc>
        <w:tc>
          <w:tcPr>
            <w:tcW w:w="1502" w:type="dxa"/>
          </w:tcPr>
          <w:p w:rsidR="001C18EE" w:rsidRDefault="001C18EE" w:rsidP="00672ABD">
            <w:pPr>
              <w:jc w:val="center"/>
            </w:pPr>
          </w:p>
        </w:tc>
        <w:tc>
          <w:tcPr>
            <w:tcW w:w="810" w:type="dxa"/>
          </w:tcPr>
          <w:p w:rsidR="001C18EE" w:rsidRPr="003262E0" w:rsidRDefault="001C18EE" w:rsidP="00672ABD">
            <w:pPr>
              <w:jc w:val="center"/>
              <w:rPr>
                <w:color w:val="FF0000"/>
              </w:rPr>
            </w:pPr>
            <w:r>
              <w:rPr>
                <w:color w:val="FF0000"/>
              </w:rPr>
              <w:t>26</w:t>
            </w:r>
          </w:p>
        </w:tc>
        <w:tc>
          <w:tcPr>
            <w:tcW w:w="810" w:type="dxa"/>
          </w:tcPr>
          <w:p w:rsidR="001C18EE" w:rsidRPr="003262E0" w:rsidRDefault="001C18EE" w:rsidP="00672ABD">
            <w:pPr>
              <w:jc w:val="center"/>
              <w:rPr>
                <w:color w:val="FF0000"/>
              </w:rPr>
            </w:pPr>
            <w:r>
              <w:rPr>
                <w:color w:val="FF0000"/>
              </w:rPr>
              <w:t>6</w:t>
            </w:r>
          </w:p>
        </w:tc>
        <w:tc>
          <w:tcPr>
            <w:tcW w:w="1530" w:type="dxa"/>
          </w:tcPr>
          <w:p w:rsidR="001C18EE" w:rsidRDefault="001C18EE" w:rsidP="00672ABD">
            <w:pPr>
              <w:jc w:val="center"/>
            </w:pPr>
          </w:p>
        </w:tc>
      </w:tr>
      <w:tr w:rsidR="001C18EE" w:rsidTr="00AE1791">
        <w:tc>
          <w:tcPr>
            <w:tcW w:w="1146" w:type="dxa"/>
            <w:vMerge/>
          </w:tcPr>
          <w:p w:rsidR="001C18EE" w:rsidRDefault="001C18EE" w:rsidP="00672ABD">
            <w:pPr>
              <w:jc w:val="center"/>
            </w:pPr>
          </w:p>
        </w:tc>
        <w:tc>
          <w:tcPr>
            <w:tcW w:w="1762" w:type="dxa"/>
          </w:tcPr>
          <w:p w:rsidR="001C18EE" w:rsidRPr="00672ABD" w:rsidRDefault="001C18EE" w:rsidP="00672ABD">
            <w:pPr>
              <w:jc w:val="center"/>
            </w:pPr>
            <w:r w:rsidRPr="00672ABD">
              <w:t>TID</w:t>
            </w:r>
          </w:p>
          <w:p w:rsidR="001C18EE" w:rsidRPr="00672ABD" w:rsidRDefault="001C18EE" w:rsidP="00672ABD">
            <w:pPr>
              <w:jc w:val="center"/>
            </w:pPr>
            <w:r w:rsidRPr="00672ABD">
              <w:t>Extension</w:t>
            </w:r>
          </w:p>
          <w:p w:rsidR="001C18EE" w:rsidRDefault="001C18EE" w:rsidP="00672ABD">
            <w:pPr>
              <w:jc w:val="center"/>
            </w:pPr>
            <w:r w:rsidRPr="00672ABD">
              <w:t>Parameters</w:t>
            </w:r>
          </w:p>
        </w:tc>
        <w:tc>
          <w:tcPr>
            <w:tcW w:w="1502" w:type="dxa"/>
          </w:tcPr>
          <w:p w:rsidR="001C18EE" w:rsidRDefault="001C18EE" w:rsidP="00672ABD">
            <w:pPr>
              <w:jc w:val="center"/>
            </w:pPr>
            <w:r w:rsidRPr="00672ABD">
              <w:t>Addressing</w:t>
            </w:r>
          </w:p>
        </w:tc>
        <w:tc>
          <w:tcPr>
            <w:tcW w:w="810" w:type="dxa"/>
          </w:tcPr>
          <w:p w:rsidR="001C18EE" w:rsidRPr="003262E0" w:rsidRDefault="001C18EE" w:rsidP="00672ABD">
            <w:pPr>
              <w:jc w:val="center"/>
              <w:rPr>
                <w:color w:val="FF0000"/>
              </w:rPr>
            </w:pPr>
            <w:r w:rsidRPr="003262E0">
              <w:rPr>
                <w:color w:val="FF0000"/>
              </w:rPr>
              <w:t>MPDU Counter</w:t>
            </w:r>
          </w:p>
        </w:tc>
        <w:tc>
          <w:tcPr>
            <w:tcW w:w="810" w:type="dxa"/>
          </w:tcPr>
          <w:p w:rsidR="001C18EE" w:rsidRPr="003262E0" w:rsidRDefault="001C18EE" w:rsidP="00672ABD">
            <w:pPr>
              <w:jc w:val="center"/>
              <w:rPr>
                <w:color w:val="FF0000"/>
              </w:rPr>
            </w:pPr>
            <w:r>
              <w:rPr>
                <w:color w:val="FF0000"/>
              </w:rPr>
              <w:t>Reserved</w:t>
            </w:r>
          </w:p>
        </w:tc>
        <w:tc>
          <w:tcPr>
            <w:tcW w:w="1530" w:type="dxa"/>
          </w:tcPr>
          <w:p w:rsidR="001C18EE" w:rsidRPr="00672ABD" w:rsidRDefault="001C18EE" w:rsidP="00672ABD">
            <w:pPr>
              <w:jc w:val="center"/>
            </w:pPr>
            <w:r w:rsidRPr="00672ABD">
              <w:t>PHY</w:t>
            </w:r>
            <w:r>
              <w:t>-</w:t>
            </w:r>
            <w:r w:rsidRPr="00672ABD">
              <w:t>dependent</w:t>
            </w:r>
          </w:p>
          <w:p w:rsidR="001C18EE" w:rsidRDefault="001C18EE" w:rsidP="00672ABD">
            <w:pPr>
              <w:jc w:val="center"/>
            </w:pPr>
            <w:r w:rsidRPr="00672ABD">
              <w:t>Parameters</w:t>
            </w:r>
          </w:p>
        </w:tc>
      </w:tr>
    </w:tbl>
    <w:p w:rsidR="000D4B77" w:rsidRPr="003262E0" w:rsidRDefault="003262E0" w:rsidP="003262E0">
      <w:pPr>
        <w:jc w:val="center"/>
        <w:rPr>
          <w:b/>
        </w:rPr>
      </w:pPr>
      <w:r w:rsidRPr="003262E0">
        <w:rPr>
          <w:b/>
        </w:rPr>
        <w:t>Figure 48ww</w:t>
      </w:r>
    </w:p>
    <w:p w:rsidR="006D155B" w:rsidRDefault="000D4B77" w:rsidP="00A21D3D">
      <w:r w:rsidRPr="006D155B">
        <w:rPr>
          <w:i/>
        </w:rPr>
        <w:t>Add description of Secure Fragment field after 5.2.4.25.1:</w:t>
      </w:r>
      <w:r>
        <w:t xml:space="preserve">  </w:t>
      </w:r>
    </w:p>
    <w:p w:rsidR="000D4B77" w:rsidRDefault="000D4B77" w:rsidP="00A21D3D">
      <w:r>
        <w:t xml:space="preserve">The Secure Fragment field is used to indicate if the fragments in this transaction will be sent with authentication.  When set, the MPDU Counter field shall be present in this IE, and the fragment validation field will be </w:t>
      </w:r>
      <w:r w:rsidR="006D155B">
        <w:t xml:space="preserve">set to the MIC as described in </w:t>
      </w:r>
      <w:r w:rsidR="006D155B" w:rsidRPr="006D155B">
        <w:t>7.4</w:t>
      </w:r>
      <w:r>
        <w:t>.</w:t>
      </w:r>
      <w:r w:rsidR="00672ABD">
        <w:t xml:space="preserve"> The field shall be set to 1 when </w:t>
      </w:r>
      <w:proofErr w:type="spellStart"/>
      <w:r w:rsidR="00672ABD">
        <w:rPr>
          <w:i/>
        </w:rPr>
        <w:t>macMPDUFrag</w:t>
      </w:r>
      <w:r w:rsidR="00672ABD" w:rsidRPr="00672ABD">
        <w:rPr>
          <w:i/>
        </w:rPr>
        <w:t>Secure</w:t>
      </w:r>
      <w:proofErr w:type="spellEnd"/>
      <w:r w:rsidR="00672ABD">
        <w:t xml:space="preserve"> is set to TRUE. </w:t>
      </w:r>
    </w:p>
    <w:p w:rsidR="006D155B" w:rsidRDefault="000D4B77" w:rsidP="00A21D3D">
      <w:r w:rsidRPr="006D155B">
        <w:rPr>
          <w:i/>
        </w:rPr>
        <w:t xml:space="preserve">Add description of MPDU Counter field </w:t>
      </w:r>
      <w:proofErr w:type="gramStart"/>
      <w:r w:rsidRPr="006D155B">
        <w:rPr>
          <w:i/>
        </w:rPr>
        <w:t xml:space="preserve">after  </w:t>
      </w:r>
      <w:r w:rsidR="00672ABD" w:rsidRPr="006D155B">
        <w:rPr>
          <w:i/>
        </w:rPr>
        <w:t>5.2.4.25.8</w:t>
      </w:r>
      <w:proofErr w:type="gramEnd"/>
      <w:r w:rsidR="00672ABD" w:rsidRPr="006D155B">
        <w:rPr>
          <w:i/>
        </w:rPr>
        <w:t>:</w:t>
      </w:r>
      <w:r w:rsidR="00672ABD">
        <w:t xml:space="preserve">  </w:t>
      </w:r>
    </w:p>
    <w:p w:rsidR="00A21D3D" w:rsidRDefault="00672ABD" w:rsidP="00A21D3D">
      <w:r>
        <w:t>The MPDU Counter field shall be present when the Secure Fragment field is set to 1 (</w:t>
      </w:r>
      <w:proofErr w:type="spellStart"/>
      <w:r w:rsidRPr="00672ABD">
        <w:rPr>
          <w:i/>
        </w:rPr>
        <w:t>macMPDUFragSecure</w:t>
      </w:r>
      <w:proofErr w:type="spellEnd"/>
      <w:r>
        <w:t xml:space="preserve"> is set to TRUE).  The MAC shall maintain a counter that is incremented with each MPDU fragmentation transaction initiated such that the counter value is not repeated </w:t>
      </w:r>
      <w:r w:rsidR="006D155B">
        <w:t>as described in 7.4</w:t>
      </w:r>
      <w:r w:rsidR="001C18EE">
        <w:t>.2</w:t>
      </w:r>
      <w:r>
        <w:t xml:space="preserve">.  </w:t>
      </w:r>
    </w:p>
    <w:p w:rsidR="003262E0" w:rsidRPr="003262E0" w:rsidRDefault="003262E0" w:rsidP="00A21D3D">
      <w:pPr>
        <w:rPr>
          <w:b/>
        </w:rPr>
      </w:pPr>
      <w:r w:rsidRPr="003262E0">
        <w:rPr>
          <w:b/>
        </w:rPr>
        <w:t>5.4.1.1 Fragment sequence context</w:t>
      </w:r>
    </w:p>
    <w:p w:rsidR="001349FE" w:rsidRPr="006D155B" w:rsidRDefault="001349FE" w:rsidP="00A21D3D">
      <w:pPr>
        <w:rPr>
          <w:i/>
        </w:rPr>
      </w:pPr>
      <w:r w:rsidRPr="006D155B">
        <w:rPr>
          <w:i/>
        </w:rPr>
        <w:t>Change last paragraph of 5.4.1.1:</w:t>
      </w:r>
    </w:p>
    <w:p w:rsidR="001349FE" w:rsidRPr="00EA04E2" w:rsidRDefault="00EA04E2" w:rsidP="00EA04E2">
      <w:pPr>
        <w:rPr>
          <w:color w:val="FF0000"/>
        </w:rPr>
      </w:pPr>
      <w:r w:rsidRPr="00EA04E2">
        <w:lastRenderedPageBreak/>
        <w:t xml:space="preserve">The FVS field is used to validate the received fragment. </w:t>
      </w:r>
      <w:r>
        <w:rPr>
          <w:color w:val="FF0000"/>
        </w:rPr>
        <w:t xml:space="preserve">When </w:t>
      </w:r>
      <w:proofErr w:type="spellStart"/>
      <w:r>
        <w:rPr>
          <w:color w:val="FF0000"/>
        </w:rPr>
        <w:t>macMPDUFragSecure</w:t>
      </w:r>
      <w:proofErr w:type="spellEnd"/>
      <w:r>
        <w:rPr>
          <w:color w:val="FF0000"/>
        </w:rPr>
        <w:t xml:space="preserve"> is FALSE, t</w:t>
      </w:r>
      <w:r w:rsidRPr="00EA04E2">
        <w:t>he length of the field shall be determined by</w:t>
      </w:r>
      <w:r>
        <w:t xml:space="preserve"> </w:t>
      </w:r>
      <w:proofErr w:type="spellStart"/>
      <w:r w:rsidRPr="00EA04E2">
        <w:rPr>
          <w:i/>
          <w:iCs/>
        </w:rPr>
        <w:t>macFragmentFVSType</w:t>
      </w:r>
      <w:proofErr w:type="spellEnd"/>
      <w:r w:rsidRPr="00EA04E2">
        <w:t>, and it shall be calculated according to 5.2.1.9, except that the initial remainder value</w:t>
      </w:r>
      <w:r>
        <w:t xml:space="preserve"> </w:t>
      </w:r>
      <w:r w:rsidRPr="00EA04E2">
        <w:t>used for CRC calculation shall be as described in 5.2.4.25.7.</w:t>
      </w:r>
      <w:r>
        <w:t xml:space="preserve"> </w:t>
      </w:r>
      <w:r>
        <w:rPr>
          <w:color w:val="FF0000"/>
        </w:rPr>
        <w:t xml:space="preserve">When </w:t>
      </w:r>
      <w:proofErr w:type="spellStart"/>
      <w:r>
        <w:rPr>
          <w:color w:val="FF0000"/>
        </w:rPr>
        <w:t>macMPDUFragSecure</w:t>
      </w:r>
      <w:proofErr w:type="spellEnd"/>
      <w:r>
        <w:rPr>
          <w:color w:val="FF0000"/>
        </w:rPr>
        <w:t xml:space="preserve"> is TRUE, the length of the field shall be 4 octets and shall contain the MIC-32 </w:t>
      </w:r>
      <w:r w:rsidR="0097459E">
        <w:rPr>
          <w:color w:val="FF0000"/>
        </w:rPr>
        <w:t xml:space="preserve">as described in </w:t>
      </w:r>
      <w:r w:rsidR="0097459E" w:rsidRPr="0097459E">
        <w:rPr>
          <w:color w:val="FF0000"/>
        </w:rPr>
        <w:t>5.4.1.1</w:t>
      </w:r>
      <w:r w:rsidR="001C18EE">
        <w:rPr>
          <w:color w:val="FF0000"/>
        </w:rPr>
        <w:t xml:space="preserve">. </w:t>
      </w:r>
    </w:p>
    <w:p w:rsidR="003262E0" w:rsidRPr="006D155B" w:rsidRDefault="003262E0" w:rsidP="00A21D3D">
      <w:pPr>
        <w:rPr>
          <w:i/>
        </w:rPr>
      </w:pPr>
      <w:r w:rsidRPr="006D155B">
        <w:rPr>
          <w:i/>
        </w:rPr>
        <w:t>Insert a</w:t>
      </w:r>
      <w:r w:rsidR="001349FE" w:rsidRPr="006D155B">
        <w:rPr>
          <w:i/>
        </w:rPr>
        <w:t xml:space="preserve">fter last paragraph </w:t>
      </w:r>
      <w:r w:rsidRPr="006D155B">
        <w:rPr>
          <w:i/>
        </w:rPr>
        <w:t>5.4.1.1:</w:t>
      </w:r>
    </w:p>
    <w:p w:rsidR="00B42022" w:rsidRPr="00A21D3D" w:rsidRDefault="003262E0" w:rsidP="0097459E">
      <w:pPr>
        <w:ind w:left="720"/>
      </w:pPr>
      <w:r>
        <w:t xml:space="preserve">When the fragment context frame is received with the </w:t>
      </w:r>
      <w:r w:rsidR="001349FE">
        <w:t xml:space="preserve">Secure Fragment field set to 1, the MPDU Counter field will be used with the fragment number </w:t>
      </w:r>
      <w:r w:rsidR="00B42022">
        <w:t xml:space="preserve">to form the Frame </w:t>
      </w:r>
      <w:r w:rsidR="0097459E">
        <w:t>C</w:t>
      </w:r>
      <w:r w:rsidR="00B42022">
        <w:t xml:space="preserve">ounter field used to construct the nonce described </w:t>
      </w:r>
      <w:r w:rsidR="0097459E">
        <w:t>in 7.</w:t>
      </w:r>
      <w:r w:rsidR="00B42022">
        <w:t>2</w:t>
      </w:r>
      <w:r w:rsidR="0097459E">
        <w:t xml:space="preserve">.1 except that </w:t>
      </w:r>
      <w:proofErr w:type="spellStart"/>
      <w:r w:rsidR="0097459E" w:rsidRPr="0097459E">
        <w:rPr>
          <w:i/>
        </w:rPr>
        <w:t>macFrameCounter</w:t>
      </w:r>
      <w:proofErr w:type="spellEnd"/>
      <w:r w:rsidR="0097459E">
        <w:t xml:space="preserve"> is replaced with </w:t>
      </w:r>
      <w:proofErr w:type="spellStart"/>
      <w:r w:rsidR="0097459E" w:rsidRPr="0097459E">
        <w:rPr>
          <w:i/>
        </w:rPr>
        <w:t>macFragmentFrameCounter</w:t>
      </w:r>
      <w:proofErr w:type="spellEnd"/>
      <w:r w:rsidR="0097459E">
        <w:t xml:space="preserve">, which shall </w:t>
      </w:r>
      <w:r w:rsidR="0036192F">
        <w:t>be</w:t>
      </w:r>
      <w:r w:rsidR="0097459E">
        <w:t xml:space="preserve"> comprised of the MPDU counter field, </w:t>
      </w:r>
      <w:r w:rsidR="00B42022">
        <w:t>used as the most significant 26 bits</w:t>
      </w:r>
      <w:r w:rsidR="0097459E">
        <w:t>,</w:t>
      </w:r>
      <w:r w:rsidR="00B42022">
        <w:t xml:space="preserve"> and the fragment number </w:t>
      </w:r>
      <w:r w:rsidR="0097459E">
        <w:t>used as the least</w:t>
      </w:r>
      <w:r w:rsidR="0036192F">
        <w:t xml:space="preserve"> significant 6 bits.</w:t>
      </w:r>
    </w:p>
    <w:p w:rsidR="00672ABD" w:rsidRPr="00672ABD" w:rsidRDefault="0036192F" w:rsidP="002552A2">
      <w:pPr>
        <w:rPr>
          <w:b/>
          <w:bCs/>
        </w:rPr>
      </w:pPr>
      <w:r>
        <w:rPr>
          <w:b/>
          <w:bCs/>
        </w:rPr>
        <w:t xml:space="preserve"> </w:t>
      </w:r>
      <w:r w:rsidR="00672ABD" w:rsidRPr="00672ABD">
        <w:rPr>
          <w:b/>
          <w:bCs/>
        </w:rPr>
        <w:t>6.4.3.2 General MAC PIB attributes for functional organization</w:t>
      </w:r>
    </w:p>
    <w:p w:rsidR="007E7C81" w:rsidRDefault="00672ABD" w:rsidP="002552A2">
      <w:r>
        <w:t>Ad</w:t>
      </w:r>
      <w:r w:rsidR="0036192F">
        <w:t xml:space="preserve">d </w:t>
      </w:r>
      <w:r>
        <w:t>new attribute</w:t>
      </w:r>
      <w:r w:rsidR="0036192F">
        <w:t>s</w:t>
      </w:r>
      <w:r>
        <w:t xml:space="preserve"> to Table 52:</w:t>
      </w:r>
    </w:p>
    <w:tbl>
      <w:tblPr>
        <w:tblStyle w:val="TableGrid"/>
        <w:tblW w:w="0" w:type="auto"/>
        <w:tblLook w:val="04A0"/>
      </w:tblPr>
      <w:tblGrid>
        <w:gridCol w:w="2741"/>
        <w:gridCol w:w="1165"/>
        <w:gridCol w:w="1349"/>
        <w:gridCol w:w="3229"/>
        <w:gridCol w:w="1092"/>
      </w:tblGrid>
      <w:tr w:rsidR="003262E0" w:rsidRPr="00672ABD" w:rsidTr="003262E0">
        <w:tc>
          <w:tcPr>
            <w:tcW w:w="2178" w:type="dxa"/>
          </w:tcPr>
          <w:p w:rsidR="003262E0" w:rsidRPr="00672ABD" w:rsidRDefault="003262E0" w:rsidP="003262E0">
            <w:r w:rsidRPr="00672ABD">
              <w:t xml:space="preserve">Attribute </w:t>
            </w:r>
          </w:p>
        </w:tc>
        <w:tc>
          <w:tcPr>
            <w:tcW w:w="1260" w:type="dxa"/>
          </w:tcPr>
          <w:p w:rsidR="003262E0" w:rsidRPr="00672ABD" w:rsidRDefault="003262E0" w:rsidP="009D2C4F">
            <w:r w:rsidRPr="00672ABD">
              <w:t>Type</w:t>
            </w:r>
          </w:p>
        </w:tc>
        <w:tc>
          <w:tcPr>
            <w:tcW w:w="1440" w:type="dxa"/>
          </w:tcPr>
          <w:p w:rsidR="003262E0" w:rsidRPr="00672ABD" w:rsidRDefault="003262E0" w:rsidP="009D2C4F">
            <w:r w:rsidRPr="00672ABD">
              <w:t>Range</w:t>
            </w:r>
          </w:p>
        </w:tc>
        <w:tc>
          <w:tcPr>
            <w:tcW w:w="3696" w:type="dxa"/>
          </w:tcPr>
          <w:p w:rsidR="003262E0" w:rsidRPr="00672ABD" w:rsidRDefault="003262E0" w:rsidP="009D2C4F">
            <w:r w:rsidRPr="00672ABD">
              <w:t>Description</w:t>
            </w:r>
          </w:p>
        </w:tc>
        <w:tc>
          <w:tcPr>
            <w:tcW w:w="1002" w:type="dxa"/>
          </w:tcPr>
          <w:p w:rsidR="003262E0" w:rsidRPr="00672ABD" w:rsidRDefault="003262E0" w:rsidP="009D2C4F">
            <w:r w:rsidRPr="00672ABD">
              <w:t>Default</w:t>
            </w:r>
          </w:p>
        </w:tc>
      </w:tr>
      <w:tr w:rsidR="003262E0" w:rsidTr="003262E0">
        <w:tc>
          <w:tcPr>
            <w:tcW w:w="2178" w:type="dxa"/>
          </w:tcPr>
          <w:p w:rsidR="003262E0" w:rsidRDefault="003262E0" w:rsidP="002552A2">
            <w:proofErr w:type="spellStart"/>
            <w:r w:rsidRPr="00672ABD">
              <w:rPr>
                <w:i/>
              </w:rPr>
              <w:t>macMPDUFragSecure</w:t>
            </w:r>
            <w:proofErr w:type="spellEnd"/>
          </w:p>
        </w:tc>
        <w:tc>
          <w:tcPr>
            <w:tcW w:w="1260" w:type="dxa"/>
          </w:tcPr>
          <w:p w:rsidR="003262E0" w:rsidRDefault="003262E0" w:rsidP="002552A2">
            <w:r>
              <w:t>Boolean</w:t>
            </w:r>
          </w:p>
        </w:tc>
        <w:tc>
          <w:tcPr>
            <w:tcW w:w="1440" w:type="dxa"/>
          </w:tcPr>
          <w:p w:rsidR="003262E0" w:rsidRDefault="003262E0" w:rsidP="002552A2">
            <w:r>
              <w:t>TRUE, FALSE</w:t>
            </w:r>
          </w:p>
        </w:tc>
        <w:tc>
          <w:tcPr>
            <w:tcW w:w="3696" w:type="dxa"/>
          </w:tcPr>
          <w:p w:rsidR="003262E0" w:rsidRDefault="0036192F" w:rsidP="0036192F">
            <w:r w:rsidRPr="0036192F">
              <w:t>When set to TRUE, a MIC shall be used as the fragm</w:t>
            </w:r>
            <w:r>
              <w:t>ent validation sequence, as described in 5.4.1.1</w:t>
            </w:r>
            <w:r w:rsidRPr="0036192F">
              <w:t>. Otherwise, the FVS shall be calculated as in 5.4.1.2</w:t>
            </w:r>
            <w:r>
              <w:t>.</w:t>
            </w:r>
          </w:p>
        </w:tc>
        <w:tc>
          <w:tcPr>
            <w:tcW w:w="1002" w:type="dxa"/>
          </w:tcPr>
          <w:p w:rsidR="003262E0" w:rsidRDefault="003262E0" w:rsidP="002552A2">
            <w:r>
              <w:t>FALSE</w:t>
            </w:r>
          </w:p>
        </w:tc>
      </w:tr>
      <w:tr w:rsidR="0097459E" w:rsidTr="003262E0">
        <w:tc>
          <w:tcPr>
            <w:tcW w:w="2178" w:type="dxa"/>
          </w:tcPr>
          <w:p w:rsidR="0097459E" w:rsidRPr="00672ABD" w:rsidRDefault="0097459E" w:rsidP="002552A2">
            <w:pPr>
              <w:rPr>
                <w:i/>
              </w:rPr>
            </w:pPr>
            <w:proofErr w:type="spellStart"/>
            <w:r>
              <w:rPr>
                <w:i/>
              </w:rPr>
              <w:t>macFragmentFrameCounter</w:t>
            </w:r>
            <w:proofErr w:type="spellEnd"/>
          </w:p>
        </w:tc>
        <w:tc>
          <w:tcPr>
            <w:tcW w:w="1260" w:type="dxa"/>
          </w:tcPr>
          <w:p w:rsidR="0097459E" w:rsidRDefault="0097459E" w:rsidP="002552A2"/>
        </w:tc>
        <w:tc>
          <w:tcPr>
            <w:tcW w:w="1440" w:type="dxa"/>
          </w:tcPr>
          <w:p w:rsidR="0097459E" w:rsidRDefault="00B35AEE" w:rsidP="002552A2">
            <w:r>
              <w:t>0x000000 – 0x3FFFFFF</w:t>
            </w:r>
          </w:p>
        </w:tc>
        <w:tc>
          <w:tcPr>
            <w:tcW w:w="3696" w:type="dxa"/>
          </w:tcPr>
          <w:p w:rsidR="0097459E" w:rsidRPr="00B35AEE" w:rsidRDefault="0036192F" w:rsidP="001349FE">
            <w:r w:rsidRPr="0036192F">
              <w:t xml:space="preserve">The outgoing MPDU counter to use when </w:t>
            </w:r>
            <w:proofErr w:type="spellStart"/>
            <w:r w:rsidRPr="0036192F">
              <w:rPr>
                <w:i/>
              </w:rPr>
              <w:t>macMPDUFragSecure</w:t>
            </w:r>
            <w:proofErr w:type="spellEnd"/>
            <w:r w:rsidRPr="0036192F">
              <w:t xml:space="preserve"> is TRUE.</w:t>
            </w:r>
            <w:r w:rsidR="00D67D68">
              <w:t xml:space="preserve"> Not used when </w:t>
            </w:r>
            <w:proofErr w:type="spellStart"/>
            <w:r w:rsidR="00D67D68" w:rsidRPr="0036192F">
              <w:rPr>
                <w:i/>
              </w:rPr>
              <w:t>macMPDUFragSecure</w:t>
            </w:r>
            <w:proofErr w:type="spellEnd"/>
            <w:r w:rsidR="00D67D68" w:rsidRPr="0036192F">
              <w:t xml:space="preserve"> is</w:t>
            </w:r>
            <w:r w:rsidR="00D67D68">
              <w:t xml:space="preserve"> FALSE. </w:t>
            </w:r>
          </w:p>
        </w:tc>
        <w:tc>
          <w:tcPr>
            <w:tcW w:w="1002" w:type="dxa"/>
          </w:tcPr>
          <w:p w:rsidR="0097459E" w:rsidRDefault="00B35AEE" w:rsidP="002552A2">
            <w:r>
              <w:t>0x000000</w:t>
            </w:r>
          </w:p>
        </w:tc>
      </w:tr>
    </w:tbl>
    <w:p w:rsidR="00672ABD" w:rsidRDefault="00672ABD" w:rsidP="002552A2"/>
    <w:p w:rsidR="007E7C81" w:rsidRDefault="007E7C81" w:rsidP="002552A2"/>
    <w:p w:rsidR="007E7C81" w:rsidRPr="002552A2" w:rsidRDefault="007E7C81" w:rsidP="002552A2"/>
    <w:sectPr w:rsidR="007E7C81" w:rsidRPr="002552A2" w:rsidSect="00444A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7A" w:rsidRDefault="006B497A" w:rsidP="00DE4F4D">
      <w:pPr>
        <w:spacing w:after="0" w:line="240" w:lineRule="auto"/>
      </w:pPr>
      <w:r>
        <w:separator/>
      </w:r>
    </w:p>
  </w:endnote>
  <w:endnote w:type="continuationSeparator" w:id="0">
    <w:p w:rsidR="006B497A" w:rsidRDefault="006B497A" w:rsidP="00DE4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3192"/>
      <w:gridCol w:w="3192"/>
      <w:gridCol w:w="3192"/>
    </w:tblGrid>
    <w:tr w:rsidR="00DE4F4D" w:rsidRPr="00DE4F4D" w:rsidTr="00865906">
      <w:tc>
        <w:tcPr>
          <w:tcW w:w="3192" w:type="dxa"/>
        </w:tcPr>
        <w:p w:rsidR="00DE4F4D" w:rsidRPr="00DE4F4D" w:rsidRDefault="00DE4F4D" w:rsidP="00865906">
          <w:pPr>
            <w:pStyle w:val="Footer"/>
            <w:rPr>
              <w:rFonts w:ascii="Times New Roman" w:hAnsi="Times New Roman" w:cs="Times New Roman"/>
            </w:rPr>
          </w:pPr>
          <w:r w:rsidRPr="00DE4F4D">
            <w:rPr>
              <w:rFonts w:ascii="Times New Roman" w:hAnsi="Times New Roman" w:cs="Times New Roman"/>
            </w:rPr>
            <w:t>Submission</w:t>
          </w:r>
        </w:p>
      </w:tc>
      <w:tc>
        <w:tcPr>
          <w:tcW w:w="3192" w:type="dxa"/>
        </w:tcPr>
        <w:p w:rsidR="00DE4F4D" w:rsidRPr="00DE4F4D" w:rsidRDefault="00DE4F4D" w:rsidP="00865906">
          <w:pPr>
            <w:pStyle w:val="Footer"/>
            <w:jc w:val="center"/>
            <w:rPr>
              <w:rFonts w:ascii="Times New Roman" w:hAnsi="Times New Roman" w:cs="Times New Roman"/>
            </w:rPr>
          </w:pPr>
          <w:r w:rsidRPr="00DE4F4D">
            <w:rPr>
              <w:rFonts w:ascii="Times New Roman" w:hAnsi="Times New Roman" w:cs="Times New Roman"/>
            </w:rPr>
            <w:t xml:space="preserve">Page </w:t>
          </w:r>
          <w:r w:rsidRPr="00DE4F4D">
            <w:rPr>
              <w:rFonts w:ascii="Times New Roman" w:hAnsi="Times New Roman" w:cs="Times New Roman"/>
            </w:rPr>
            <w:pgNum/>
          </w:r>
        </w:p>
      </w:tc>
      <w:tc>
        <w:tcPr>
          <w:tcW w:w="3192" w:type="dxa"/>
        </w:tcPr>
        <w:p w:rsidR="00DE4F4D" w:rsidRPr="00DE4F4D" w:rsidRDefault="00DE4F4D" w:rsidP="00865906">
          <w:pPr>
            <w:pStyle w:val="Footer"/>
            <w:jc w:val="right"/>
            <w:rPr>
              <w:rFonts w:ascii="Times New Roman" w:hAnsi="Times New Roman" w:cs="Times New Roman"/>
            </w:rPr>
          </w:pPr>
          <w:r w:rsidRPr="00DE4F4D">
            <w:rPr>
              <w:rFonts w:ascii="Times New Roman" w:hAnsi="Times New Roman" w:cs="Times New Roman"/>
            </w:rPr>
            <w:t>Rolfe et al (BCA)</w:t>
          </w:r>
        </w:p>
      </w:tc>
    </w:tr>
  </w:tbl>
  <w:p w:rsidR="00DE4F4D" w:rsidRDefault="00DE4F4D" w:rsidP="00DE4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7A" w:rsidRDefault="006B497A" w:rsidP="00DE4F4D">
      <w:pPr>
        <w:spacing w:after="0" w:line="240" w:lineRule="auto"/>
      </w:pPr>
      <w:r>
        <w:separator/>
      </w:r>
    </w:p>
  </w:footnote>
  <w:footnote w:type="continuationSeparator" w:id="0">
    <w:p w:rsidR="006B497A" w:rsidRDefault="006B497A" w:rsidP="00DE4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DE4F4D" w:rsidRPr="00DE4F4D" w:rsidTr="00DE4F4D">
      <w:tc>
        <w:tcPr>
          <w:tcW w:w="4788" w:type="dxa"/>
        </w:tcPr>
        <w:p w:rsidR="00DE4F4D" w:rsidRPr="00DE4F4D" w:rsidRDefault="0036192F" w:rsidP="00DE4F4D">
          <w:pPr>
            <w:pStyle w:val="Header"/>
            <w:rPr>
              <w:rFonts w:ascii="Times New Roman" w:hAnsi="Times New Roman" w:cs="Times New Roman"/>
              <w:u w:val="single"/>
            </w:rPr>
          </w:pPr>
          <w:r>
            <w:rPr>
              <w:rFonts w:ascii="Times New Roman" w:hAnsi="Times New Roman" w:cs="Times New Roman"/>
            </w:rPr>
            <w:t>31</w:t>
          </w:r>
          <w:r w:rsidR="00DE4F4D" w:rsidRPr="00DE4F4D">
            <w:rPr>
              <w:rFonts w:ascii="Times New Roman" w:hAnsi="Times New Roman" w:cs="Times New Roman"/>
            </w:rPr>
            <w:t xml:space="preserve"> October 2012</w:t>
          </w:r>
        </w:p>
      </w:tc>
      <w:tc>
        <w:tcPr>
          <w:tcW w:w="4788" w:type="dxa"/>
        </w:tcPr>
        <w:p w:rsidR="00DE4F4D" w:rsidRPr="00DE4F4D" w:rsidRDefault="00DE4F4D" w:rsidP="00DE4F4D">
          <w:pPr>
            <w:jc w:val="right"/>
            <w:rPr>
              <w:rFonts w:ascii="Times New Roman" w:hAnsi="Times New Roman" w:cs="Times New Roman"/>
              <w:u w:val="single"/>
            </w:rPr>
          </w:pPr>
          <w:r w:rsidRPr="00DE4F4D">
            <w:rPr>
              <w:rFonts w:ascii="Times New Roman" w:hAnsi="Times New Roman" w:cs="Times New Roman"/>
            </w:rPr>
            <w:ptab w:relativeTo="margin" w:alignment="left" w:leader="none"/>
          </w:r>
          <w:r w:rsidRPr="00DE4F4D">
            <w:rPr>
              <w:rFonts w:ascii="Times New Roman" w:hAnsi="Times New Roman" w:cs="Times New Roman"/>
            </w:rPr>
            <w:t>IEEE P802.</w:t>
          </w:r>
          <w:bookmarkStart w:id="4" w:name="OLE_LINK1"/>
          <w:bookmarkStart w:id="5" w:name="OLE_LINK2"/>
          <w:r w:rsidR="00630F29" w:rsidRPr="00DE4F4D">
            <w:rPr>
              <w:rFonts w:ascii="Times New Roman" w:hAnsi="Times New Roman" w:cs="Times New Roman"/>
            </w:rPr>
            <w:fldChar w:fldCharType="begin"/>
          </w:r>
          <w:r w:rsidRPr="00DE4F4D">
            <w:rPr>
              <w:rFonts w:ascii="Times New Roman" w:hAnsi="Times New Roman" w:cs="Times New Roman"/>
            </w:rPr>
            <w:instrText xml:space="preserve"> DOCPROPERTY "Category"  \* MERGEFORMAT </w:instrText>
          </w:r>
          <w:r w:rsidR="00630F29" w:rsidRPr="00DE4F4D">
            <w:rPr>
              <w:rFonts w:ascii="Times New Roman" w:hAnsi="Times New Roman" w:cs="Times New Roman"/>
            </w:rPr>
            <w:fldChar w:fldCharType="separate"/>
          </w:r>
          <w:r w:rsidR="0036192F">
            <w:rPr>
              <w:rFonts w:ascii="Times New Roman" w:hAnsi="Times New Roman" w:cs="Times New Roman"/>
            </w:rPr>
            <w:t>15-12-0564-01-004k</w:t>
          </w:r>
          <w:r w:rsidR="00630F29" w:rsidRPr="00DE4F4D">
            <w:rPr>
              <w:rFonts w:ascii="Times New Roman" w:hAnsi="Times New Roman" w:cs="Times New Roman"/>
            </w:rPr>
            <w:fldChar w:fldCharType="end"/>
          </w:r>
          <w:r w:rsidRPr="00DE4F4D">
            <w:rPr>
              <w:rFonts w:ascii="Times New Roman" w:hAnsi="Times New Roman" w:cs="Times New Roman"/>
            </w:rPr>
            <w:t xml:space="preserve"> </w:t>
          </w:r>
          <w:bookmarkEnd w:id="4"/>
          <w:bookmarkEnd w:id="5"/>
        </w:p>
      </w:tc>
    </w:tr>
  </w:tbl>
  <w:p w:rsidR="00DE4F4D" w:rsidRPr="00DE4F4D" w:rsidRDefault="00DE4F4D" w:rsidP="00DE4F4D">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552A2"/>
    <w:rsid w:val="000D4B77"/>
    <w:rsid w:val="001349FE"/>
    <w:rsid w:val="001C18EE"/>
    <w:rsid w:val="002552A2"/>
    <w:rsid w:val="002E4962"/>
    <w:rsid w:val="003262E0"/>
    <w:rsid w:val="0036192F"/>
    <w:rsid w:val="00444AE6"/>
    <w:rsid w:val="004A568F"/>
    <w:rsid w:val="004C553E"/>
    <w:rsid w:val="00554867"/>
    <w:rsid w:val="00630F29"/>
    <w:rsid w:val="00672ABD"/>
    <w:rsid w:val="006B497A"/>
    <w:rsid w:val="006D155B"/>
    <w:rsid w:val="00714454"/>
    <w:rsid w:val="007B79CB"/>
    <w:rsid w:val="007D0422"/>
    <w:rsid w:val="007E7C81"/>
    <w:rsid w:val="00855182"/>
    <w:rsid w:val="00935B18"/>
    <w:rsid w:val="0097459E"/>
    <w:rsid w:val="00976D46"/>
    <w:rsid w:val="00A12398"/>
    <w:rsid w:val="00A21D3D"/>
    <w:rsid w:val="00AF07FF"/>
    <w:rsid w:val="00B35AEE"/>
    <w:rsid w:val="00B42022"/>
    <w:rsid w:val="00C71C1A"/>
    <w:rsid w:val="00CC6377"/>
    <w:rsid w:val="00CD4A44"/>
    <w:rsid w:val="00D35782"/>
    <w:rsid w:val="00D67D68"/>
    <w:rsid w:val="00DE4F4D"/>
    <w:rsid w:val="00E15637"/>
    <w:rsid w:val="00EA04E2"/>
    <w:rsid w:val="00F44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E6"/>
  </w:style>
  <w:style w:type="paragraph" w:styleId="Heading1">
    <w:name w:val="heading 1"/>
    <w:basedOn w:val="Normal"/>
    <w:next w:val="Normal"/>
    <w:link w:val="Heading1Char"/>
    <w:uiPriority w:val="9"/>
    <w:qFormat/>
    <w:rsid w:val="00255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52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2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52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52A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552A2"/>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A21D3D"/>
    <w:pPr>
      <w:spacing w:line="240" w:lineRule="auto"/>
      <w:jc w:val="center"/>
    </w:pPr>
    <w:rPr>
      <w:b/>
      <w:bCs/>
      <w:color w:val="4F81BD" w:themeColor="accent1"/>
      <w:sz w:val="18"/>
      <w:szCs w:val="18"/>
    </w:rPr>
  </w:style>
  <w:style w:type="table" w:styleId="TableGrid">
    <w:name w:val="Table Grid"/>
    <w:basedOn w:val="TableNormal"/>
    <w:uiPriority w:val="59"/>
    <w:rsid w:val="0067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E15637"/>
    <w:pPr>
      <w:outlineLvl w:val="9"/>
    </w:pPr>
  </w:style>
  <w:style w:type="paragraph" w:styleId="TOC1">
    <w:name w:val="toc 1"/>
    <w:basedOn w:val="Normal"/>
    <w:next w:val="Normal"/>
    <w:autoRedefine/>
    <w:uiPriority w:val="39"/>
    <w:unhideWhenUsed/>
    <w:rsid w:val="00E15637"/>
    <w:pPr>
      <w:spacing w:after="100"/>
    </w:pPr>
  </w:style>
  <w:style w:type="character" w:styleId="Hyperlink">
    <w:name w:val="Hyperlink"/>
    <w:basedOn w:val="DefaultParagraphFont"/>
    <w:uiPriority w:val="99"/>
    <w:unhideWhenUsed/>
    <w:rsid w:val="00E15637"/>
    <w:rPr>
      <w:color w:val="0000FF" w:themeColor="hyperlink"/>
      <w:u w:val="single"/>
    </w:rPr>
  </w:style>
  <w:style w:type="paragraph" w:styleId="BalloonText">
    <w:name w:val="Balloon Text"/>
    <w:basedOn w:val="Normal"/>
    <w:link w:val="BalloonTextChar"/>
    <w:uiPriority w:val="99"/>
    <w:semiHidden/>
    <w:unhideWhenUsed/>
    <w:rsid w:val="00E1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37"/>
    <w:rPr>
      <w:rFonts w:ascii="Tahoma" w:hAnsi="Tahoma" w:cs="Tahoma"/>
      <w:sz w:val="16"/>
      <w:szCs w:val="16"/>
    </w:rPr>
  </w:style>
  <w:style w:type="character" w:styleId="CommentReference">
    <w:name w:val="annotation reference"/>
    <w:basedOn w:val="DefaultParagraphFont"/>
    <w:uiPriority w:val="99"/>
    <w:semiHidden/>
    <w:unhideWhenUsed/>
    <w:rsid w:val="00855182"/>
    <w:rPr>
      <w:sz w:val="16"/>
      <w:szCs w:val="16"/>
    </w:rPr>
  </w:style>
  <w:style w:type="paragraph" w:styleId="CommentText">
    <w:name w:val="annotation text"/>
    <w:basedOn w:val="Normal"/>
    <w:link w:val="CommentTextChar"/>
    <w:uiPriority w:val="99"/>
    <w:semiHidden/>
    <w:unhideWhenUsed/>
    <w:rsid w:val="00855182"/>
    <w:pPr>
      <w:spacing w:line="240" w:lineRule="auto"/>
    </w:pPr>
    <w:rPr>
      <w:sz w:val="20"/>
      <w:szCs w:val="20"/>
    </w:rPr>
  </w:style>
  <w:style w:type="character" w:customStyle="1" w:styleId="CommentTextChar">
    <w:name w:val="Comment Text Char"/>
    <w:basedOn w:val="DefaultParagraphFont"/>
    <w:link w:val="CommentText"/>
    <w:uiPriority w:val="99"/>
    <w:semiHidden/>
    <w:rsid w:val="00855182"/>
    <w:rPr>
      <w:sz w:val="20"/>
      <w:szCs w:val="20"/>
    </w:rPr>
  </w:style>
  <w:style w:type="paragraph" w:styleId="CommentSubject">
    <w:name w:val="annotation subject"/>
    <w:basedOn w:val="CommentText"/>
    <w:next w:val="CommentText"/>
    <w:link w:val="CommentSubjectChar"/>
    <w:uiPriority w:val="99"/>
    <w:semiHidden/>
    <w:unhideWhenUsed/>
    <w:rsid w:val="00855182"/>
    <w:rPr>
      <w:b/>
      <w:bCs/>
    </w:rPr>
  </w:style>
  <w:style w:type="character" w:customStyle="1" w:styleId="CommentSubjectChar">
    <w:name w:val="Comment Subject Char"/>
    <w:basedOn w:val="CommentTextChar"/>
    <w:link w:val="CommentSubject"/>
    <w:uiPriority w:val="99"/>
    <w:semiHidden/>
    <w:rsid w:val="00855182"/>
    <w:rPr>
      <w:b/>
      <w:bCs/>
    </w:rPr>
  </w:style>
  <w:style w:type="paragraph" w:styleId="Revision">
    <w:name w:val="Revision"/>
    <w:hidden/>
    <w:uiPriority w:val="99"/>
    <w:semiHidden/>
    <w:rsid w:val="00855182"/>
    <w:pPr>
      <w:spacing w:after="0" w:line="240" w:lineRule="auto"/>
    </w:pPr>
  </w:style>
  <w:style w:type="paragraph" w:styleId="Header">
    <w:name w:val="header"/>
    <w:basedOn w:val="Normal"/>
    <w:link w:val="HeaderChar"/>
    <w:uiPriority w:val="99"/>
    <w:unhideWhenUsed/>
    <w:rsid w:val="00DE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4D"/>
  </w:style>
  <w:style w:type="paragraph" w:styleId="Footer">
    <w:name w:val="footer"/>
    <w:basedOn w:val="Normal"/>
    <w:link w:val="FooterChar"/>
    <w:uiPriority w:val="99"/>
    <w:unhideWhenUsed/>
    <w:rsid w:val="00DE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4D"/>
  </w:style>
</w:styles>
</file>

<file path=word/webSettings.xml><?xml version="1.0" encoding="utf-8"?>
<w:webSettings xmlns:r="http://schemas.openxmlformats.org/officeDocument/2006/relationships" xmlns:w="http://schemas.openxmlformats.org/wordprocessingml/2006/main">
  <w:divs>
    <w:div w:id="468523427">
      <w:bodyDiv w:val="1"/>
      <w:marLeft w:val="0"/>
      <w:marRight w:val="0"/>
      <w:marTop w:val="0"/>
      <w:marBottom w:val="0"/>
      <w:divBdr>
        <w:top w:val="none" w:sz="0" w:space="0" w:color="auto"/>
        <w:left w:val="none" w:sz="0" w:space="0" w:color="auto"/>
        <w:bottom w:val="none" w:sz="0" w:space="0" w:color="auto"/>
        <w:right w:val="none" w:sz="0" w:space="0" w:color="auto"/>
      </w:divBdr>
    </w:div>
    <w:div w:id="1425688283">
      <w:bodyDiv w:val="1"/>
      <w:marLeft w:val="0"/>
      <w:marRight w:val="0"/>
      <w:marTop w:val="0"/>
      <w:marBottom w:val="0"/>
      <w:divBdr>
        <w:top w:val="none" w:sz="0" w:space="0" w:color="auto"/>
        <w:left w:val="none" w:sz="0" w:space="0" w:color="auto"/>
        <w:bottom w:val="none" w:sz="0" w:space="0" w:color="auto"/>
        <w:right w:val="none" w:sz="0" w:space="0" w:color="auto"/>
      </w:divBdr>
    </w:div>
    <w:div w:id="1762799670">
      <w:bodyDiv w:val="1"/>
      <w:marLeft w:val="0"/>
      <w:marRight w:val="0"/>
      <w:marTop w:val="0"/>
      <w:marBottom w:val="0"/>
      <w:divBdr>
        <w:top w:val="none" w:sz="0" w:space="0" w:color="auto"/>
        <w:left w:val="none" w:sz="0" w:space="0" w:color="auto"/>
        <w:bottom w:val="none" w:sz="0" w:space="0" w:color="auto"/>
        <w:right w:val="none" w:sz="0" w:space="0" w:color="auto"/>
      </w:divBdr>
    </w:div>
    <w:div w:id="19907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1D7D2-2BAB-4878-AE26-13CE6711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5</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Proposed Resolution for LB85 ID # 288</vt:lpstr>
    </vt:vector>
  </TitlesOfParts>
  <Company>BCA</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for LB85 ID # 288</dc:title>
  <dc:creator>B. A. Rolfe, et al</dc:creator>
  <cp:lastModifiedBy>Ben</cp:lastModifiedBy>
  <cp:revision>3</cp:revision>
  <dcterms:created xsi:type="dcterms:W3CDTF">2012-10-31T23:00:00Z</dcterms:created>
  <dcterms:modified xsi:type="dcterms:W3CDTF">2012-11-01T21:50:00Z</dcterms:modified>
  <cp:category>15-12-0564-01-004k</cp:category>
</cp:coreProperties>
</file>