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A52D66" w:rsidP="007D66C0">
            <w:pPr>
              <w:pStyle w:val="covertext"/>
            </w:pPr>
            <w:fldSimple w:instr=" TITLE  \* MERGEFORMAT ">
              <w:r w:rsidR="00887C34">
                <w:rPr>
                  <w:b/>
                  <w:sz w:val="28"/>
                </w:rPr>
                <w:t xml:space="preserve">THz IG </w:t>
              </w:r>
              <w:r w:rsidR="007D66C0">
                <w:rPr>
                  <w:b/>
                  <w:sz w:val="28"/>
                </w:rPr>
                <w:t>July</w:t>
              </w:r>
              <w:r w:rsidR="00314D77">
                <w:rPr>
                  <w:b/>
                  <w:sz w:val="28"/>
                </w:rPr>
                <w:t xml:space="preserve"> 201</w:t>
              </w:r>
              <w:r w:rsidR="006C0A89">
                <w:rPr>
                  <w:b/>
                  <w:sz w:val="28"/>
                </w:rPr>
                <w:t>2</w:t>
              </w:r>
              <w:r w:rsidR="00887C34">
                <w:rPr>
                  <w:b/>
                  <w:sz w:val="28"/>
                </w:rPr>
                <w:t xml:space="preserve"> Minutes</w:t>
              </w:r>
            </w:fldSimple>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457433" w:rsidP="00457433">
            <w:pPr>
              <w:pStyle w:val="covertext"/>
            </w:pPr>
            <w:r>
              <w:t>7</w:t>
            </w:r>
            <w:r w:rsidR="00AB2D65">
              <w:t xml:space="preserve"> </w:t>
            </w:r>
            <w:r>
              <w:t>November</w:t>
            </w:r>
            <w:r w:rsidR="00287273">
              <w:t>, 20</w:t>
            </w:r>
            <w:r w:rsidR="007133FD">
              <w:t>1</w:t>
            </w:r>
            <w:r w:rsidR="006C0A89">
              <w:t>2</w:t>
            </w:r>
          </w:p>
        </w:tc>
      </w:tr>
      <w:tr w:rsidR="00964A61">
        <w:tc>
          <w:tcPr>
            <w:tcW w:w="1260" w:type="dxa"/>
            <w:tcBorders>
              <w:top w:val="single" w:sz="4" w:space="0" w:color="auto"/>
              <w:bottom w:val="single" w:sz="4" w:space="0" w:color="auto"/>
            </w:tcBorders>
          </w:tcPr>
          <w:p w:rsidR="00964A61" w:rsidRDefault="00964A61">
            <w:pPr>
              <w:pStyle w:val="covertext"/>
            </w:pPr>
            <w:r>
              <w:t>Source</w:t>
            </w:r>
          </w:p>
        </w:tc>
        <w:tc>
          <w:tcPr>
            <w:tcW w:w="4050" w:type="dxa"/>
            <w:tcBorders>
              <w:top w:val="single" w:sz="4" w:space="0" w:color="auto"/>
              <w:bottom w:val="single" w:sz="4" w:space="0" w:color="auto"/>
            </w:tcBorders>
          </w:tcPr>
          <w:p w:rsidR="007133FD" w:rsidRDefault="00A4420F">
            <w:pPr>
              <w:pStyle w:val="covertext"/>
              <w:spacing w:before="0" w:after="0"/>
              <w:rPr>
                <w:lang w:val="de-DE"/>
              </w:rPr>
            </w:pPr>
            <w:r w:rsidRPr="00A4420F">
              <w:rPr>
                <w:lang w:val="de-DE"/>
              </w:rPr>
              <w:t>Thomas Kürner</w:t>
            </w:r>
            <w:r w:rsidR="00E41A1F" w:rsidRPr="00A4420F">
              <w:rPr>
                <w:lang w:val="de-DE"/>
              </w:rPr>
              <w:br/>
            </w:r>
            <w:r w:rsidRPr="00A4420F">
              <w:rPr>
                <w:lang w:val="de-DE"/>
              </w:rPr>
              <w:t>Technische Universität Braunschweig</w:t>
            </w:r>
            <w:r w:rsidR="007133FD" w:rsidRPr="00A4420F">
              <w:rPr>
                <w:lang w:val="de-DE"/>
              </w:rPr>
              <w:t xml:space="preserve"> </w:t>
            </w:r>
            <w:r>
              <w:rPr>
                <w:lang w:val="de-DE"/>
              </w:rPr>
              <w:t>Institut für Nachrichtentechnik</w:t>
            </w:r>
          </w:p>
          <w:p w:rsidR="00A4420F" w:rsidRPr="00A4420F" w:rsidRDefault="00A4420F">
            <w:pPr>
              <w:pStyle w:val="covertext"/>
              <w:spacing w:before="0" w:after="0"/>
              <w:rPr>
                <w:lang w:val="de-DE"/>
              </w:rPr>
            </w:pPr>
            <w:proofErr w:type="spellStart"/>
            <w:r>
              <w:rPr>
                <w:lang w:val="de-DE"/>
              </w:rPr>
              <w:t>Schleinitzstr</w:t>
            </w:r>
            <w:proofErr w:type="spellEnd"/>
            <w:r>
              <w:rPr>
                <w:lang w:val="de-DE"/>
              </w:rPr>
              <w:t>. 22</w:t>
            </w:r>
          </w:p>
          <w:p w:rsidR="00964A61" w:rsidRDefault="00A4420F">
            <w:pPr>
              <w:pStyle w:val="covertext"/>
              <w:spacing w:before="0" w:after="0"/>
            </w:pPr>
            <w:r>
              <w:t>D-38092 Braunschweig</w:t>
            </w:r>
          </w:p>
        </w:tc>
        <w:tc>
          <w:tcPr>
            <w:tcW w:w="4140" w:type="dxa"/>
            <w:tcBorders>
              <w:top w:val="single" w:sz="4" w:space="0" w:color="auto"/>
              <w:bottom w:val="single" w:sz="4" w:space="0" w:color="auto"/>
            </w:tcBorders>
          </w:tcPr>
          <w:p w:rsidR="00964A61" w:rsidRDefault="007133FD" w:rsidP="00A4420F">
            <w:pPr>
              <w:pStyle w:val="covertext"/>
              <w:tabs>
                <w:tab w:val="left" w:pos="1152"/>
              </w:tabs>
              <w:spacing w:before="0" w:after="0"/>
              <w:rPr>
                <w:sz w:val="18"/>
              </w:rPr>
            </w:pPr>
            <w:r>
              <w:t>Voice:</w:t>
            </w:r>
            <w:r>
              <w:tab/>
            </w:r>
            <w:r w:rsidR="00A4420F">
              <w:t>+495313912416</w:t>
            </w:r>
            <w:r w:rsidR="00964A61">
              <w:br/>
              <w:t>Fax:</w:t>
            </w:r>
            <w:r w:rsidR="00964A61">
              <w:tab/>
            </w:r>
            <w:r w:rsidR="00A4420F">
              <w:t>+495313915192</w:t>
            </w:r>
            <w:r w:rsidR="00964A61">
              <w:br/>
              <w:t>E-mail:</w:t>
            </w:r>
            <w:r w:rsidR="00964A61">
              <w:tab/>
            </w:r>
            <w:r w:rsidR="00A4420F">
              <w:rPr>
                <w:sz w:val="20"/>
                <w:szCs w:val="20"/>
              </w:rPr>
              <w:t>t.kuerner@tu-bs.de</w:t>
            </w:r>
          </w:p>
        </w:tc>
      </w:tr>
      <w:tr w:rsidR="00964A61">
        <w:tc>
          <w:tcPr>
            <w:tcW w:w="1260" w:type="dxa"/>
            <w:tcBorders>
              <w:top w:val="single" w:sz="6" w:space="0" w:color="auto"/>
            </w:tcBorders>
          </w:tcPr>
          <w:p w:rsidR="00964A61" w:rsidRDefault="00964A61">
            <w:pPr>
              <w:pStyle w:val="covertext"/>
            </w:pPr>
            <w:r>
              <w:t>Re:</w:t>
            </w:r>
          </w:p>
        </w:tc>
        <w:tc>
          <w:tcPr>
            <w:tcW w:w="8190" w:type="dxa"/>
            <w:gridSpan w:val="2"/>
            <w:tcBorders>
              <w:top w:val="single" w:sz="6" w:space="0" w:color="auto"/>
            </w:tcBorders>
          </w:tcPr>
          <w:p w:rsidR="00964A61" w:rsidRDefault="00964A61">
            <w:pPr>
              <w:pStyle w:val="covertext"/>
            </w:pPr>
          </w:p>
        </w:tc>
      </w:tr>
      <w:tr w:rsidR="00964A61">
        <w:tc>
          <w:tcPr>
            <w:tcW w:w="1260" w:type="dxa"/>
            <w:tcBorders>
              <w:top w:val="single" w:sz="6" w:space="0" w:color="auto"/>
            </w:tcBorders>
          </w:tcPr>
          <w:p w:rsidR="00964A61" w:rsidRDefault="00964A61">
            <w:pPr>
              <w:pStyle w:val="covertext"/>
            </w:pPr>
            <w:r>
              <w:t>Abstract</w:t>
            </w:r>
          </w:p>
        </w:tc>
        <w:tc>
          <w:tcPr>
            <w:tcW w:w="8190" w:type="dxa"/>
            <w:gridSpan w:val="2"/>
            <w:tcBorders>
              <w:top w:val="single" w:sz="6" w:space="0" w:color="auto"/>
            </w:tcBorders>
          </w:tcPr>
          <w:p w:rsidR="00964A61" w:rsidRDefault="007133FD" w:rsidP="007D66C0">
            <w:pPr>
              <w:pStyle w:val="covertext"/>
            </w:pPr>
            <w:r>
              <w:t xml:space="preserve">Meeting notes on the 802.15 IG THz  </w:t>
            </w:r>
            <w:r w:rsidR="007D66C0">
              <w:t>July</w:t>
            </w:r>
            <w:r>
              <w:t xml:space="preserve"> 201</w:t>
            </w:r>
            <w:r w:rsidR="006C0A89">
              <w:t>2</w:t>
            </w:r>
            <w:r>
              <w:t xml:space="preserve"> Plenary meeting</w:t>
            </w:r>
          </w:p>
        </w:tc>
      </w:tr>
      <w:tr w:rsidR="00964A61">
        <w:tc>
          <w:tcPr>
            <w:tcW w:w="1260" w:type="dxa"/>
            <w:tcBorders>
              <w:top w:val="single" w:sz="6" w:space="0" w:color="auto"/>
            </w:tcBorders>
          </w:tcPr>
          <w:p w:rsidR="00964A61" w:rsidRDefault="00964A61">
            <w:pPr>
              <w:pStyle w:val="covertext"/>
            </w:pPr>
            <w:r>
              <w:t>Purpose</w:t>
            </w:r>
          </w:p>
        </w:tc>
        <w:tc>
          <w:tcPr>
            <w:tcW w:w="8190" w:type="dxa"/>
            <w:gridSpan w:val="2"/>
            <w:tcBorders>
              <w:top w:val="single" w:sz="6" w:space="0" w:color="auto"/>
            </w:tcBorders>
          </w:tcPr>
          <w:p w:rsidR="00964A61" w:rsidRDefault="00A4420F">
            <w:pPr>
              <w:pStyle w:val="covertext"/>
            </w:pPr>
            <w:r>
              <w:t>Meeting Minutes</w:t>
            </w:r>
          </w:p>
        </w:tc>
      </w:tr>
      <w:tr w:rsidR="00964A61">
        <w:tc>
          <w:tcPr>
            <w:tcW w:w="1260" w:type="dxa"/>
            <w:tcBorders>
              <w:top w:val="single" w:sz="6" w:space="0" w:color="auto"/>
              <w:bottom w:val="single" w:sz="6" w:space="0" w:color="auto"/>
            </w:tcBorders>
          </w:tcPr>
          <w:p w:rsidR="00964A61" w:rsidRDefault="00964A61">
            <w:pPr>
              <w:pStyle w:val="covertext"/>
            </w:pPr>
            <w:r>
              <w:t>Notice</w:t>
            </w:r>
          </w:p>
        </w:tc>
        <w:tc>
          <w:tcPr>
            <w:tcW w:w="8190" w:type="dxa"/>
            <w:gridSpan w:val="2"/>
            <w:tcBorders>
              <w:top w:val="single" w:sz="6" w:space="0" w:color="auto"/>
              <w:bottom w:val="single" w:sz="6" w:space="0" w:color="auto"/>
            </w:tcBorders>
          </w:tcPr>
          <w:p w:rsidR="00964A61" w:rsidRDefault="00964A6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64A61">
        <w:tc>
          <w:tcPr>
            <w:tcW w:w="1260" w:type="dxa"/>
            <w:tcBorders>
              <w:top w:val="single" w:sz="6" w:space="0" w:color="auto"/>
              <w:bottom w:val="single" w:sz="6" w:space="0" w:color="auto"/>
            </w:tcBorders>
          </w:tcPr>
          <w:p w:rsidR="00964A61" w:rsidRDefault="00964A61">
            <w:pPr>
              <w:pStyle w:val="covertext"/>
            </w:pPr>
            <w:r>
              <w:t>Release</w:t>
            </w:r>
          </w:p>
        </w:tc>
        <w:tc>
          <w:tcPr>
            <w:tcW w:w="8190" w:type="dxa"/>
            <w:gridSpan w:val="2"/>
            <w:tcBorders>
              <w:top w:val="single" w:sz="6" w:space="0" w:color="auto"/>
              <w:bottom w:val="single" w:sz="6" w:space="0" w:color="auto"/>
            </w:tcBorders>
          </w:tcPr>
          <w:p w:rsidR="00964A61" w:rsidRDefault="00964A61">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rPr>
      </w:pPr>
      <w:r>
        <w:rPr>
          <w:b/>
          <w:sz w:val="28"/>
        </w:rPr>
        <w:br w:type="page"/>
      </w:r>
      <w:r w:rsidR="00D80C2B">
        <w:rPr>
          <w:b/>
          <w:sz w:val="28"/>
        </w:rPr>
        <w:lastRenderedPageBreak/>
        <w:t xml:space="preserve">Minutes of the </w:t>
      </w:r>
      <w:r w:rsidR="007D66C0">
        <w:rPr>
          <w:b/>
          <w:sz w:val="28"/>
        </w:rPr>
        <w:t>July</w:t>
      </w:r>
      <w:r w:rsidR="007133FD">
        <w:rPr>
          <w:b/>
          <w:sz w:val="28"/>
        </w:rPr>
        <w:t xml:space="preserve"> 201</w:t>
      </w:r>
      <w:r w:rsidR="006C0A89">
        <w:rPr>
          <w:b/>
          <w:sz w:val="28"/>
        </w:rPr>
        <w:t>2</w:t>
      </w:r>
      <w:r w:rsidR="00D80C2B">
        <w:rPr>
          <w:b/>
          <w:sz w:val="28"/>
        </w:rPr>
        <w:t xml:space="preserve"> THz IG</w:t>
      </w:r>
    </w:p>
    <w:p w:rsidR="0043071E" w:rsidRDefault="0043071E" w:rsidP="008532FC">
      <w:pPr>
        <w:widowControl w:val="0"/>
        <w:spacing w:before="120"/>
        <w:rPr>
          <w:rFonts w:eastAsia="Batang"/>
        </w:rPr>
      </w:pPr>
      <w:r>
        <w:rPr>
          <w:rFonts w:eastAsia="Batang"/>
        </w:rPr>
        <w:t xml:space="preserve">The THz IG meeting took place on </w:t>
      </w:r>
      <w:r w:rsidR="006C0A89">
        <w:rPr>
          <w:rFonts w:eastAsia="Batang"/>
        </w:rPr>
        <w:t>1</w:t>
      </w:r>
      <w:r w:rsidR="007D66C0">
        <w:rPr>
          <w:rFonts w:eastAsia="Batang"/>
        </w:rPr>
        <w:t>7</w:t>
      </w:r>
      <w:r w:rsidR="00AE6AD3">
        <w:rPr>
          <w:rFonts w:eastAsia="Batang"/>
        </w:rPr>
        <w:t xml:space="preserve"> and </w:t>
      </w:r>
      <w:r w:rsidR="006C0A89">
        <w:rPr>
          <w:rFonts w:eastAsia="Batang"/>
        </w:rPr>
        <w:t>1</w:t>
      </w:r>
      <w:r w:rsidR="007D66C0">
        <w:rPr>
          <w:rFonts w:eastAsia="Batang"/>
        </w:rPr>
        <w:t>9</w:t>
      </w:r>
      <w:r>
        <w:rPr>
          <w:rFonts w:eastAsia="Batang"/>
        </w:rPr>
        <w:t xml:space="preserve"> </w:t>
      </w:r>
      <w:r w:rsidR="007D66C0">
        <w:rPr>
          <w:rFonts w:eastAsia="Batang"/>
        </w:rPr>
        <w:t>J</w:t>
      </w:r>
      <w:r w:rsidR="001E3B19">
        <w:rPr>
          <w:rFonts w:eastAsia="Batang"/>
        </w:rPr>
        <w:t>u</w:t>
      </w:r>
      <w:r w:rsidR="007D66C0">
        <w:rPr>
          <w:rFonts w:eastAsia="Batang"/>
        </w:rPr>
        <w:t>ly</w:t>
      </w:r>
      <w:r w:rsidR="006C0A89">
        <w:rPr>
          <w:rFonts w:eastAsia="Batang"/>
        </w:rPr>
        <w:t xml:space="preserve"> </w:t>
      </w:r>
      <w:r>
        <w:rPr>
          <w:rFonts w:eastAsia="Batang"/>
        </w:rPr>
        <w:t>201</w:t>
      </w:r>
      <w:r w:rsidR="006C0A89">
        <w:rPr>
          <w:rFonts w:eastAsia="Batang"/>
        </w:rPr>
        <w:t>2</w:t>
      </w:r>
      <w:r>
        <w:rPr>
          <w:rFonts w:eastAsia="Batang"/>
        </w:rPr>
        <w:t xml:space="preserve"> in the Time slots </w:t>
      </w:r>
      <w:r w:rsidR="00AE6AD3">
        <w:rPr>
          <w:rFonts w:eastAsia="Batang"/>
        </w:rPr>
        <w:t>Tuesday</w:t>
      </w:r>
      <w:r>
        <w:rPr>
          <w:rFonts w:eastAsia="Batang"/>
        </w:rPr>
        <w:t xml:space="preserve"> </w:t>
      </w:r>
      <w:r w:rsidR="007D66C0">
        <w:rPr>
          <w:rFonts w:eastAsia="Batang"/>
        </w:rPr>
        <w:t>AM</w:t>
      </w:r>
      <w:r>
        <w:rPr>
          <w:rFonts w:eastAsia="Batang"/>
        </w:rPr>
        <w:t>1</w:t>
      </w:r>
      <w:r w:rsidR="001E3B19">
        <w:rPr>
          <w:rFonts w:eastAsia="Batang"/>
        </w:rPr>
        <w:t>+AM2</w:t>
      </w:r>
      <w:r w:rsidR="00AE6AD3">
        <w:rPr>
          <w:rFonts w:eastAsia="Batang"/>
        </w:rPr>
        <w:t xml:space="preserve"> </w:t>
      </w:r>
      <w:r w:rsidR="001E3B19">
        <w:rPr>
          <w:rFonts w:eastAsia="Batang"/>
        </w:rPr>
        <w:t xml:space="preserve">and </w:t>
      </w:r>
      <w:r>
        <w:rPr>
          <w:rFonts w:eastAsia="Batang"/>
        </w:rPr>
        <w:t xml:space="preserve">Thursday </w:t>
      </w:r>
      <w:r w:rsidR="00AE6AD3">
        <w:rPr>
          <w:rFonts w:eastAsia="Batang"/>
        </w:rPr>
        <w:t>P</w:t>
      </w:r>
      <w:r>
        <w:rPr>
          <w:rFonts w:eastAsia="Batang"/>
        </w:rPr>
        <w:t>M</w:t>
      </w:r>
      <w:r w:rsidR="006C0A89">
        <w:rPr>
          <w:rFonts w:eastAsia="Batang"/>
        </w:rPr>
        <w:t>1</w:t>
      </w:r>
      <w:r w:rsidR="001E3B19">
        <w:rPr>
          <w:rFonts w:eastAsia="Batang"/>
        </w:rPr>
        <w:t>+</w:t>
      </w:r>
      <w:r w:rsidR="007D66C0">
        <w:rPr>
          <w:rFonts w:eastAsia="Batang"/>
        </w:rPr>
        <w:t>PM2</w:t>
      </w:r>
      <w:r w:rsidR="006C0A89">
        <w:rPr>
          <w:rFonts w:eastAsia="Batang"/>
        </w:rPr>
        <w:t>.</w:t>
      </w:r>
    </w:p>
    <w:p w:rsidR="008532FC" w:rsidRDefault="00D80C2B" w:rsidP="008532FC">
      <w:pPr>
        <w:widowControl w:val="0"/>
        <w:spacing w:before="120"/>
        <w:rPr>
          <w:rFonts w:eastAsia="Batang"/>
        </w:rPr>
      </w:pPr>
      <w:r w:rsidRPr="009646E5">
        <w:rPr>
          <w:rFonts w:eastAsia="Batang"/>
        </w:rPr>
        <w:t>Meeting was called to order</w:t>
      </w:r>
      <w:r w:rsidR="0057210C">
        <w:rPr>
          <w:rFonts w:eastAsia="Batang"/>
        </w:rPr>
        <w:t xml:space="preserve"> at </w:t>
      </w:r>
      <w:r w:rsidR="007D66C0">
        <w:rPr>
          <w:rFonts w:eastAsia="Batang"/>
        </w:rPr>
        <w:t>8</w:t>
      </w:r>
      <w:r w:rsidR="00144F51">
        <w:rPr>
          <w:rFonts w:eastAsia="Batang"/>
        </w:rPr>
        <w:t xml:space="preserve"> </w:t>
      </w:r>
      <w:r w:rsidR="00C56ED5">
        <w:rPr>
          <w:rFonts w:eastAsia="Batang"/>
        </w:rPr>
        <w:t>pm</w:t>
      </w:r>
      <w:r w:rsidR="0057210C">
        <w:rPr>
          <w:rFonts w:eastAsia="Batang"/>
        </w:rPr>
        <w:t xml:space="preserve"> </w:t>
      </w:r>
      <w:r w:rsidR="00C56ED5">
        <w:rPr>
          <w:rFonts w:eastAsia="Batang"/>
        </w:rPr>
        <w:t xml:space="preserve">on </w:t>
      </w:r>
      <w:r w:rsidR="007D66C0">
        <w:rPr>
          <w:rFonts w:eastAsia="Batang"/>
        </w:rPr>
        <w:t>17</w:t>
      </w:r>
      <w:r w:rsidR="00AE6AD3">
        <w:rPr>
          <w:rFonts w:eastAsia="Batang"/>
        </w:rPr>
        <w:t xml:space="preserve"> </w:t>
      </w:r>
      <w:r w:rsidR="007D66C0">
        <w:rPr>
          <w:rFonts w:eastAsia="Batang"/>
        </w:rPr>
        <w:t>July</w:t>
      </w:r>
      <w:r w:rsidR="006C0A89">
        <w:rPr>
          <w:rFonts w:eastAsia="Batang"/>
        </w:rPr>
        <w:t xml:space="preserve"> 2012</w:t>
      </w:r>
      <w:r w:rsidRPr="009646E5">
        <w:rPr>
          <w:rFonts w:eastAsia="Batang"/>
        </w:rPr>
        <w:t xml:space="preserve">.  </w:t>
      </w:r>
      <w:r w:rsidR="008532FC">
        <w:rPr>
          <w:rFonts w:eastAsia="Batang"/>
        </w:rPr>
        <w:t xml:space="preserve">The patents statement was </w:t>
      </w:r>
      <w:r w:rsidR="00AE6AD3">
        <w:rPr>
          <w:rFonts w:eastAsia="Batang"/>
        </w:rPr>
        <w:t>mentioned</w:t>
      </w:r>
      <w:r w:rsidR="008532FC">
        <w:rPr>
          <w:rFonts w:eastAsia="Batang"/>
        </w:rPr>
        <w:t xml:space="preserve"> and no patent contributions were discussed. </w:t>
      </w:r>
      <w:r w:rsidR="0057210C">
        <w:rPr>
          <w:rFonts w:eastAsia="Batang"/>
        </w:rPr>
        <w:t xml:space="preserve">The </w:t>
      </w:r>
      <w:r w:rsidR="007D66C0">
        <w:rPr>
          <w:rFonts w:eastAsia="Batang"/>
        </w:rPr>
        <w:t>March</w:t>
      </w:r>
      <w:r w:rsidR="00616C4C">
        <w:rPr>
          <w:rFonts w:eastAsia="Batang"/>
        </w:rPr>
        <w:t xml:space="preserve"> 201</w:t>
      </w:r>
      <w:r w:rsidR="006C0A89">
        <w:rPr>
          <w:rFonts w:eastAsia="Batang"/>
        </w:rPr>
        <w:t xml:space="preserve">2 </w:t>
      </w:r>
      <w:r w:rsidR="00A62CF5">
        <w:rPr>
          <w:rFonts w:eastAsia="Batang"/>
        </w:rPr>
        <w:t>meeting notes were approved</w:t>
      </w:r>
      <w:r w:rsidR="001E3B19">
        <w:rPr>
          <w:rFonts w:eastAsia="Batang"/>
        </w:rPr>
        <w:t xml:space="preserve"> with one small editorial change</w:t>
      </w:r>
      <w:r w:rsidR="00A4420F">
        <w:rPr>
          <w:rFonts w:eastAsia="Batang"/>
        </w:rPr>
        <w:t>.</w:t>
      </w:r>
      <w:r w:rsidR="008532FC">
        <w:rPr>
          <w:rFonts w:eastAsia="Batang"/>
        </w:rPr>
        <w:t xml:space="preserve"> </w:t>
      </w:r>
      <w:r w:rsidR="001E3B19">
        <w:rPr>
          <w:rFonts w:eastAsia="Batang"/>
        </w:rPr>
        <w:t>A revised version has been uploaded.</w:t>
      </w:r>
    </w:p>
    <w:p w:rsidR="002012B0" w:rsidRDefault="008532FC" w:rsidP="008532FC">
      <w:pPr>
        <w:widowControl w:val="0"/>
        <w:spacing w:before="120"/>
        <w:rPr>
          <w:rFonts w:eastAsia="Batang"/>
        </w:rPr>
      </w:pPr>
      <w:r>
        <w:rPr>
          <w:rFonts w:eastAsia="Batang"/>
        </w:rPr>
        <w:t xml:space="preserve">Call for contributions/Changes of the agenda or for any other business, no discussions followed. </w:t>
      </w:r>
      <w:r w:rsidR="00316372">
        <w:rPr>
          <w:rFonts w:eastAsia="Batang"/>
        </w:rPr>
        <w:t xml:space="preserve"> </w:t>
      </w:r>
      <w:r w:rsidR="002903DF">
        <w:rPr>
          <w:rFonts w:eastAsia="Batang"/>
        </w:rPr>
        <w:t xml:space="preserve"> </w:t>
      </w:r>
    </w:p>
    <w:p w:rsidR="00715FE1" w:rsidRPr="009646E5" w:rsidRDefault="001E3B19">
      <w:pPr>
        <w:widowControl w:val="0"/>
        <w:spacing w:before="120"/>
        <w:rPr>
          <w:rFonts w:eastAsia="Batang"/>
        </w:rPr>
      </w:pPr>
      <w:r>
        <w:rPr>
          <w:rFonts w:eastAsia="Batang"/>
        </w:rPr>
        <w:t>7</w:t>
      </w:r>
      <w:r w:rsidR="008532FC">
        <w:rPr>
          <w:rFonts w:eastAsia="Batang"/>
        </w:rPr>
        <w:t xml:space="preserve"> contributions were presented:</w:t>
      </w:r>
    </w:p>
    <w:p w:rsidR="009646E5" w:rsidRPr="009646E5" w:rsidRDefault="00220C26">
      <w:pPr>
        <w:widowControl w:val="0"/>
        <w:spacing w:before="120"/>
        <w:rPr>
          <w:rFonts w:eastAsia="Batang"/>
          <w:b/>
          <w:bCs/>
          <w:u w:val="single"/>
        </w:rPr>
      </w:pPr>
      <w:r>
        <w:rPr>
          <w:rFonts w:eastAsia="Batang"/>
          <w:b/>
          <w:bCs/>
          <w:u w:val="single"/>
        </w:rPr>
        <w:t>Contribution #</w:t>
      </w:r>
      <w:proofErr w:type="gramStart"/>
      <w:r>
        <w:rPr>
          <w:rFonts w:eastAsia="Batang"/>
          <w:b/>
          <w:bCs/>
          <w:u w:val="single"/>
        </w:rPr>
        <w:t>1</w:t>
      </w:r>
      <w:r w:rsidR="0016195C">
        <w:rPr>
          <w:rFonts w:eastAsia="Batang"/>
          <w:b/>
          <w:bCs/>
          <w:u w:val="single"/>
        </w:rPr>
        <w:t xml:space="preserve"> </w:t>
      </w:r>
      <w:r w:rsidR="00FF5588" w:rsidRPr="00FF5588">
        <w:rPr>
          <w:rFonts w:eastAsia="Batang"/>
          <w:b/>
          <w:bCs/>
        </w:rPr>
        <w:t>:</w:t>
      </w:r>
      <w:proofErr w:type="gramEnd"/>
      <w:r w:rsidR="00FF5588" w:rsidRPr="00FF5588">
        <w:rPr>
          <w:rFonts w:eastAsia="Batang"/>
          <w:b/>
          <w:bCs/>
        </w:rPr>
        <w:t xml:space="preserve"> </w:t>
      </w:r>
      <w:r w:rsidR="001E3B19">
        <w:rPr>
          <w:rFonts w:eastAsia="Batang"/>
          <w:bCs/>
        </w:rPr>
        <w:t>Jeffrey Hesler</w:t>
      </w:r>
      <w:r w:rsidR="006C0A89">
        <w:rPr>
          <w:rFonts w:eastAsia="Batang"/>
          <w:bCs/>
        </w:rPr>
        <w:t xml:space="preserve">, </w:t>
      </w:r>
      <w:r w:rsidR="001E3B19">
        <w:rPr>
          <w:rFonts w:eastAsia="Batang"/>
          <w:bCs/>
        </w:rPr>
        <w:t>VDI</w:t>
      </w:r>
      <w:r w:rsidR="006C0A89">
        <w:rPr>
          <w:rFonts w:eastAsia="Batang"/>
          <w:bCs/>
        </w:rPr>
        <w:t xml:space="preserve"> (</w:t>
      </w:r>
      <w:r w:rsidR="001E3B19">
        <w:rPr>
          <w:rFonts w:eastAsia="Batang"/>
          <w:bCs/>
        </w:rPr>
        <w:t>USA</w:t>
      </w:r>
      <w:r w:rsidR="006C0A89">
        <w:rPr>
          <w:rFonts w:eastAsia="Batang"/>
          <w:bCs/>
        </w:rPr>
        <w:t>), “</w:t>
      </w:r>
      <w:r w:rsidR="001E3B19" w:rsidRPr="001E3B19">
        <w:rPr>
          <w:rFonts w:eastAsia="Batang"/>
          <w:bCs/>
        </w:rPr>
        <w:t>IEEE P1785 Workgroup - Progress on the Standardization of THz Waveguides and Interfaces</w:t>
      </w:r>
      <w:r w:rsidR="006C0A89">
        <w:rPr>
          <w:rFonts w:eastAsia="Batang"/>
          <w:bCs/>
        </w:rPr>
        <w:t>”; (</w:t>
      </w:r>
      <w:r w:rsidR="006C0A89">
        <w:rPr>
          <w:rFonts w:eastAsia="Batang"/>
        </w:rPr>
        <w:t xml:space="preserve">Document </w:t>
      </w:r>
      <w:r w:rsidR="006C0A89" w:rsidRPr="00091FBC">
        <w:rPr>
          <w:rFonts w:eastAsia="Batang"/>
          <w:b/>
        </w:rPr>
        <w:t>15-1</w:t>
      </w:r>
      <w:r w:rsidR="00DA007D">
        <w:rPr>
          <w:rFonts w:eastAsia="Batang"/>
          <w:b/>
        </w:rPr>
        <w:t>2</w:t>
      </w:r>
      <w:r w:rsidR="006C0A89" w:rsidRPr="00091FBC">
        <w:rPr>
          <w:rFonts w:eastAsia="Batang"/>
          <w:b/>
        </w:rPr>
        <w:t>-0</w:t>
      </w:r>
      <w:r w:rsidR="001E3B19">
        <w:rPr>
          <w:rFonts w:eastAsia="Batang"/>
          <w:b/>
        </w:rPr>
        <w:t>351</w:t>
      </w:r>
      <w:r w:rsidR="006C0A89" w:rsidRPr="00091FBC">
        <w:rPr>
          <w:rFonts w:eastAsia="Batang"/>
          <w:b/>
        </w:rPr>
        <w:t>-0</w:t>
      </w:r>
      <w:r w:rsidR="001E3B19">
        <w:rPr>
          <w:rFonts w:eastAsia="Batang"/>
          <w:b/>
        </w:rPr>
        <w:t>1</w:t>
      </w:r>
      <w:r w:rsidR="006C0A89" w:rsidRPr="00091FBC">
        <w:rPr>
          <w:rFonts w:eastAsia="Batang"/>
          <w:b/>
        </w:rPr>
        <w:t>-0thz</w:t>
      </w:r>
      <w:r w:rsidR="006C0A89">
        <w:rPr>
          <w:rFonts w:eastAsia="Batang"/>
          <w:bCs/>
        </w:rPr>
        <w:t>)</w:t>
      </w:r>
    </w:p>
    <w:p w:rsidR="00EC32DF" w:rsidRDefault="00F97AA3" w:rsidP="001C2682">
      <w:pPr>
        <w:widowControl w:val="0"/>
        <w:spacing w:before="120"/>
        <w:rPr>
          <w:rFonts w:eastAsia="Batang"/>
        </w:rPr>
      </w:pPr>
      <w:r>
        <w:rPr>
          <w:rFonts w:eastAsia="Batang"/>
        </w:rPr>
        <w:t xml:space="preserve">The presentation provided an overview on the ongoing activities of the P1785 IEEE Workgroup, which </w:t>
      </w:r>
      <w:r w:rsidR="001C2682" w:rsidRPr="001C2682">
        <w:rPr>
          <w:rFonts w:eastAsia="Batang"/>
        </w:rPr>
        <w:t>is developing a standard to define waveguides used at frequencies</w:t>
      </w:r>
      <w:r w:rsidR="001C2682">
        <w:rPr>
          <w:rFonts w:eastAsia="Batang"/>
        </w:rPr>
        <w:t xml:space="preserve"> </w:t>
      </w:r>
      <w:r w:rsidR="001C2682" w:rsidRPr="001C2682">
        <w:rPr>
          <w:rFonts w:eastAsia="Batang"/>
        </w:rPr>
        <w:t>above 110 GHz. The standard will define both the dimensions of the waveguides (and associated frequency</w:t>
      </w:r>
      <w:r w:rsidR="001C2682">
        <w:rPr>
          <w:rFonts w:eastAsia="Batang"/>
        </w:rPr>
        <w:t xml:space="preserve"> </w:t>
      </w:r>
      <w:r w:rsidR="001C2682" w:rsidRPr="001C2682">
        <w:rPr>
          <w:rFonts w:eastAsia="Batang"/>
        </w:rPr>
        <w:t>bands) and their interfaces (that is flanges). The standard will also provide recommendations for</w:t>
      </w:r>
      <w:r w:rsidR="001C2682">
        <w:rPr>
          <w:rFonts w:eastAsia="Batang"/>
        </w:rPr>
        <w:t xml:space="preserve"> </w:t>
      </w:r>
      <w:r w:rsidR="001C2682" w:rsidRPr="001C2682">
        <w:rPr>
          <w:rFonts w:eastAsia="Batang"/>
        </w:rPr>
        <w:t>summarizing the performance and the expected uncertainty of rectangular-waveguide interfaces for 110</w:t>
      </w:r>
      <w:r w:rsidR="001C2682">
        <w:rPr>
          <w:rFonts w:eastAsia="Batang"/>
        </w:rPr>
        <w:t xml:space="preserve"> </w:t>
      </w:r>
      <w:r w:rsidR="001C2682" w:rsidRPr="001C2682">
        <w:rPr>
          <w:rFonts w:eastAsia="Batang"/>
        </w:rPr>
        <w:t>GHz and above.</w:t>
      </w:r>
      <w:r w:rsidR="00EC32DF" w:rsidRPr="00EC32DF">
        <w:rPr>
          <w:rFonts w:eastAsia="Batang"/>
        </w:rPr>
        <w:t xml:space="preserve"> </w:t>
      </w:r>
    </w:p>
    <w:p w:rsidR="001E3B19" w:rsidRPr="009646E5" w:rsidRDefault="001E3B19" w:rsidP="001E3B19">
      <w:pPr>
        <w:widowControl w:val="0"/>
        <w:spacing w:before="120"/>
        <w:rPr>
          <w:rFonts w:eastAsia="Batang"/>
          <w:b/>
          <w:bCs/>
          <w:u w:val="single"/>
        </w:rPr>
      </w:pPr>
      <w:r>
        <w:rPr>
          <w:rFonts w:eastAsia="Batang"/>
          <w:b/>
          <w:bCs/>
          <w:u w:val="single"/>
        </w:rPr>
        <w:t xml:space="preserve">Contribution #2 </w:t>
      </w:r>
      <w:r w:rsidRPr="00FF5588">
        <w:rPr>
          <w:rFonts w:eastAsia="Batang"/>
          <w:b/>
          <w:bCs/>
        </w:rPr>
        <w:t xml:space="preserve">: </w:t>
      </w:r>
      <w:r>
        <w:rPr>
          <w:rFonts w:eastAsia="Batang"/>
          <w:bCs/>
        </w:rPr>
        <w:t xml:space="preserve">Ingmar Kallfass, </w:t>
      </w:r>
      <w:proofErr w:type="spellStart"/>
      <w:r>
        <w:rPr>
          <w:rFonts w:eastAsia="Batang"/>
          <w:bCs/>
        </w:rPr>
        <w:t>Fraunhofer</w:t>
      </w:r>
      <w:proofErr w:type="spellEnd"/>
      <w:r>
        <w:rPr>
          <w:rFonts w:eastAsia="Batang"/>
          <w:bCs/>
        </w:rPr>
        <w:t xml:space="preserve"> IAF (Germany), “</w:t>
      </w:r>
      <w:r w:rsidRPr="001E3B19">
        <w:rPr>
          <w:rFonts w:eastAsia="Batang"/>
          <w:bCs/>
        </w:rPr>
        <w:t>MMIC Chip Sets for Wireless Communication up to 480 GHz</w:t>
      </w:r>
      <w:r>
        <w:rPr>
          <w:rFonts w:eastAsia="Batang"/>
          <w:bCs/>
        </w:rPr>
        <w:t>”; (</w:t>
      </w:r>
      <w:r>
        <w:rPr>
          <w:rFonts w:eastAsia="Batang"/>
        </w:rPr>
        <w:t xml:space="preserve">Document </w:t>
      </w:r>
      <w:r w:rsidRPr="00091FBC">
        <w:rPr>
          <w:rFonts w:eastAsia="Batang"/>
          <w:b/>
        </w:rPr>
        <w:t>15-1</w:t>
      </w:r>
      <w:r>
        <w:rPr>
          <w:rFonts w:eastAsia="Batang"/>
          <w:b/>
        </w:rPr>
        <w:t>2</w:t>
      </w:r>
      <w:r w:rsidRPr="00091FBC">
        <w:rPr>
          <w:rFonts w:eastAsia="Batang"/>
          <w:b/>
        </w:rPr>
        <w:t>-0</w:t>
      </w:r>
      <w:r>
        <w:rPr>
          <w:rFonts w:eastAsia="Batang"/>
          <w:b/>
        </w:rPr>
        <w:t>323</w:t>
      </w:r>
      <w:r w:rsidRPr="00091FBC">
        <w:rPr>
          <w:rFonts w:eastAsia="Batang"/>
          <w:b/>
        </w:rPr>
        <w:t>-0</w:t>
      </w:r>
      <w:r>
        <w:rPr>
          <w:rFonts w:eastAsia="Batang"/>
          <w:b/>
        </w:rPr>
        <w:t>0</w:t>
      </w:r>
      <w:r w:rsidRPr="00091FBC">
        <w:rPr>
          <w:rFonts w:eastAsia="Batang"/>
          <w:b/>
        </w:rPr>
        <w:t>-0thz</w:t>
      </w:r>
      <w:r>
        <w:rPr>
          <w:rFonts w:eastAsia="Batang"/>
          <w:bCs/>
        </w:rPr>
        <w:t>)</w:t>
      </w:r>
    </w:p>
    <w:p w:rsidR="001E3B19" w:rsidRDefault="001C2682" w:rsidP="001C2682">
      <w:pPr>
        <w:widowControl w:val="0"/>
        <w:spacing w:before="120"/>
        <w:rPr>
          <w:rFonts w:eastAsia="Batang"/>
        </w:rPr>
      </w:pPr>
      <w:r w:rsidRPr="001C2682">
        <w:rPr>
          <w:rFonts w:eastAsia="Batang"/>
        </w:rPr>
        <w:t>The architecture, implementation and performance of active MMIC-based transmit and receive</w:t>
      </w:r>
      <w:r>
        <w:rPr>
          <w:rFonts w:eastAsia="Batang"/>
        </w:rPr>
        <w:t xml:space="preserve"> </w:t>
      </w:r>
      <w:r w:rsidRPr="001C2682">
        <w:rPr>
          <w:rFonts w:eastAsia="Batang"/>
        </w:rPr>
        <w:t>frontends for sub-</w:t>
      </w:r>
      <w:proofErr w:type="spellStart"/>
      <w:r w:rsidRPr="001C2682">
        <w:rPr>
          <w:rFonts w:eastAsia="Batang"/>
        </w:rPr>
        <w:t>mmW</w:t>
      </w:r>
      <w:proofErr w:type="spellEnd"/>
      <w:r w:rsidRPr="001C2682">
        <w:rPr>
          <w:rFonts w:eastAsia="Batang"/>
        </w:rPr>
        <w:t xml:space="preserve"> communication </w:t>
      </w:r>
      <w:r w:rsidR="00F97AA3">
        <w:rPr>
          <w:rFonts w:eastAsia="Batang"/>
        </w:rPr>
        <w:t>have been</w:t>
      </w:r>
      <w:r w:rsidRPr="001C2682">
        <w:rPr>
          <w:rFonts w:eastAsia="Batang"/>
        </w:rPr>
        <w:t xml:space="preserve"> presented. A focu</w:t>
      </w:r>
      <w:r w:rsidR="00F97AA3">
        <w:rPr>
          <w:rFonts w:eastAsia="Batang"/>
        </w:rPr>
        <w:t>s was</w:t>
      </w:r>
      <w:r>
        <w:rPr>
          <w:rFonts w:eastAsia="Batang"/>
        </w:rPr>
        <w:t xml:space="preserve"> on the generation of local </w:t>
      </w:r>
      <w:r w:rsidRPr="001C2682">
        <w:rPr>
          <w:rFonts w:eastAsia="Batang"/>
        </w:rPr>
        <w:t>oscillator</w:t>
      </w:r>
      <w:r>
        <w:rPr>
          <w:rFonts w:eastAsia="Batang"/>
        </w:rPr>
        <w:t xml:space="preserve"> </w:t>
      </w:r>
      <w:r w:rsidRPr="001C2682">
        <w:rPr>
          <w:rFonts w:eastAsia="Batang"/>
        </w:rPr>
        <w:t>signals for up- and down-conversion by frequency multiplication up to 480 GHz. Transmission experiments</w:t>
      </w:r>
      <w:r>
        <w:rPr>
          <w:rFonts w:eastAsia="Batang"/>
        </w:rPr>
        <w:t xml:space="preserve"> </w:t>
      </w:r>
      <w:r w:rsidRPr="001C2682">
        <w:rPr>
          <w:rFonts w:eastAsia="Batang"/>
        </w:rPr>
        <w:t xml:space="preserve">at a center frequency of 220 GHz achieve up to 25 </w:t>
      </w:r>
      <w:proofErr w:type="spellStart"/>
      <w:r w:rsidRPr="001C2682">
        <w:rPr>
          <w:rFonts w:eastAsia="Batang"/>
        </w:rPr>
        <w:t>Gbit</w:t>
      </w:r>
      <w:proofErr w:type="spellEnd"/>
      <w:r w:rsidRPr="001C2682">
        <w:rPr>
          <w:rFonts w:eastAsia="Batang"/>
        </w:rPr>
        <w:t>/s data rate.</w:t>
      </w:r>
    </w:p>
    <w:p w:rsidR="001E3B19" w:rsidRPr="009646E5" w:rsidRDefault="001E3B19" w:rsidP="001E3B19">
      <w:pPr>
        <w:widowControl w:val="0"/>
        <w:spacing w:before="120"/>
        <w:rPr>
          <w:rFonts w:eastAsia="Batang"/>
          <w:b/>
          <w:bCs/>
          <w:u w:val="single"/>
        </w:rPr>
      </w:pPr>
      <w:r>
        <w:rPr>
          <w:rFonts w:eastAsia="Batang"/>
          <w:b/>
          <w:bCs/>
          <w:u w:val="single"/>
        </w:rPr>
        <w:t>Contribution #</w:t>
      </w:r>
      <w:proofErr w:type="gramStart"/>
      <w:r>
        <w:rPr>
          <w:rFonts w:eastAsia="Batang"/>
          <w:b/>
          <w:bCs/>
          <w:u w:val="single"/>
        </w:rPr>
        <w:t xml:space="preserve">3 </w:t>
      </w:r>
      <w:r w:rsidRPr="00FF5588">
        <w:rPr>
          <w:rFonts w:eastAsia="Batang"/>
          <w:b/>
          <w:bCs/>
        </w:rPr>
        <w:t>:</w:t>
      </w:r>
      <w:proofErr w:type="gramEnd"/>
      <w:r w:rsidRPr="00FF5588">
        <w:rPr>
          <w:rFonts w:eastAsia="Batang"/>
          <w:b/>
          <w:bCs/>
        </w:rPr>
        <w:t xml:space="preserve"> </w:t>
      </w:r>
      <w:proofErr w:type="spellStart"/>
      <w:r>
        <w:rPr>
          <w:rFonts w:eastAsia="Batang"/>
          <w:bCs/>
        </w:rPr>
        <w:t>Iwao</w:t>
      </w:r>
      <w:proofErr w:type="spellEnd"/>
      <w:r>
        <w:rPr>
          <w:rFonts w:eastAsia="Batang"/>
          <w:bCs/>
        </w:rPr>
        <w:t xml:space="preserve"> </w:t>
      </w:r>
      <w:proofErr w:type="spellStart"/>
      <w:r>
        <w:rPr>
          <w:rFonts w:eastAsia="Batang"/>
          <w:bCs/>
        </w:rPr>
        <w:t>Hosako</w:t>
      </w:r>
      <w:proofErr w:type="spellEnd"/>
      <w:r>
        <w:rPr>
          <w:rFonts w:eastAsia="Batang"/>
          <w:bCs/>
        </w:rPr>
        <w:t>, NICT  (Japan), “</w:t>
      </w:r>
      <w:r w:rsidRPr="001E3B19">
        <w:rPr>
          <w:rFonts w:eastAsia="Batang"/>
          <w:bCs/>
        </w:rPr>
        <w:t>Exposure Guideline and biological effects of THz radiation</w:t>
      </w:r>
      <w:r>
        <w:rPr>
          <w:rFonts w:eastAsia="Batang"/>
          <w:bCs/>
        </w:rPr>
        <w:t>”; (</w:t>
      </w:r>
      <w:r>
        <w:rPr>
          <w:rFonts w:eastAsia="Batang"/>
        </w:rPr>
        <w:t xml:space="preserve">Document </w:t>
      </w:r>
      <w:r w:rsidRPr="00091FBC">
        <w:rPr>
          <w:rFonts w:eastAsia="Batang"/>
          <w:b/>
        </w:rPr>
        <w:t>15-1</w:t>
      </w:r>
      <w:r>
        <w:rPr>
          <w:rFonts w:eastAsia="Batang"/>
          <w:b/>
        </w:rPr>
        <w:t>2</w:t>
      </w:r>
      <w:r w:rsidRPr="00091FBC">
        <w:rPr>
          <w:rFonts w:eastAsia="Batang"/>
          <w:b/>
        </w:rPr>
        <w:t>-0</w:t>
      </w:r>
      <w:r>
        <w:rPr>
          <w:rFonts w:eastAsia="Batang"/>
          <w:b/>
        </w:rPr>
        <w:t>376</w:t>
      </w:r>
      <w:r w:rsidRPr="00091FBC">
        <w:rPr>
          <w:rFonts w:eastAsia="Batang"/>
          <w:b/>
        </w:rPr>
        <w:t>-0</w:t>
      </w:r>
      <w:r>
        <w:rPr>
          <w:rFonts w:eastAsia="Batang"/>
          <w:b/>
        </w:rPr>
        <w:t>0</w:t>
      </w:r>
      <w:r w:rsidRPr="00091FBC">
        <w:rPr>
          <w:rFonts w:eastAsia="Batang"/>
          <w:b/>
        </w:rPr>
        <w:t>-0thz</w:t>
      </w:r>
      <w:r>
        <w:rPr>
          <w:rFonts w:eastAsia="Batang"/>
          <w:bCs/>
        </w:rPr>
        <w:t>)</w:t>
      </w:r>
    </w:p>
    <w:p w:rsidR="001E3B19" w:rsidRDefault="001C2682" w:rsidP="001E3B19">
      <w:pPr>
        <w:widowControl w:val="0"/>
        <w:spacing w:before="120"/>
        <w:rPr>
          <w:rFonts w:eastAsia="Batang"/>
        </w:rPr>
      </w:pPr>
      <w:proofErr w:type="gramStart"/>
      <w:r w:rsidRPr="001C2682">
        <w:rPr>
          <w:rFonts w:eastAsia="Batang"/>
        </w:rPr>
        <w:t>This contribution paper g</w:t>
      </w:r>
      <w:r w:rsidR="00F97AA3">
        <w:rPr>
          <w:rFonts w:eastAsia="Batang"/>
        </w:rPr>
        <w:t>ave</w:t>
      </w:r>
      <w:r w:rsidRPr="001C2682">
        <w:rPr>
          <w:rFonts w:eastAsia="Batang"/>
        </w:rPr>
        <w:t xml:space="preserve"> a reminder on exposure guideline of THz radiation by ICNIRP and call</w:t>
      </w:r>
      <w:proofErr w:type="gramEnd"/>
      <w:r w:rsidRPr="001C2682">
        <w:rPr>
          <w:rFonts w:eastAsia="Batang"/>
        </w:rPr>
        <w:t xml:space="preserve"> an attention to the biological effects of MMW-THz radiation. </w:t>
      </w:r>
      <w:r w:rsidR="001E3B19" w:rsidRPr="00EC32DF">
        <w:rPr>
          <w:rFonts w:eastAsia="Batang"/>
        </w:rPr>
        <w:t xml:space="preserve"> </w:t>
      </w:r>
    </w:p>
    <w:p w:rsidR="001E3B19" w:rsidRPr="009646E5" w:rsidRDefault="001E3B19" w:rsidP="001E3B19">
      <w:pPr>
        <w:widowControl w:val="0"/>
        <w:spacing w:before="120"/>
        <w:rPr>
          <w:rFonts w:eastAsia="Batang"/>
          <w:b/>
          <w:bCs/>
          <w:u w:val="single"/>
        </w:rPr>
      </w:pPr>
      <w:r>
        <w:rPr>
          <w:rFonts w:eastAsia="Batang"/>
          <w:b/>
          <w:bCs/>
          <w:u w:val="single"/>
        </w:rPr>
        <w:t xml:space="preserve">Contribution #4 </w:t>
      </w:r>
      <w:r w:rsidRPr="00FF5588">
        <w:rPr>
          <w:rFonts w:eastAsia="Batang"/>
          <w:b/>
          <w:bCs/>
        </w:rPr>
        <w:t xml:space="preserve">: </w:t>
      </w:r>
      <w:r>
        <w:rPr>
          <w:rFonts w:eastAsia="Batang"/>
          <w:bCs/>
        </w:rPr>
        <w:t xml:space="preserve">David </w:t>
      </w:r>
      <w:proofErr w:type="spellStart"/>
      <w:r>
        <w:rPr>
          <w:rFonts w:eastAsia="Batang"/>
          <w:bCs/>
        </w:rPr>
        <w:t>Britz</w:t>
      </w:r>
      <w:proofErr w:type="spellEnd"/>
      <w:r>
        <w:rPr>
          <w:rFonts w:eastAsia="Batang"/>
          <w:bCs/>
        </w:rPr>
        <w:t>, AT&amp;T Shannon Labs  (USA), “</w:t>
      </w:r>
      <w:r w:rsidRPr="001E3B19">
        <w:rPr>
          <w:rFonts w:eastAsia="Batang"/>
          <w:bCs/>
        </w:rPr>
        <w:t xml:space="preserve">Status of the IWPC </w:t>
      </w:r>
      <w:proofErr w:type="spellStart"/>
      <w:r w:rsidRPr="001E3B19">
        <w:rPr>
          <w:rFonts w:eastAsia="Batang"/>
          <w:bCs/>
        </w:rPr>
        <w:t>MoGIG</w:t>
      </w:r>
      <w:proofErr w:type="spellEnd"/>
      <w:r w:rsidRPr="001E3B19">
        <w:rPr>
          <w:rFonts w:eastAsia="Batang"/>
          <w:bCs/>
        </w:rPr>
        <w:t xml:space="preserve"> (Mobile Multi Gigabit (</w:t>
      </w:r>
      <w:proofErr w:type="spellStart"/>
      <w:r w:rsidRPr="001E3B19">
        <w:rPr>
          <w:rFonts w:eastAsia="Batang"/>
          <w:bCs/>
        </w:rPr>
        <w:t>MoGIG</w:t>
      </w:r>
      <w:proofErr w:type="spellEnd"/>
      <w:r w:rsidRPr="001E3B19">
        <w:rPr>
          <w:rFonts w:eastAsia="Batang"/>
          <w:bCs/>
        </w:rPr>
        <w:t>) Wireless Networks and Terminals) Working Group and indus</w:t>
      </w:r>
      <w:r>
        <w:rPr>
          <w:rFonts w:eastAsia="Batang"/>
          <w:bCs/>
        </w:rPr>
        <w:t xml:space="preserve">tries move to </w:t>
      </w:r>
      <w:proofErr w:type="spellStart"/>
      <w:r>
        <w:rPr>
          <w:rFonts w:eastAsia="Batang"/>
          <w:bCs/>
        </w:rPr>
        <w:t>Nanocells</w:t>
      </w:r>
      <w:proofErr w:type="spellEnd"/>
      <w:r>
        <w:rPr>
          <w:rFonts w:eastAsia="Batang"/>
          <w:bCs/>
        </w:rPr>
        <w:t>”; (</w:t>
      </w:r>
      <w:r>
        <w:rPr>
          <w:rFonts w:eastAsia="Batang"/>
        </w:rPr>
        <w:t xml:space="preserve">Document </w:t>
      </w:r>
      <w:r w:rsidRPr="00091FBC">
        <w:rPr>
          <w:rFonts w:eastAsia="Batang"/>
          <w:b/>
        </w:rPr>
        <w:t>15-1</w:t>
      </w:r>
      <w:r>
        <w:rPr>
          <w:rFonts w:eastAsia="Batang"/>
          <w:b/>
        </w:rPr>
        <w:t>2</w:t>
      </w:r>
      <w:r w:rsidRPr="00091FBC">
        <w:rPr>
          <w:rFonts w:eastAsia="Batang"/>
          <w:b/>
        </w:rPr>
        <w:t>-0</w:t>
      </w:r>
      <w:r>
        <w:rPr>
          <w:rFonts w:eastAsia="Batang"/>
          <w:b/>
        </w:rPr>
        <w:t>321</w:t>
      </w:r>
      <w:r w:rsidRPr="00091FBC">
        <w:rPr>
          <w:rFonts w:eastAsia="Batang"/>
          <w:b/>
        </w:rPr>
        <w:t>-0</w:t>
      </w:r>
      <w:r>
        <w:rPr>
          <w:rFonts w:eastAsia="Batang"/>
          <w:b/>
        </w:rPr>
        <w:t>0</w:t>
      </w:r>
      <w:r w:rsidRPr="00091FBC">
        <w:rPr>
          <w:rFonts w:eastAsia="Batang"/>
          <w:b/>
        </w:rPr>
        <w:t>-0thz</w:t>
      </w:r>
      <w:r>
        <w:rPr>
          <w:rFonts w:eastAsia="Batang"/>
          <w:bCs/>
        </w:rPr>
        <w:t>)</w:t>
      </w:r>
    </w:p>
    <w:p w:rsidR="001E3B19" w:rsidRDefault="001C2682" w:rsidP="001E3B19">
      <w:pPr>
        <w:widowControl w:val="0"/>
        <w:spacing w:before="120"/>
        <w:rPr>
          <w:rFonts w:eastAsia="Batang"/>
        </w:rPr>
      </w:pPr>
      <w:r w:rsidRPr="001C2682">
        <w:rPr>
          <w:rFonts w:eastAsia="Batang"/>
        </w:rPr>
        <w:t xml:space="preserve">Discussion of the newly formed IWPC </w:t>
      </w:r>
      <w:proofErr w:type="spellStart"/>
      <w:r w:rsidRPr="001C2682">
        <w:rPr>
          <w:rFonts w:eastAsia="Batang"/>
        </w:rPr>
        <w:t>MoGIG</w:t>
      </w:r>
      <w:proofErr w:type="spellEnd"/>
      <w:r w:rsidRPr="001C2682">
        <w:rPr>
          <w:rFonts w:eastAsia="Batang"/>
        </w:rPr>
        <w:t xml:space="preserve"> working group </w:t>
      </w:r>
      <w:proofErr w:type="gramStart"/>
      <w:r w:rsidRPr="001C2682">
        <w:rPr>
          <w:rFonts w:eastAsia="Batang"/>
        </w:rPr>
        <w:t>who’s</w:t>
      </w:r>
      <w:proofErr w:type="gramEnd"/>
      <w:r w:rsidRPr="001C2682">
        <w:rPr>
          <w:rFonts w:eastAsia="Batang"/>
        </w:rPr>
        <w:t xml:space="preserve"> focus is on the network and equipment aspects of small cell and </w:t>
      </w:r>
      <w:proofErr w:type="spellStart"/>
      <w:r w:rsidRPr="001C2682">
        <w:rPr>
          <w:rFonts w:eastAsia="Batang"/>
        </w:rPr>
        <w:t>nanocell</w:t>
      </w:r>
      <w:proofErr w:type="spellEnd"/>
      <w:r w:rsidRPr="001C2682">
        <w:rPr>
          <w:rFonts w:eastAsia="Batang"/>
        </w:rPr>
        <w:t xml:space="preserve"> millimeter Wave and THz based street level infrastructure. More so how this Industry working group may align its objectives and collaborations with the 802.15 THz IG to insure network and device standards comply with spectrum and 802.15 requirements</w:t>
      </w:r>
      <w:r w:rsidR="001E3B19" w:rsidRPr="00EC32DF">
        <w:rPr>
          <w:rFonts w:eastAsia="Batang"/>
        </w:rPr>
        <w:t xml:space="preserve">. </w:t>
      </w:r>
    </w:p>
    <w:p w:rsidR="001E3B19" w:rsidRPr="009646E5" w:rsidRDefault="001E3B19" w:rsidP="001E3B19">
      <w:pPr>
        <w:widowControl w:val="0"/>
        <w:spacing w:before="120"/>
        <w:rPr>
          <w:rFonts w:eastAsia="Batang"/>
          <w:b/>
          <w:bCs/>
          <w:u w:val="single"/>
        </w:rPr>
      </w:pPr>
      <w:r>
        <w:rPr>
          <w:rFonts w:eastAsia="Batang"/>
          <w:b/>
          <w:bCs/>
          <w:u w:val="single"/>
        </w:rPr>
        <w:t>Contribution #</w:t>
      </w:r>
      <w:proofErr w:type="gramStart"/>
      <w:r>
        <w:rPr>
          <w:rFonts w:eastAsia="Batang"/>
          <w:b/>
          <w:bCs/>
          <w:u w:val="single"/>
        </w:rPr>
        <w:t xml:space="preserve">5 </w:t>
      </w:r>
      <w:r w:rsidRPr="00FF5588">
        <w:rPr>
          <w:rFonts w:eastAsia="Batang"/>
          <w:b/>
          <w:bCs/>
        </w:rPr>
        <w:t>:</w:t>
      </w:r>
      <w:proofErr w:type="gramEnd"/>
      <w:r w:rsidRPr="00FF5588">
        <w:rPr>
          <w:rFonts w:eastAsia="Batang"/>
          <w:b/>
          <w:bCs/>
        </w:rPr>
        <w:t xml:space="preserve"> </w:t>
      </w:r>
      <w:r>
        <w:rPr>
          <w:rFonts w:eastAsia="Batang"/>
          <w:bCs/>
        </w:rPr>
        <w:t>Sebastian Priebe, TU Braunschweig  (</w:t>
      </w:r>
      <w:proofErr w:type="spellStart"/>
      <w:r>
        <w:rPr>
          <w:rFonts w:eastAsia="Batang"/>
          <w:bCs/>
        </w:rPr>
        <w:t>Gernany</w:t>
      </w:r>
      <w:proofErr w:type="spellEnd"/>
      <w:r>
        <w:rPr>
          <w:rFonts w:eastAsia="Batang"/>
          <w:bCs/>
        </w:rPr>
        <w:t>), “</w:t>
      </w:r>
      <w:r w:rsidRPr="001E3B19">
        <w:rPr>
          <w:rFonts w:eastAsia="Batang"/>
          <w:bCs/>
        </w:rPr>
        <w:t xml:space="preserve"> Interference between THz Communications and </w:t>
      </w:r>
      <w:proofErr w:type="spellStart"/>
      <w:r w:rsidRPr="001E3B19">
        <w:rPr>
          <w:rFonts w:eastAsia="Batang"/>
          <w:bCs/>
        </w:rPr>
        <w:t>Spaceborne</w:t>
      </w:r>
      <w:proofErr w:type="spellEnd"/>
      <w:r w:rsidRPr="001E3B19">
        <w:rPr>
          <w:rFonts w:eastAsia="Batang"/>
          <w:bCs/>
        </w:rPr>
        <w:t xml:space="preserve"> Eart</w:t>
      </w:r>
      <w:r>
        <w:rPr>
          <w:rFonts w:eastAsia="Batang"/>
          <w:bCs/>
        </w:rPr>
        <w:t>h Exploration Services”; (</w:t>
      </w:r>
      <w:r>
        <w:rPr>
          <w:rFonts w:eastAsia="Batang"/>
        </w:rPr>
        <w:t xml:space="preserve">Document </w:t>
      </w:r>
      <w:r w:rsidRPr="00091FBC">
        <w:rPr>
          <w:rFonts w:eastAsia="Batang"/>
          <w:b/>
        </w:rPr>
        <w:t>15-1</w:t>
      </w:r>
      <w:r>
        <w:rPr>
          <w:rFonts w:eastAsia="Batang"/>
          <w:b/>
        </w:rPr>
        <w:t>2</w:t>
      </w:r>
      <w:r w:rsidRPr="00091FBC">
        <w:rPr>
          <w:rFonts w:eastAsia="Batang"/>
          <w:b/>
        </w:rPr>
        <w:t>-0</w:t>
      </w:r>
      <w:r>
        <w:rPr>
          <w:rFonts w:eastAsia="Batang"/>
          <w:b/>
        </w:rPr>
        <w:t>324</w:t>
      </w:r>
      <w:r w:rsidRPr="00091FBC">
        <w:rPr>
          <w:rFonts w:eastAsia="Batang"/>
          <w:b/>
        </w:rPr>
        <w:t>-0</w:t>
      </w:r>
      <w:r>
        <w:rPr>
          <w:rFonts w:eastAsia="Batang"/>
          <w:b/>
        </w:rPr>
        <w:t>0</w:t>
      </w:r>
      <w:r w:rsidRPr="00091FBC">
        <w:rPr>
          <w:rFonts w:eastAsia="Batang"/>
          <w:b/>
        </w:rPr>
        <w:t>-0thz</w:t>
      </w:r>
      <w:r>
        <w:rPr>
          <w:rFonts w:eastAsia="Batang"/>
          <w:bCs/>
        </w:rPr>
        <w:t>)</w:t>
      </w:r>
    </w:p>
    <w:p w:rsidR="001E3B19" w:rsidRDefault="001C2682" w:rsidP="001C2682">
      <w:pPr>
        <w:widowControl w:val="0"/>
        <w:spacing w:before="120"/>
        <w:rPr>
          <w:rFonts w:eastAsia="Batang"/>
        </w:rPr>
      </w:pPr>
      <w:r w:rsidRPr="001C2682">
        <w:rPr>
          <w:rFonts w:eastAsia="Batang"/>
        </w:rPr>
        <w:lastRenderedPageBreak/>
        <w:t xml:space="preserve">Defined by the ITU radio regulations, </w:t>
      </w:r>
      <w:proofErr w:type="spellStart"/>
      <w:r w:rsidRPr="001C2682">
        <w:rPr>
          <w:rFonts w:eastAsia="Batang"/>
        </w:rPr>
        <w:t>spaceborne</w:t>
      </w:r>
      <w:proofErr w:type="spellEnd"/>
      <w:r w:rsidRPr="001C2682">
        <w:rPr>
          <w:rFonts w:eastAsia="Batang"/>
        </w:rPr>
        <w:t xml:space="preserve"> Earth exploration services operated in the THz</w:t>
      </w:r>
      <w:r>
        <w:rPr>
          <w:rFonts w:eastAsia="Batang"/>
        </w:rPr>
        <w:t xml:space="preserve"> </w:t>
      </w:r>
      <w:r w:rsidRPr="001C2682">
        <w:rPr>
          <w:rFonts w:eastAsia="Batang"/>
        </w:rPr>
        <w:t>frequency band must be precluded from any interference by active applications. THz communication</w:t>
      </w:r>
      <w:r>
        <w:rPr>
          <w:rFonts w:eastAsia="Batang"/>
        </w:rPr>
        <w:t xml:space="preserve"> </w:t>
      </w:r>
      <w:r w:rsidRPr="001C2682">
        <w:rPr>
          <w:rFonts w:eastAsia="Batang"/>
        </w:rPr>
        <w:t>systems operated outdoors may accidentally radiate in direction of the Earth exploration satellites. Critical</w:t>
      </w:r>
      <w:r>
        <w:rPr>
          <w:rFonts w:eastAsia="Batang"/>
        </w:rPr>
        <w:t xml:space="preserve"> </w:t>
      </w:r>
      <w:r w:rsidRPr="001C2682">
        <w:rPr>
          <w:rFonts w:eastAsia="Batang"/>
        </w:rPr>
        <w:t>scenarios have already been identified in doc. 15-12-0101-00-0</w:t>
      </w:r>
      <w:proofErr w:type="gramStart"/>
      <w:r w:rsidRPr="001C2682">
        <w:rPr>
          <w:rFonts w:eastAsia="Batang"/>
        </w:rPr>
        <w:t>thz</w:t>
      </w:r>
      <w:proofErr w:type="gramEnd"/>
      <w:r w:rsidRPr="001C2682">
        <w:rPr>
          <w:rFonts w:eastAsia="Batang"/>
        </w:rPr>
        <w:t>. Now, the interference powers are</w:t>
      </w:r>
      <w:r>
        <w:rPr>
          <w:rFonts w:eastAsia="Batang"/>
        </w:rPr>
        <w:t xml:space="preserve"> </w:t>
      </w:r>
      <w:r w:rsidRPr="001C2682">
        <w:rPr>
          <w:rFonts w:eastAsia="Batang"/>
        </w:rPr>
        <w:t>modeled for the scenarios and transmit power constraints are derived under worst-case assumptions.</w:t>
      </w:r>
      <w:r>
        <w:rPr>
          <w:rFonts w:eastAsia="Batang"/>
        </w:rPr>
        <w:t xml:space="preserve"> </w:t>
      </w:r>
      <w:r w:rsidRPr="001C2682">
        <w:rPr>
          <w:rFonts w:eastAsia="Batang"/>
        </w:rPr>
        <w:t>Maximum distances achievable with these powers are estimated for several THz communication use cases.</w:t>
      </w:r>
      <w:r w:rsidR="001E3B19" w:rsidRPr="00EC32DF">
        <w:rPr>
          <w:rFonts w:eastAsia="Batang"/>
        </w:rPr>
        <w:t xml:space="preserve"> </w:t>
      </w:r>
    </w:p>
    <w:p w:rsidR="001E3B19" w:rsidRDefault="001E3B19" w:rsidP="001E3B19">
      <w:pPr>
        <w:widowControl w:val="0"/>
        <w:spacing w:before="120"/>
        <w:rPr>
          <w:rFonts w:eastAsia="Batang"/>
          <w:bCs/>
        </w:rPr>
      </w:pPr>
      <w:r>
        <w:rPr>
          <w:rFonts w:eastAsia="Batang"/>
          <w:b/>
          <w:bCs/>
          <w:u w:val="single"/>
        </w:rPr>
        <w:t>Contribution #</w:t>
      </w:r>
      <w:proofErr w:type="gramStart"/>
      <w:r>
        <w:rPr>
          <w:rFonts w:eastAsia="Batang"/>
          <w:b/>
          <w:bCs/>
          <w:u w:val="single"/>
        </w:rPr>
        <w:t xml:space="preserve">6 </w:t>
      </w:r>
      <w:r w:rsidRPr="00FF5588">
        <w:rPr>
          <w:rFonts w:eastAsia="Batang"/>
          <w:b/>
          <w:bCs/>
        </w:rPr>
        <w:t>:</w:t>
      </w:r>
      <w:proofErr w:type="gramEnd"/>
      <w:r w:rsidRPr="00FF5588">
        <w:rPr>
          <w:rFonts w:eastAsia="Batang"/>
          <w:b/>
          <w:bCs/>
        </w:rPr>
        <w:t xml:space="preserve"> </w:t>
      </w:r>
      <w:r>
        <w:rPr>
          <w:rFonts w:eastAsia="Batang"/>
          <w:bCs/>
        </w:rPr>
        <w:t xml:space="preserve">David </w:t>
      </w:r>
      <w:proofErr w:type="spellStart"/>
      <w:r>
        <w:rPr>
          <w:rFonts w:eastAsia="Batang"/>
          <w:bCs/>
        </w:rPr>
        <w:t>Britz</w:t>
      </w:r>
      <w:proofErr w:type="spellEnd"/>
      <w:r>
        <w:rPr>
          <w:rFonts w:eastAsia="Batang"/>
          <w:bCs/>
        </w:rPr>
        <w:t>, AT&amp;T Shannon Labs  (USA), “</w:t>
      </w:r>
      <w:r w:rsidR="001C2682" w:rsidRPr="001C2682">
        <w:rPr>
          <w:rFonts w:eastAsia="Batang"/>
          <w:bCs/>
        </w:rPr>
        <w:t>Status report of meeting with passive sciences CORF committee</w:t>
      </w:r>
      <w:r>
        <w:rPr>
          <w:rFonts w:eastAsia="Batang"/>
          <w:bCs/>
        </w:rPr>
        <w:t>”; (</w:t>
      </w:r>
      <w:r>
        <w:rPr>
          <w:rFonts w:eastAsia="Batang"/>
        </w:rPr>
        <w:t xml:space="preserve">Document </w:t>
      </w:r>
      <w:r w:rsidRPr="00091FBC">
        <w:rPr>
          <w:rFonts w:eastAsia="Batang"/>
          <w:b/>
        </w:rPr>
        <w:t>15-1</w:t>
      </w:r>
      <w:r>
        <w:rPr>
          <w:rFonts w:eastAsia="Batang"/>
          <w:b/>
        </w:rPr>
        <w:t>2</w:t>
      </w:r>
      <w:r w:rsidRPr="00091FBC">
        <w:rPr>
          <w:rFonts w:eastAsia="Batang"/>
          <w:b/>
        </w:rPr>
        <w:t>-0</w:t>
      </w:r>
      <w:r>
        <w:rPr>
          <w:rFonts w:eastAsia="Batang"/>
          <w:b/>
        </w:rPr>
        <w:t>32</w:t>
      </w:r>
      <w:r w:rsidR="001C2682">
        <w:rPr>
          <w:rFonts w:eastAsia="Batang"/>
          <w:b/>
        </w:rPr>
        <w:t>2</w:t>
      </w:r>
      <w:r w:rsidRPr="00091FBC">
        <w:rPr>
          <w:rFonts w:eastAsia="Batang"/>
          <w:b/>
        </w:rPr>
        <w:t>-0</w:t>
      </w:r>
      <w:r>
        <w:rPr>
          <w:rFonts w:eastAsia="Batang"/>
          <w:b/>
        </w:rPr>
        <w:t>0</w:t>
      </w:r>
      <w:r w:rsidRPr="00091FBC">
        <w:rPr>
          <w:rFonts w:eastAsia="Batang"/>
          <w:b/>
        </w:rPr>
        <w:t>-0thz</w:t>
      </w:r>
      <w:r>
        <w:rPr>
          <w:rFonts w:eastAsia="Batang"/>
          <w:bCs/>
        </w:rPr>
        <w:t>)</w:t>
      </w:r>
      <w:r w:rsidR="001C2682">
        <w:rPr>
          <w:rFonts w:eastAsia="Batang"/>
          <w:bCs/>
        </w:rPr>
        <w:t>.</w:t>
      </w:r>
    </w:p>
    <w:p w:rsidR="001C2682" w:rsidRDefault="001C2682" w:rsidP="001E3B19">
      <w:pPr>
        <w:widowControl w:val="0"/>
        <w:spacing w:before="120"/>
        <w:rPr>
          <w:rFonts w:eastAsia="Batang"/>
          <w:bCs/>
        </w:rPr>
      </w:pPr>
      <w:r w:rsidRPr="001C2682">
        <w:rPr>
          <w:rFonts w:eastAsia="Batang"/>
          <w:bCs/>
        </w:rPr>
        <w:t>This presentation discuss</w:t>
      </w:r>
      <w:r w:rsidR="00F97AA3">
        <w:rPr>
          <w:rFonts w:eastAsia="Batang"/>
          <w:bCs/>
        </w:rPr>
        <w:t>ed</w:t>
      </w:r>
      <w:r w:rsidRPr="001C2682">
        <w:rPr>
          <w:rFonts w:eastAsia="Batang"/>
          <w:bCs/>
        </w:rPr>
        <w:t xml:space="preserve"> a recent meeting the author had with representatives of the passive services /science community CORF organization in DC at the FCC, along with Mike Marcus former FCC chief technology officer, in opening up spectrum above 100GHz for device allocations, spectrum coexistence and formation of </w:t>
      </w:r>
      <w:proofErr w:type="gramStart"/>
      <w:r w:rsidRPr="001C2682">
        <w:rPr>
          <w:rFonts w:eastAsia="Batang"/>
          <w:bCs/>
        </w:rPr>
        <w:t>a</w:t>
      </w:r>
      <w:proofErr w:type="gramEnd"/>
      <w:r w:rsidRPr="001C2682">
        <w:rPr>
          <w:rFonts w:eastAsia="Batang"/>
          <w:bCs/>
        </w:rPr>
        <w:t xml:space="preserve"> active and passive services technology collaboration</w:t>
      </w:r>
      <w:r>
        <w:rPr>
          <w:rFonts w:eastAsia="Batang"/>
          <w:bCs/>
        </w:rPr>
        <w:t>.</w:t>
      </w:r>
    </w:p>
    <w:p w:rsidR="001E3B19" w:rsidRPr="009646E5" w:rsidRDefault="001E3B19" w:rsidP="001E3B19">
      <w:pPr>
        <w:widowControl w:val="0"/>
        <w:spacing w:before="120"/>
        <w:rPr>
          <w:rFonts w:eastAsia="Batang"/>
          <w:b/>
          <w:bCs/>
          <w:u w:val="single"/>
        </w:rPr>
      </w:pPr>
      <w:r>
        <w:rPr>
          <w:rFonts w:eastAsia="Batang"/>
          <w:b/>
          <w:bCs/>
          <w:u w:val="single"/>
        </w:rPr>
        <w:t>Contribution #</w:t>
      </w:r>
      <w:proofErr w:type="gramStart"/>
      <w:r>
        <w:rPr>
          <w:rFonts w:eastAsia="Batang"/>
          <w:b/>
          <w:bCs/>
          <w:u w:val="single"/>
        </w:rPr>
        <w:t xml:space="preserve">7 </w:t>
      </w:r>
      <w:r w:rsidRPr="00FF5588">
        <w:rPr>
          <w:rFonts w:eastAsia="Batang"/>
          <w:b/>
          <w:bCs/>
        </w:rPr>
        <w:t>:</w:t>
      </w:r>
      <w:proofErr w:type="gramEnd"/>
      <w:r w:rsidRPr="00FF5588">
        <w:rPr>
          <w:rFonts w:eastAsia="Batang"/>
          <w:b/>
          <w:bCs/>
        </w:rPr>
        <w:t xml:space="preserve"> </w:t>
      </w:r>
      <w:r w:rsidR="00242395">
        <w:t>Hiroyo Ogawa</w:t>
      </w:r>
      <w:r>
        <w:rPr>
          <w:rFonts w:eastAsia="Batang"/>
          <w:bCs/>
        </w:rPr>
        <w:t xml:space="preserve">, </w:t>
      </w:r>
      <w:r w:rsidR="00242395">
        <w:rPr>
          <w:rFonts w:eastAsia="Batang"/>
          <w:bCs/>
        </w:rPr>
        <w:t>ARIB</w:t>
      </w:r>
      <w:r>
        <w:rPr>
          <w:rFonts w:eastAsia="Batang"/>
          <w:bCs/>
        </w:rPr>
        <w:t xml:space="preserve">  (Japan), “</w:t>
      </w:r>
      <w:r w:rsidRPr="001E3B19">
        <w:rPr>
          <w:rFonts w:eastAsia="Batang"/>
          <w:bCs/>
        </w:rPr>
        <w:t xml:space="preserve">THz </w:t>
      </w:r>
      <w:proofErr w:type="spellStart"/>
      <w:r w:rsidRPr="001E3B19">
        <w:rPr>
          <w:rFonts w:eastAsia="Batang"/>
          <w:bCs/>
        </w:rPr>
        <w:t>standardisation</w:t>
      </w:r>
      <w:proofErr w:type="spellEnd"/>
      <w:r w:rsidRPr="001E3B19">
        <w:rPr>
          <w:rFonts w:eastAsia="Batang"/>
          <w:bCs/>
        </w:rPr>
        <w:t xml:space="preserve"> activities on ITU-R</w:t>
      </w:r>
      <w:r>
        <w:rPr>
          <w:rFonts w:eastAsia="Batang"/>
          <w:bCs/>
        </w:rPr>
        <w:t>”; (</w:t>
      </w:r>
      <w:r>
        <w:rPr>
          <w:rFonts w:eastAsia="Batang"/>
        </w:rPr>
        <w:t xml:space="preserve">Document </w:t>
      </w:r>
      <w:r w:rsidRPr="00091FBC">
        <w:rPr>
          <w:rFonts w:eastAsia="Batang"/>
          <w:b/>
        </w:rPr>
        <w:t>15-1</w:t>
      </w:r>
      <w:r>
        <w:rPr>
          <w:rFonts w:eastAsia="Batang"/>
          <w:b/>
        </w:rPr>
        <w:t>2</w:t>
      </w:r>
      <w:r w:rsidRPr="00091FBC">
        <w:rPr>
          <w:rFonts w:eastAsia="Batang"/>
          <w:b/>
        </w:rPr>
        <w:t>-0</w:t>
      </w:r>
      <w:r>
        <w:rPr>
          <w:rFonts w:eastAsia="Batang"/>
          <w:b/>
        </w:rPr>
        <w:t>416</w:t>
      </w:r>
      <w:r w:rsidRPr="00091FBC">
        <w:rPr>
          <w:rFonts w:eastAsia="Batang"/>
          <w:b/>
        </w:rPr>
        <w:t>-0</w:t>
      </w:r>
      <w:r>
        <w:rPr>
          <w:rFonts w:eastAsia="Batang"/>
          <w:b/>
        </w:rPr>
        <w:t>0</w:t>
      </w:r>
      <w:r w:rsidRPr="00091FBC">
        <w:rPr>
          <w:rFonts w:eastAsia="Batang"/>
          <w:b/>
        </w:rPr>
        <w:t>-0thz</w:t>
      </w:r>
      <w:r>
        <w:rPr>
          <w:rFonts w:eastAsia="Batang"/>
          <w:bCs/>
        </w:rPr>
        <w:t>)</w:t>
      </w:r>
    </w:p>
    <w:p w:rsidR="001E3B19" w:rsidRDefault="000D342A" w:rsidP="001E3B19">
      <w:pPr>
        <w:widowControl w:val="0"/>
        <w:spacing w:before="120"/>
        <w:rPr>
          <w:rFonts w:eastAsia="Batang"/>
        </w:rPr>
      </w:pPr>
      <w:r w:rsidRPr="000D342A">
        <w:rPr>
          <w:rFonts w:eastAsia="Batang"/>
        </w:rPr>
        <w:t xml:space="preserve">ITU-R WP1A received a proposal of a new Study Question on </w:t>
      </w:r>
      <w:r w:rsidRPr="000D342A">
        <w:rPr>
          <w:rFonts w:eastAsia="Batang"/>
          <w:lang w:val="en-GB"/>
        </w:rPr>
        <w:t>“Technical and operational characteristics of the active services operating in the range 275-1 000 GHz”</w:t>
      </w:r>
      <w:r w:rsidRPr="000D342A">
        <w:rPr>
          <w:rFonts w:eastAsia="Batang"/>
        </w:rPr>
        <w:t>. ITU-R WP5C is developing a new ITU-R Report on “</w:t>
      </w:r>
      <w:r w:rsidRPr="000D342A">
        <w:rPr>
          <w:rFonts w:eastAsia="Batang"/>
          <w:lang w:val="en-GB"/>
        </w:rPr>
        <w:t>Fixed service use and future trends</w:t>
      </w:r>
      <w:r w:rsidRPr="000D342A">
        <w:rPr>
          <w:rFonts w:eastAsia="Batang"/>
        </w:rPr>
        <w:t>”. In addition to introduction of these contribution, THz st</w:t>
      </w:r>
      <w:r w:rsidR="00F97AA3">
        <w:rPr>
          <w:rFonts w:eastAsia="Batang"/>
        </w:rPr>
        <w:t>an</w:t>
      </w:r>
      <w:r w:rsidRPr="000D342A">
        <w:rPr>
          <w:rFonts w:eastAsia="Batang"/>
        </w:rPr>
        <w:t xml:space="preserve">dardization activities within ITU-R </w:t>
      </w:r>
      <w:r w:rsidR="00F97AA3">
        <w:rPr>
          <w:rFonts w:eastAsia="Batang"/>
        </w:rPr>
        <w:t xml:space="preserve">have </w:t>
      </w:r>
      <w:proofErr w:type="gramStart"/>
      <w:r w:rsidR="00F97AA3">
        <w:rPr>
          <w:rFonts w:eastAsia="Batang"/>
        </w:rPr>
        <w:t xml:space="preserve">been </w:t>
      </w:r>
      <w:r w:rsidRPr="000D342A">
        <w:rPr>
          <w:rFonts w:eastAsia="Batang"/>
        </w:rPr>
        <w:t xml:space="preserve"> briefly</w:t>
      </w:r>
      <w:proofErr w:type="gramEnd"/>
      <w:r w:rsidRPr="000D342A">
        <w:rPr>
          <w:rFonts w:eastAsia="Batang"/>
        </w:rPr>
        <w:t xml:space="preserve"> summarized.</w:t>
      </w:r>
      <w:r w:rsidR="001E3B19" w:rsidRPr="00EC32DF">
        <w:rPr>
          <w:rFonts w:eastAsia="Batang"/>
        </w:rPr>
        <w:t xml:space="preserve">. </w:t>
      </w:r>
    </w:p>
    <w:p w:rsidR="001E3B19" w:rsidRDefault="008344D5" w:rsidP="001E3B19">
      <w:pPr>
        <w:widowControl w:val="0"/>
        <w:spacing w:before="120"/>
        <w:rPr>
          <w:rFonts w:eastAsia="Batang"/>
        </w:rPr>
      </w:pPr>
      <w:r>
        <w:rPr>
          <w:rFonts w:eastAsia="Batang"/>
        </w:rPr>
        <w:t>Four</w:t>
      </w:r>
      <w:r w:rsidR="001E3B19">
        <w:rPr>
          <w:rFonts w:eastAsia="Batang"/>
        </w:rPr>
        <w:t xml:space="preserve"> rounds of discussion have been made targeting three topics:</w:t>
      </w:r>
    </w:p>
    <w:p w:rsidR="001E3B19" w:rsidRDefault="001E3B19" w:rsidP="001E3B19">
      <w:pPr>
        <w:pStyle w:val="Listenabsatz"/>
        <w:widowControl w:val="0"/>
        <w:numPr>
          <w:ilvl w:val="0"/>
          <w:numId w:val="14"/>
        </w:numPr>
        <w:spacing w:before="120"/>
        <w:rPr>
          <w:rFonts w:eastAsia="Batang"/>
        </w:rPr>
      </w:pPr>
      <w:r w:rsidRPr="001E3B19">
        <w:rPr>
          <w:rFonts w:eastAsia="Batang"/>
          <w:b/>
        </w:rPr>
        <w:t>Wrap-up of the Tutorial presentation from July 16</w:t>
      </w:r>
      <w:r>
        <w:rPr>
          <w:rFonts w:eastAsia="Batang"/>
        </w:rPr>
        <w:t>:</w:t>
      </w:r>
      <w:r w:rsidR="00F97AA3">
        <w:rPr>
          <w:rFonts w:eastAsia="Batang"/>
        </w:rPr>
        <w:t xml:space="preserve"> The tutorial triggered a discussion on the next steps to be followed by the IG THz and the possible applications on which a Study Group could be </w:t>
      </w:r>
      <w:proofErr w:type="spellStart"/>
      <w:r w:rsidR="00F97AA3">
        <w:rPr>
          <w:rFonts w:eastAsia="Batang"/>
        </w:rPr>
        <w:t>spinned</w:t>
      </w:r>
      <w:proofErr w:type="spellEnd"/>
      <w:r w:rsidR="00F97AA3">
        <w:rPr>
          <w:rFonts w:eastAsia="Batang"/>
        </w:rPr>
        <w:t>-</w:t>
      </w:r>
      <w:proofErr w:type="gramStart"/>
      <w:r w:rsidR="00F97AA3">
        <w:rPr>
          <w:rFonts w:eastAsia="Batang"/>
        </w:rPr>
        <w:t>off  from</w:t>
      </w:r>
      <w:proofErr w:type="gramEnd"/>
      <w:r w:rsidR="00F97AA3">
        <w:rPr>
          <w:rFonts w:eastAsia="Batang"/>
        </w:rPr>
        <w:t xml:space="preserve"> the IG THz. An intensive discussion was held on the concept of </w:t>
      </w:r>
      <w:proofErr w:type="spellStart"/>
      <w:r w:rsidR="00F97AA3">
        <w:rPr>
          <w:rFonts w:eastAsia="Batang"/>
        </w:rPr>
        <w:t>nano</w:t>
      </w:r>
      <w:proofErr w:type="spellEnd"/>
      <w:r w:rsidR="00F97AA3">
        <w:rPr>
          <w:rFonts w:eastAsia="Batang"/>
        </w:rPr>
        <w:t xml:space="preserve">-cells and </w:t>
      </w:r>
      <w:proofErr w:type="gramStart"/>
      <w:r w:rsidR="00F97AA3">
        <w:rPr>
          <w:rFonts w:eastAsia="Batang"/>
        </w:rPr>
        <w:t>backhauling  of</w:t>
      </w:r>
      <w:proofErr w:type="gramEnd"/>
      <w:r w:rsidR="00F97AA3">
        <w:rPr>
          <w:rFonts w:eastAsia="Batang"/>
        </w:rPr>
        <w:t xml:space="preserve"> wireless systems</w:t>
      </w:r>
      <w:r w:rsidR="00457433">
        <w:rPr>
          <w:rFonts w:eastAsia="Batang"/>
        </w:rPr>
        <w:t xml:space="preserve"> </w:t>
      </w:r>
      <w:r w:rsidR="00457433" w:rsidRPr="00457433">
        <w:rPr>
          <w:rFonts w:eastAsia="Batang"/>
        </w:rPr>
        <w:t>and spectrum coexistence requirements with passive services supported by the NSF CORF organization</w:t>
      </w:r>
      <w:r w:rsidR="00F97AA3">
        <w:rPr>
          <w:rFonts w:eastAsia="Batang"/>
        </w:rPr>
        <w:t>.</w:t>
      </w:r>
      <w:r w:rsidR="00770ADF">
        <w:rPr>
          <w:rFonts w:eastAsia="Batang"/>
        </w:rPr>
        <w:t xml:space="preserve"> It was decided to set-up relation with </w:t>
      </w:r>
      <w:proofErr w:type="gramStart"/>
      <w:r w:rsidR="00770ADF">
        <w:rPr>
          <w:rFonts w:eastAsia="Batang"/>
        </w:rPr>
        <w:t>the  IWPC</w:t>
      </w:r>
      <w:proofErr w:type="gramEnd"/>
      <w:r w:rsidR="00770ADF">
        <w:rPr>
          <w:rFonts w:eastAsia="Batang"/>
        </w:rPr>
        <w:t>-</w:t>
      </w:r>
      <w:proofErr w:type="spellStart"/>
      <w:r w:rsidR="00770ADF">
        <w:rPr>
          <w:rFonts w:eastAsia="Batang"/>
        </w:rPr>
        <w:t>MoGIG</w:t>
      </w:r>
      <w:proofErr w:type="spellEnd"/>
      <w:r w:rsidR="00770ADF">
        <w:rPr>
          <w:rFonts w:eastAsia="Batang"/>
        </w:rPr>
        <w:t xml:space="preserve"> WG to increase industry participation.</w:t>
      </w:r>
    </w:p>
    <w:p w:rsidR="008344D5" w:rsidRDefault="008344D5" w:rsidP="001E3B19">
      <w:pPr>
        <w:pStyle w:val="Listenabsatz"/>
        <w:widowControl w:val="0"/>
        <w:numPr>
          <w:ilvl w:val="0"/>
          <w:numId w:val="14"/>
        </w:numPr>
        <w:spacing w:before="120"/>
        <w:rPr>
          <w:rFonts w:eastAsia="Batang"/>
        </w:rPr>
      </w:pPr>
      <w:r>
        <w:rPr>
          <w:rFonts w:eastAsia="Batang"/>
          <w:b/>
        </w:rPr>
        <w:t>Interference Issue with passive service</w:t>
      </w:r>
      <w:r>
        <w:rPr>
          <w:rFonts w:eastAsia="Batang"/>
        </w:rPr>
        <w:t xml:space="preserve">: </w:t>
      </w:r>
      <w:r w:rsidRPr="008344D5">
        <w:rPr>
          <w:rFonts w:eastAsia="Batang"/>
        </w:rPr>
        <w:t>Following</w:t>
      </w:r>
      <w:r>
        <w:rPr>
          <w:rFonts w:eastAsia="Batang"/>
        </w:rPr>
        <w:t xml:space="preserve"> the discussion after presentations #5-7 it was decided to set up an official link to ITU-R through IEEE 802.18. The IG Chair will contact the chair of 802.18 to set up a joint meeting during the November meeting.  It was further considered to invite participants from radio science</w:t>
      </w:r>
      <w:r w:rsidR="00770ADF">
        <w:rPr>
          <w:rFonts w:eastAsia="Batang"/>
        </w:rPr>
        <w:t xml:space="preserve"> (CORF)</w:t>
      </w:r>
      <w:r>
        <w:rPr>
          <w:rFonts w:eastAsia="Batang"/>
        </w:rPr>
        <w:t xml:space="preserve"> to the November meeting</w:t>
      </w:r>
      <w:r w:rsidR="00770ADF">
        <w:rPr>
          <w:rFonts w:eastAsia="Batang"/>
        </w:rPr>
        <w:t xml:space="preserve"> to discuss co-existence methods</w:t>
      </w:r>
      <w:r>
        <w:rPr>
          <w:rFonts w:eastAsia="Batang"/>
        </w:rPr>
        <w:t>.</w:t>
      </w:r>
    </w:p>
    <w:p w:rsidR="001E3B19" w:rsidRDefault="001E3B19" w:rsidP="001E3B19">
      <w:pPr>
        <w:pStyle w:val="Listenabsatz"/>
        <w:widowControl w:val="0"/>
        <w:numPr>
          <w:ilvl w:val="0"/>
          <w:numId w:val="14"/>
        </w:numPr>
        <w:spacing w:before="120"/>
        <w:rPr>
          <w:rFonts w:eastAsia="Batang"/>
        </w:rPr>
      </w:pPr>
      <w:r w:rsidRPr="001E3B19">
        <w:rPr>
          <w:rFonts w:eastAsia="Batang"/>
          <w:b/>
        </w:rPr>
        <w:t>Discussion on the TED</w:t>
      </w:r>
      <w:r>
        <w:rPr>
          <w:rFonts w:eastAsia="Batang"/>
          <w:b/>
        </w:rPr>
        <w:t xml:space="preserve"> (11/745r</w:t>
      </w:r>
      <w:r w:rsidR="008344D5">
        <w:rPr>
          <w:rFonts w:eastAsia="Batang"/>
          <w:b/>
        </w:rPr>
        <w:t>6</w:t>
      </w:r>
      <w:r>
        <w:rPr>
          <w:rFonts w:eastAsia="Batang"/>
          <w:b/>
        </w:rPr>
        <w:t>)</w:t>
      </w:r>
      <w:r>
        <w:rPr>
          <w:rFonts w:eastAsia="Batang"/>
        </w:rPr>
        <w:t xml:space="preserve">: </w:t>
      </w:r>
      <w:r w:rsidR="008344D5">
        <w:rPr>
          <w:rFonts w:eastAsia="Batang"/>
        </w:rPr>
        <w:t>The content of the TED has been updated based on the contributions made in the meeting.</w:t>
      </w:r>
    </w:p>
    <w:p w:rsidR="001E3B19" w:rsidRPr="001E3B19" w:rsidRDefault="001E3B19" w:rsidP="001E3B19">
      <w:pPr>
        <w:pStyle w:val="Listenabsatz"/>
        <w:widowControl w:val="0"/>
        <w:numPr>
          <w:ilvl w:val="0"/>
          <w:numId w:val="14"/>
        </w:numPr>
        <w:spacing w:before="120"/>
        <w:rPr>
          <w:rFonts w:eastAsia="Batang"/>
        </w:rPr>
      </w:pPr>
      <w:r w:rsidRPr="001E3B19">
        <w:rPr>
          <w:rFonts w:eastAsia="Batang"/>
          <w:b/>
        </w:rPr>
        <w:t>Discussion on a possible contribution to IEEE 802.15 WNG during the November Plenary:</w:t>
      </w:r>
      <w:r w:rsidR="00F97AA3">
        <w:rPr>
          <w:rFonts w:eastAsia="Batang"/>
        </w:rPr>
        <w:t xml:space="preserve"> The IG THz chair informed the group that during the AC meeting on Wednesday the chair of WG 15 motivated the IG THz to make a presentation to WNG during the November plenary offering the creati</w:t>
      </w:r>
      <w:r w:rsidR="00B12180">
        <w:rPr>
          <w:rFonts w:eastAsia="Batang"/>
        </w:rPr>
        <w:t>on</w:t>
      </w:r>
      <w:r w:rsidR="00F97AA3">
        <w:rPr>
          <w:rFonts w:eastAsia="Batang"/>
        </w:rPr>
        <w:t xml:space="preserve"> of a study group. </w:t>
      </w:r>
      <w:r w:rsidR="00B12180">
        <w:rPr>
          <w:rFonts w:eastAsia="Batang"/>
        </w:rPr>
        <w:t xml:space="preserve"> The preparation will be</w:t>
      </w:r>
      <w:r w:rsidR="00E557C2">
        <w:rPr>
          <w:rFonts w:eastAsia="Batang"/>
        </w:rPr>
        <w:t xml:space="preserve"> done via the e-mail reflector and phone conferences if necessary.</w:t>
      </w:r>
    </w:p>
    <w:p w:rsidR="002012B0" w:rsidRDefault="002012B0" w:rsidP="00D80C2B">
      <w:pPr>
        <w:widowControl w:val="0"/>
        <w:spacing w:before="120"/>
        <w:rPr>
          <w:rFonts w:eastAsia="Batang"/>
        </w:rPr>
      </w:pPr>
      <w:r>
        <w:rPr>
          <w:rFonts w:eastAsia="Batang"/>
        </w:rPr>
        <w:lastRenderedPageBreak/>
        <w:t xml:space="preserve">The meeting was adjourned </w:t>
      </w:r>
      <w:r w:rsidR="0043071E">
        <w:rPr>
          <w:rFonts w:eastAsia="Batang"/>
        </w:rPr>
        <w:t xml:space="preserve">on </w:t>
      </w:r>
      <w:r w:rsidR="00AE6AD3">
        <w:rPr>
          <w:rFonts w:eastAsia="Batang"/>
        </w:rPr>
        <w:t>1</w:t>
      </w:r>
      <w:r w:rsidR="007D66C0">
        <w:rPr>
          <w:rFonts w:eastAsia="Batang"/>
        </w:rPr>
        <w:t>9</w:t>
      </w:r>
      <w:r w:rsidR="00AE6AD3">
        <w:rPr>
          <w:rFonts w:eastAsia="Batang"/>
        </w:rPr>
        <w:t xml:space="preserve"> </w:t>
      </w:r>
      <w:r w:rsidR="001E3B19">
        <w:rPr>
          <w:rFonts w:eastAsia="Batang"/>
        </w:rPr>
        <w:t>July</w:t>
      </w:r>
      <w:r w:rsidR="00FF5588">
        <w:rPr>
          <w:rFonts w:eastAsia="Batang"/>
        </w:rPr>
        <w:t xml:space="preserve"> a</w:t>
      </w:r>
      <w:r>
        <w:rPr>
          <w:rFonts w:eastAsia="Batang"/>
        </w:rPr>
        <w:t xml:space="preserve">t </w:t>
      </w:r>
      <w:r w:rsidR="00770ADF">
        <w:rPr>
          <w:rFonts w:eastAsia="Batang"/>
        </w:rPr>
        <w:t>5.30</w:t>
      </w:r>
      <w:r>
        <w:rPr>
          <w:rFonts w:eastAsia="Batang"/>
        </w:rPr>
        <w:t xml:space="preserve"> </w:t>
      </w:r>
      <w:r w:rsidR="00B54AF2">
        <w:rPr>
          <w:rFonts w:eastAsia="Batang"/>
        </w:rPr>
        <w:t>p</w:t>
      </w:r>
      <w:r>
        <w:rPr>
          <w:rFonts w:eastAsia="Batang"/>
        </w:rPr>
        <w:t>m.</w:t>
      </w:r>
    </w:p>
    <w:p w:rsidR="00CC17DE" w:rsidRDefault="00CC17DE" w:rsidP="00D80C2B">
      <w:pPr>
        <w:widowControl w:val="0"/>
        <w:spacing w:before="120"/>
        <w:rPr>
          <w:b/>
          <w:u w:val="single"/>
        </w:rPr>
      </w:pPr>
    </w:p>
    <w:p w:rsidR="006E3752" w:rsidRPr="008F5DE6" w:rsidRDefault="00381D4E" w:rsidP="00D80C2B">
      <w:pPr>
        <w:widowControl w:val="0"/>
        <w:spacing w:before="120"/>
        <w:rPr>
          <w:b/>
          <w:u w:val="single"/>
        </w:rPr>
      </w:pPr>
      <w:r w:rsidRPr="008F5DE6">
        <w:rPr>
          <w:b/>
          <w:u w:val="single"/>
        </w:rPr>
        <w:t>Attendees:</w:t>
      </w:r>
    </w:p>
    <w:p w:rsidR="00984B6E" w:rsidRPr="008F5DE6" w:rsidRDefault="00984B6E" w:rsidP="007133FD">
      <w:pPr>
        <w:widowControl w:val="0"/>
        <w:spacing w:before="120"/>
        <w:rPr>
          <w:bCs/>
        </w:rPr>
      </w:pPr>
      <w:r w:rsidRPr="008F5DE6">
        <w:rPr>
          <w:bCs/>
        </w:rPr>
        <w:t>Thomas Kürner, TU Braunschweig</w:t>
      </w:r>
    </w:p>
    <w:p w:rsidR="007D66C0" w:rsidRPr="007D66C0" w:rsidRDefault="007D66C0" w:rsidP="007133FD">
      <w:pPr>
        <w:widowControl w:val="0"/>
        <w:spacing w:before="120"/>
        <w:rPr>
          <w:bCs/>
        </w:rPr>
      </w:pPr>
      <w:r w:rsidRPr="007D66C0">
        <w:rPr>
          <w:bCs/>
        </w:rPr>
        <w:t xml:space="preserve">David </w:t>
      </w:r>
      <w:proofErr w:type="spellStart"/>
      <w:r w:rsidRPr="007D66C0">
        <w:rPr>
          <w:bCs/>
        </w:rPr>
        <w:t>Britz</w:t>
      </w:r>
      <w:proofErr w:type="spellEnd"/>
      <w:r w:rsidRPr="007D66C0">
        <w:rPr>
          <w:bCs/>
        </w:rPr>
        <w:t>, AT&amp;T Shannon Labs</w:t>
      </w:r>
    </w:p>
    <w:p w:rsidR="00314D77" w:rsidRPr="008F5DE6" w:rsidRDefault="00314D77" w:rsidP="00984B6E">
      <w:pPr>
        <w:widowControl w:val="0"/>
        <w:spacing w:before="120"/>
        <w:rPr>
          <w:bCs/>
        </w:rPr>
      </w:pPr>
      <w:r w:rsidRPr="008F5DE6">
        <w:rPr>
          <w:bCs/>
        </w:rPr>
        <w:t xml:space="preserve">Katsuhiro </w:t>
      </w:r>
      <w:proofErr w:type="spellStart"/>
      <w:r w:rsidRPr="008F5DE6">
        <w:rPr>
          <w:bCs/>
        </w:rPr>
        <w:t>Aijto</w:t>
      </w:r>
      <w:proofErr w:type="spellEnd"/>
      <w:r w:rsidRPr="008F5DE6">
        <w:rPr>
          <w:bCs/>
        </w:rPr>
        <w:t>, NTT</w:t>
      </w:r>
      <w:r w:rsidR="008C1D0C" w:rsidRPr="008F5DE6">
        <w:rPr>
          <w:bCs/>
        </w:rPr>
        <w:t xml:space="preserve"> Corp.</w:t>
      </w:r>
    </w:p>
    <w:p w:rsidR="00C90D47" w:rsidRDefault="00C90D47" w:rsidP="00C90D47">
      <w:pPr>
        <w:widowControl w:val="0"/>
        <w:spacing w:before="120"/>
        <w:rPr>
          <w:bCs/>
        </w:rPr>
      </w:pPr>
      <w:proofErr w:type="spellStart"/>
      <w:r>
        <w:rPr>
          <w:bCs/>
        </w:rPr>
        <w:t>Shoichi</w:t>
      </w:r>
      <w:proofErr w:type="spellEnd"/>
      <w:r>
        <w:rPr>
          <w:bCs/>
        </w:rPr>
        <w:t xml:space="preserve"> Kitazawa, ATR Wave Engineering Labs</w:t>
      </w:r>
    </w:p>
    <w:p w:rsidR="004F61E7" w:rsidRDefault="004F61E7" w:rsidP="008C25D1">
      <w:pPr>
        <w:widowControl w:val="0"/>
        <w:spacing w:before="120"/>
        <w:rPr>
          <w:bCs/>
        </w:rPr>
      </w:pPr>
      <w:r>
        <w:rPr>
          <w:bCs/>
        </w:rPr>
        <w:t>Rick Roberts, Intel</w:t>
      </w:r>
    </w:p>
    <w:p w:rsidR="00F66C36" w:rsidRDefault="00944A1D" w:rsidP="008C25D1">
      <w:pPr>
        <w:widowControl w:val="0"/>
        <w:spacing w:before="120"/>
        <w:rPr>
          <w:bCs/>
        </w:rPr>
      </w:pPr>
      <w:r>
        <w:rPr>
          <w:bCs/>
        </w:rPr>
        <w:t>Pascal Lagrange</w:t>
      </w:r>
      <w:r w:rsidR="00EC32DF">
        <w:rPr>
          <w:bCs/>
        </w:rPr>
        <w:t>, Canon Research Centre France</w:t>
      </w:r>
    </w:p>
    <w:p w:rsidR="00564A85" w:rsidRPr="00564A85" w:rsidRDefault="00564A85" w:rsidP="00564A85">
      <w:pPr>
        <w:widowControl w:val="0"/>
        <w:spacing w:before="120"/>
        <w:rPr>
          <w:bCs/>
        </w:rPr>
      </w:pPr>
      <w:r w:rsidRPr="00564A85">
        <w:rPr>
          <w:bCs/>
        </w:rPr>
        <w:t>Akifumi Kasamatsu, NICT</w:t>
      </w:r>
    </w:p>
    <w:p w:rsidR="00564A85" w:rsidRDefault="00564A85" w:rsidP="008C25D1">
      <w:pPr>
        <w:widowControl w:val="0"/>
        <w:spacing w:before="120"/>
        <w:rPr>
          <w:bCs/>
        </w:rPr>
      </w:pPr>
      <w:proofErr w:type="spellStart"/>
      <w:r>
        <w:rPr>
          <w:bCs/>
        </w:rPr>
        <w:t>Iwao</w:t>
      </w:r>
      <w:proofErr w:type="spellEnd"/>
      <w:r>
        <w:rPr>
          <w:bCs/>
        </w:rPr>
        <w:t xml:space="preserve"> </w:t>
      </w:r>
      <w:proofErr w:type="spellStart"/>
      <w:r>
        <w:rPr>
          <w:bCs/>
        </w:rPr>
        <w:t>Hosako</w:t>
      </w:r>
      <w:proofErr w:type="spellEnd"/>
      <w:r>
        <w:rPr>
          <w:bCs/>
        </w:rPr>
        <w:t>, NICT</w:t>
      </w:r>
    </w:p>
    <w:p w:rsidR="00564A85" w:rsidRPr="008F5DE6" w:rsidRDefault="00564A85" w:rsidP="00564A85">
      <w:pPr>
        <w:widowControl w:val="0"/>
        <w:spacing w:before="120"/>
        <w:rPr>
          <w:bCs/>
          <w:lang w:val="de-DE"/>
        </w:rPr>
      </w:pPr>
      <w:r w:rsidRPr="008F5DE6">
        <w:rPr>
          <w:bCs/>
          <w:lang w:val="de-DE"/>
        </w:rPr>
        <w:t>Hiroyo Ogawa, ARIB</w:t>
      </w:r>
    </w:p>
    <w:p w:rsidR="007D66C0" w:rsidRPr="001D3E84" w:rsidRDefault="007D66C0" w:rsidP="007D66C0">
      <w:pPr>
        <w:widowControl w:val="0"/>
        <w:spacing w:before="120"/>
        <w:rPr>
          <w:bCs/>
          <w:lang w:val="de-DE"/>
        </w:rPr>
      </w:pPr>
      <w:r w:rsidRPr="001D3E84">
        <w:rPr>
          <w:bCs/>
          <w:lang w:val="de-DE"/>
        </w:rPr>
        <w:t>Sebastian Priebe, TU Braunschweig</w:t>
      </w:r>
    </w:p>
    <w:p w:rsidR="007D66C0" w:rsidRDefault="007D66C0" w:rsidP="00564A85">
      <w:pPr>
        <w:widowControl w:val="0"/>
        <w:spacing w:before="120"/>
        <w:rPr>
          <w:bCs/>
          <w:lang w:val="de-DE"/>
        </w:rPr>
      </w:pPr>
      <w:r w:rsidRPr="007D66C0">
        <w:rPr>
          <w:bCs/>
          <w:lang w:val="de-DE"/>
        </w:rPr>
        <w:t>Ingmar Kallfass, Fraunhofer IAF</w:t>
      </w:r>
    </w:p>
    <w:p w:rsidR="008F5DE6" w:rsidRDefault="008F5DE6" w:rsidP="00564A85">
      <w:pPr>
        <w:widowControl w:val="0"/>
        <w:spacing w:before="120"/>
        <w:rPr>
          <w:bCs/>
          <w:lang w:val="de-DE"/>
        </w:rPr>
      </w:pPr>
      <w:r>
        <w:rPr>
          <w:bCs/>
          <w:lang w:val="de-DE"/>
        </w:rPr>
        <w:t xml:space="preserve">Jeffrey Hesler, </w:t>
      </w:r>
      <w:r w:rsidR="00944A1D">
        <w:rPr>
          <w:bCs/>
          <w:lang w:val="de-DE"/>
        </w:rPr>
        <w:t>VDI</w:t>
      </w:r>
    </w:p>
    <w:p w:rsidR="00944A1D" w:rsidRPr="00457433" w:rsidRDefault="00944A1D" w:rsidP="00944A1D">
      <w:pPr>
        <w:widowControl w:val="0"/>
        <w:spacing w:before="120"/>
        <w:rPr>
          <w:bCs/>
        </w:rPr>
      </w:pPr>
      <w:r w:rsidRPr="00457433">
        <w:rPr>
          <w:bCs/>
        </w:rPr>
        <w:t xml:space="preserve">Art Astrin, </w:t>
      </w:r>
      <w:proofErr w:type="spellStart"/>
      <w:r w:rsidRPr="00457433">
        <w:rPr>
          <w:bCs/>
        </w:rPr>
        <w:t>Astrinradio</w:t>
      </w:r>
      <w:proofErr w:type="spellEnd"/>
    </w:p>
    <w:p w:rsidR="00944A1D" w:rsidRPr="00944A1D" w:rsidRDefault="00944A1D" w:rsidP="00944A1D">
      <w:pPr>
        <w:widowControl w:val="0"/>
        <w:spacing w:before="120"/>
        <w:rPr>
          <w:bCs/>
        </w:rPr>
      </w:pPr>
      <w:r w:rsidRPr="00944A1D">
        <w:rPr>
          <w:bCs/>
        </w:rPr>
        <w:t xml:space="preserve">Mike McInnis, </w:t>
      </w:r>
      <w:proofErr w:type="gramStart"/>
      <w:r w:rsidRPr="00944A1D">
        <w:rPr>
          <w:bCs/>
        </w:rPr>
        <w:t>The</w:t>
      </w:r>
      <w:proofErr w:type="gramEnd"/>
      <w:r w:rsidRPr="00944A1D">
        <w:rPr>
          <w:bCs/>
        </w:rPr>
        <w:t xml:space="preserve"> Boeing Company</w:t>
      </w:r>
    </w:p>
    <w:p w:rsidR="00944A1D" w:rsidRDefault="00944A1D" w:rsidP="00944A1D">
      <w:pPr>
        <w:widowControl w:val="0"/>
        <w:spacing w:before="120"/>
        <w:rPr>
          <w:bCs/>
        </w:rPr>
      </w:pPr>
      <w:r w:rsidRPr="00944A1D">
        <w:rPr>
          <w:bCs/>
        </w:rPr>
        <w:t xml:space="preserve">Masahiko Kawamura, Kozo </w:t>
      </w:r>
      <w:proofErr w:type="spellStart"/>
      <w:r w:rsidRPr="00944A1D">
        <w:rPr>
          <w:bCs/>
        </w:rPr>
        <w:t>Keikaku</w:t>
      </w:r>
      <w:proofErr w:type="spellEnd"/>
      <w:r w:rsidRPr="00944A1D">
        <w:rPr>
          <w:bCs/>
        </w:rPr>
        <w:t xml:space="preserve"> Engineering Inc.</w:t>
      </w:r>
    </w:p>
    <w:p w:rsidR="00944A1D" w:rsidRDefault="00944A1D" w:rsidP="00944A1D">
      <w:pPr>
        <w:widowControl w:val="0"/>
        <w:spacing w:before="120"/>
        <w:rPr>
          <w:bCs/>
        </w:rPr>
      </w:pPr>
      <w:proofErr w:type="spellStart"/>
      <w:r>
        <w:rPr>
          <w:bCs/>
        </w:rPr>
        <w:t>Kazu</w:t>
      </w:r>
      <w:proofErr w:type="spellEnd"/>
      <w:r>
        <w:rPr>
          <w:bCs/>
        </w:rPr>
        <w:t xml:space="preserve"> Takahashi, Panasonic</w:t>
      </w:r>
    </w:p>
    <w:p w:rsidR="00944A1D" w:rsidRDefault="00944A1D" w:rsidP="00944A1D">
      <w:pPr>
        <w:widowControl w:val="0"/>
        <w:spacing w:before="120"/>
        <w:rPr>
          <w:bCs/>
        </w:rPr>
      </w:pPr>
      <w:r>
        <w:rPr>
          <w:bCs/>
        </w:rPr>
        <w:t>Makoto Ya</w:t>
      </w:r>
      <w:r w:rsidR="00242395">
        <w:rPr>
          <w:bCs/>
        </w:rPr>
        <w:t>i</w:t>
      </w:r>
      <w:r>
        <w:rPr>
          <w:bCs/>
        </w:rPr>
        <w:t xml:space="preserve">ta, NTT </w:t>
      </w:r>
      <w:proofErr w:type="spellStart"/>
      <w:r>
        <w:rPr>
          <w:bCs/>
        </w:rPr>
        <w:t>Microsystem</w:t>
      </w:r>
      <w:proofErr w:type="spellEnd"/>
      <w:r>
        <w:rPr>
          <w:bCs/>
        </w:rPr>
        <w:t xml:space="preserve"> </w:t>
      </w:r>
      <w:proofErr w:type="spellStart"/>
      <w:r>
        <w:rPr>
          <w:bCs/>
        </w:rPr>
        <w:t>Integartion</w:t>
      </w:r>
      <w:proofErr w:type="spellEnd"/>
      <w:r>
        <w:rPr>
          <w:bCs/>
        </w:rPr>
        <w:t xml:space="preserve"> Labs</w:t>
      </w:r>
    </w:p>
    <w:p w:rsidR="00944A1D" w:rsidRDefault="00944A1D" w:rsidP="00944A1D">
      <w:pPr>
        <w:widowControl w:val="0"/>
        <w:spacing w:before="120"/>
        <w:rPr>
          <w:bCs/>
        </w:rPr>
      </w:pPr>
      <w:r>
        <w:rPr>
          <w:bCs/>
        </w:rPr>
        <w:t xml:space="preserve">Bin </w:t>
      </w:r>
      <w:proofErr w:type="spellStart"/>
      <w:r>
        <w:rPr>
          <w:bCs/>
        </w:rPr>
        <w:t>Shen</w:t>
      </w:r>
      <w:proofErr w:type="spellEnd"/>
      <w:r>
        <w:rPr>
          <w:bCs/>
        </w:rPr>
        <w:t xml:space="preserve">, </w:t>
      </w:r>
      <w:proofErr w:type="spellStart"/>
      <w:r>
        <w:rPr>
          <w:bCs/>
        </w:rPr>
        <w:t>Huawei</w:t>
      </w:r>
      <w:proofErr w:type="spellEnd"/>
    </w:p>
    <w:p w:rsidR="00944A1D" w:rsidRDefault="00944A1D" w:rsidP="00944A1D">
      <w:pPr>
        <w:widowControl w:val="0"/>
        <w:spacing w:before="120"/>
        <w:rPr>
          <w:bCs/>
        </w:rPr>
      </w:pPr>
      <w:proofErr w:type="spellStart"/>
      <w:r>
        <w:rPr>
          <w:bCs/>
        </w:rPr>
        <w:t>NavaratLertsirisopon</w:t>
      </w:r>
      <w:proofErr w:type="spellEnd"/>
      <w:r w:rsidRPr="00944A1D">
        <w:rPr>
          <w:bCs/>
        </w:rPr>
        <w:t xml:space="preserve">, Kozo </w:t>
      </w:r>
      <w:proofErr w:type="spellStart"/>
      <w:r w:rsidRPr="00944A1D">
        <w:rPr>
          <w:bCs/>
        </w:rPr>
        <w:t>Keikaku</w:t>
      </w:r>
      <w:proofErr w:type="spellEnd"/>
      <w:r w:rsidRPr="00944A1D">
        <w:rPr>
          <w:bCs/>
        </w:rPr>
        <w:t xml:space="preserve"> Engineering Inc.</w:t>
      </w:r>
    </w:p>
    <w:p w:rsidR="00944A1D" w:rsidRDefault="00944A1D" w:rsidP="00944A1D">
      <w:pPr>
        <w:widowControl w:val="0"/>
        <w:spacing w:before="120"/>
        <w:rPr>
          <w:bCs/>
        </w:rPr>
      </w:pPr>
      <w:r>
        <w:rPr>
          <w:bCs/>
        </w:rPr>
        <w:t xml:space="preserve">André </w:t>
      </w:r>
      <w:proofErr w:type="spellStart"/>
      <w:r>
        <w:rPr>
          <w:bCs/>
        </w:rPr>
        <w:t>Bourdoux</w:t>
      </w:r>
      <w:proofErr w:type="spellEnd"/>
      <w:r>
        <w:rPr>
          <w:bCs/>
        </w:rPr>
        <w:t>, IMEC</w:t>
      </w:r>
    </w:p>
    <w:p w:rsidR="00944A1D" w:rsidRDefault="00944A1D" w:rsidP="00944A1D">
      <w:pPr>
        <w:widowControl w:val="0"/>
        <w:spacing w:before="120"/>
        <w:rPr>
          <w:bCs/>
        </w:rPr>
      </w:pPr>
      <w:proofErr w:type="spellStart"/>
      <w:r>
        <w:rPr>
          <w:bCs/>
        </w:rPr>
        <w:t>Ji-Woong</w:t>
      </w:r>
      <w:proofErr w:type="spellEnd"/>
      <w:r>
        <w:rPr>
          <w:bCs/>
        </w:rPr>
        <w:t xml:space="preserve"> </w:t>
      </w:r>
      <w:proofErr w:type="spellStart"/>
      <w:r>
        <w:rPr>
          <w:bCs/>
        </w:rPr>
        <w:t>Choi</w:t>
      </w:r>
      <w:proofErr w:type="spellEnd"/>
      <w:r>
        <w:rPr>
          <w:bCs/>
        </w:rPr>
        <w:t>, DGIST</w:t>
      </w:r>
    </w:p>
    <w:p w:rsidR="00944A1D" w:rsidRDefault="00944A1D" w:rsidP="00944A1D">
      <w:pPr>
        <w:widowControl w:val="0"/>
        <w:spacing w:before="120"/>
        <w:rPr>
          <w:bCs/>
        </w:rPr>
      </w:pPr>
      <w:r>
        <w:rPr>
          <w:bCs/>
        </w:rPr>
        <w:t xml:space="preserve">Krishna </w:t>
      </w:r>
      <w:proofErr w:type="spellStart"/>
      <w:r>
        <w:rPr>
          <w:bCs/>
        </w:rPr>
        <w:t>Sayana</w:t>
      </w:r>
      <w:proofErr w:type="spellEnd"/>
      <w:r>
        <w:rPr>
          <w:bCs/>
        </w:rPr>
        <w:t>, Samsung</w:t>
      </w:r>
    </w:p>
    <w:p w:rsidR="00944A1D" w:rsidRDefault="00944A1D" w:rsidP="00944A1D">
      <w:pPr>
        <w:widowControl w:val="0"/>
        <w:spacing w:before="120"/>
        <w:rPr>
          <w:bCs/>
        </w:rPr>
      </w:pPr>
      <w:r>
        <w:rPr>
          <w:bCs/>
        </w:rPr>
        <w:t>Yoshihiro OBA, Toshiba</w:t>
      </w:r>
    </w:p>
    <w:p w:rsidR="00944A1D" w:rsidRDefault="00944A1D" w:rsidP="00944A1D">
      <w:pPr>
        <w:widowControl w:val="0"/>
        <w:spacing w:before="120"/>
        <w:rPr>
          <w:bCs/>
        </w:rPr>
      </w:pPr>
      <w:r>
        <w:rPr>
          <w:bCs/>
        </w:rPr>
        <w:t xml:space="preserve">Stephen </w:t>
      </w:r>
      <w:proofErr w:type="spellStart"/>
      <w:r>
        <w:rPr>
          <w:bCs/>
        </w:rPr>
        <w:t>Chasko</w:t>
      </w:r>
      <w:proofErr w:type="spellEnd"/>
      <w:r>
        <w:rPr>
          <w:bCs/>
        </w:rPr>
        <w:t xml:space="preserve">, </w:t>
      </w:r>
      <w:proofErr w:type="spellStart"/>
      <w:r>
        <w:rPr>
          <w:bCs/>
        </w:rPr>
        <w:t>Landist</w:t>
      </w:r>
      <w:proofErr w:type="spellEnd"/>
      <w:r>
        <w:rPr>
          <w:bCs/>
        </w:rPr>
        <w:t xml:space="preserve"> </w:t>
      </w:r>
      <w:proofErr w:type="spellStart"/>
      <w:r>
        <w:rPr>
          <w:bCs/>
        </w:rPr>
        <w:t>Gyr</w:t>
      </w:r>
      <w:proofErr w:type="spellEnd"/>
    </w:p>
    <w:p w:rsidR="00247EDD" w:rsidRDefault="00247EDD" w:rsidP="00944A1D">
      <w:pPr>
        <w:widowControl w:val="0"/>
        <w:spacing w:before="120"/>
        <w:rPr>
          <w:bCs/>
        </w:rPr>
      </w:pPr>
      <w:r>
        <w:rPr>
          <w:bCs/>
        </w:rPr>
        <w:t xml:space="preserve">Nobuhiko </w:t>
      </w:r>
      <w:proofErr w:type="spellStart"/>
      <w:r>
        <w:rPr>
          <w:bCs/>
        </w:rPr>
        <w:t>Shibagaki</w:t>
      </w:r>
      <w:proofErr w:type="spellEnd"/>
      <w:r>
        <w:rPr>
          <w:bCs/>
        </w:rPr>
        <w:t>, Hitachi</w:t>
      </w:r>
    </w:p>
    <w:p w:rsidR="00247EDD" w:rsidRPr="00944A1D" w:rsidRDefault="00247EDD" w:rsidP="00944A1D">
      <w:pPr>
        <w:widowControl w:val="0"/>
        <w:spacing w:before="120"/>
        <w:rPr>
          <w:bCs/>
        </w:rPr>
      </w:pPr>
      <w:r>
        <w:rPr>
          <w:bCs/>
        </w:rPr>
        <w:t xml:space="preserve">Satoshi </w:t>
      </w:r>
      <w:proofErr w:type="spellStart"/>
      <w:r>
        <w:rPr>
          <w:bCs/>
        </w:rPr>
        <w:t>Oyama</w:t>
      </w:r>
      <w:proofErr w:type="spellEnd"/>
      <w:r>
        <w:rPr>
          <w:bCs/>
        </w:rPr>
        <w:t>, ARIB</w:t>
      </w:r>
    </w:p>
    <w:p w:rsidR="00944A1D" w:rsidRPr="00944A1D" w:rsidRDefault="00944A1D" w:rsidP="00564A85">
      <w:pPr>
        <w:widowControl w:val="0"/>
        <w:spacing w:before="120"/>
        <w:rPr>
          <w:bCs/>
        </w:rPr>
      </w:pPr>
    </w:p>
    <w:p w:rsidR="007D66C0" w:rsidRPr="00944A1D" w:rsidRDefault="007D66C0" w:rsidP="00564A85">
      <w:pPr>
        <w:widowControl w:val="0"/>
        <w:spacing w:before="120"/>
        <w:rPr>
          <w:bCs/>
        </w:rPr>
      </w:pPr>
    </w:p>
    <w:p w:rsidR="007D66C0" w:rsidRPr="00944A1D" w:rsidRDefault="007D66C0" w:rsidP="00564A85">
      <w:pPr>
        <w:widowControl w:val="0"/>
        <w:spacing w:before="120"/>
        <w:rPr>
          <w:bCs/>
        </w:rPr>
      </w:pPr>
    </w:p>
    <w:p w:rsidR="007D66C0" w:rsidRPr="00944A1D" w:rsidRDefault="007D66C0" w:rsidP="00564A85">
      <w:pPr>
        <w:widowControl w:val="0"/>
        <w:spacing w:before="120"/>
        <w:rPr>
          <w:bCs/>
        </w:rPr>
      </w:pPr>
    </w:p>
    <w:p w:rsidR="001D3E84" w:rsidRPr="00944A1D" w:rsidRDefault="001D3E84" w:rsidP="008C25D1">
      <w:pPr>
        <w:widowControl w:val="0"/>
        <w:spacing w:before="120"/>
        <w:rPr>
          <w:bCs/>
        </w:rPr>
      </w:pPr>
    </w:p>
    <w:sectPr w:rsidR="001D3E84" w:rsidRPr="00944A1D" w:rsidSect="00FB4848">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C6B" w:rsidRDefault="00621C6B">
      <w:r>
        <w:separator/>
      </w:r>
    </w:p>
  </w:endnote>
  <w:endnote w:type="continuationSeparator" w:id="0">
    <w:p w:rsidR="00621C6B" w:rsidRDefault="00621C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06F" w:rsidRDefault="0094006F" w:rsidP="00936D85">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w:t>
    </w:r>
    <w:r w:rsidR="00A06534">
      <w:t>Thomas Kürner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06F" w:rsidRDefault="0094006F">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C6B" w:rsidRDefault="00621C6B">
      <w:r>
        <w:separator/>
      </w:r>
    </w:p>
  </w:footnote>
  <w:footnote w:type="continuationSeparator" w:id="0">
    <w:p w:rsidR="00621C6B" w:rsidRDefault="00621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06F" w:rsidRDefault="00A52D66"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94006F">
      <w:rPr>
        <w:b/>
        <w:sz w:val="28"/>
      </w:rPr>
      <w:instrText xml:space="preserve"> SAVEDATE \@ "MMMM, yyyy" \* MERGEFORMAT </w:instrText>
    </w:r>
    <w:r>
      <w:rPr>
        <w:b/>
        <w:sz w:val="28"/>
      </w:rPr>
      <w:fldChar w:fldCharType="separate"/>
    </w:r>
    <w:r w:rsidR="00881B17">
      <w:rPr>
        <w:b/>
        <w:noProof/>
        <w:sz w:val="28"/>
      </w:rPr>
      <w:t>July, 2012</w:t>
    </w:r>
    <w:r>
      <w:rPr>
        <w:b/>
        <w:sz w:val="28"/>
      </w:rPr>
      <w:fldChar w:fldCharType="end"/>
    </w:r>
    <w:r w:rsidR="0094006F">
      <w:rPr>
        <w:b/>
        <w:sz w:val="28"/>
      </w:rPr>
      <w:tab/>
      <w:t xml:space="preserve"> IEEE P802.</w:t>
    </w:r>
    <w:r w:rsidR="00D1004F">
      <w:rPr>
        <w:b/>
        <w:sz w:val="28"/>
      </w:rPr>
      <w:t>15-12-0</w:t>
    </w:r>
    <w:r w:rsidR="001E3B19">
      <w:rPr>
        <w:b/>
        <w:sz w:val="28"/>
      </w:rPr>
      <w:t>417-</w:t>
    </w:r>
    <w:r w:rsidR="00D1004F">
      <w:rPr>
        <w:b/>
        <w:sz w:val="28"/>
      </w:rPr>
      <w:t>0</w:t>
    </w:r>
    <w:r w:rsidR="00457433">
      <w:rPr>
        <w:b/>
        <w:sz w:val="28"/>
      </w:rPr>
      <w:t>1</w:t>
    </w:r>
    <w:r w:rsidR="00D1004F">
      <w:rPr>
        <w:b/>
        <w:sz w:val="28"/>
      </w:rPr>
      <w:t>-0thz</w:t>
    </w:r>
    <w:r w:rsidR="00774E2D">
      <w:rPr>
        <w:b/>
        <w:sz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06F" w:rsidRDefault="0094006F">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25pt;height:12.25pt;visibility:visible;mso-wrap-style:square" o:bullet="t">
        <v:imagedata r:id="rId1" o:title=""/>
      </v:shape>
    </w:pict>
  </w:numPicBullet>
  <w:abstractNum w:abstractNumId="0">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2">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6"/>
  </w:num>
  <w:num w:numId="3">
    <w:abstractNumId w:val="2"/>
  </w:num>
  <w:num w:numId="4">
    <w:abstractNumId w:val="9"/>
  </w:num>
  <w:num w:numId="5">
    <w:abstractNumId w:val="4"/>
  </w:num>
  <w:num w:numId="6">
    <w:abstractNumId w:val="3"/>
  </w:num>
  <w:num w:numId="7">
    <w:abstractNumId w:val="8"/>
  </w:num>
  <w:num w:numId="8">
    <w:abstractNumId w:val="0"/>
  </w:num>
  <w:num w:numId="9">
    <w:abstractNumId w:val="7"/>
  </w:num>
  <w:num w:numId="10">
    <w:abstractNumId w:val="5"/>
  </w:num>
  <w:num w:numId="11">
    <w:abstractNumId w:val="10"/>
  </w:num>
  <w:num w:numId="12">
    <w:abstractNumId w:val="1"/>
  </w:num>
  <w:num w:numId="13">
    <w:abstractNumId w:val="1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D80C2B"/>
    <w:rsid w:val="0001197D"/>
    <w:rsid w:val="0008657F"/>
    <w:rsid w:val="00091FBC"/>
    <w:rsid w:val="000D2510"/>
    <w:rsid w:val="000D342A"/>
    <w:rsid w:val="000F0DE0"/>
    <w:rsid w:val="000F5F64"/>
    <w:rsid w:val="001150D6"/>
    <w:rsid w:val="0013040B"/>
    <w:rsid w:val="00144F51"/>
    <w:rsid w:val="001549CB"/>
    <w:rsid w:val="00155509"/>
    <w:rsid w:val="0016195C"/>
    <w:rsid w:val="0016760C"/>
    <w:rsid w:val="001A2997"/>
    <w:rsid w:val="001A3D9D"/>
    <w:rsid w:val="001B7175"/>
    <w:rsid w:val="001C0FA9"/>
    <w:rsid w:val="001C2682"/>
    <w:rsid w:val="001D3E84"/>
    <w:rsid w:val="001E3B19"/>
    <w:rsid w:val="002012B0"/>
    <w:rsid w:val="00220C26"/>
    <w:rsid w:val="0022299D"/>
    <w:rsid w:val="00242395"/>
    <w:rsid w:val="00247EDD"/>
    <w:rsid w:val="002656CF"/>
    <w:rsid w:val="00265C41"/>
    <w:rsid w:val="00266F0C"/>
    <w:rsid w:val="00287273"/>
    <w:rsid w:val="002903DF"/>
    <w:rsid w:val="00294B47"/>
    <w:rsid w:val="002E14EE"/>
    <w:rsid w:val="002F51F2"/>
    <w:rsid w:val="00304E3A"/>
    <w:rsid w:val="00314D77"/>
    <w:rsid w:val="00316372"/>
    <w:rsid w:val="003514CD"/>
    <w:rsid w:val="00372741"/>
    <w:rsid w:val="00377E29"/>
    <w:rsid w:val="00381D4E"/>
    <w:rsid w:val="003B2EFF"/>
    <w:rsid w:val="003B5B56"/>
    <w:rsid w:val="003C0818"/>
    <w:rsid w:val="003E7C12"/>
    <w:rsid w:val="003F51FF"/>
    <w:rsid w:val="0043071E"/>
    <w:rsid w:val="0045438F"/>
    <w:rsid w:val="00457433"/>
    <w:rsid w:val="00490865"/>
    <w:rsid w:val="0049367D"/>
    <w:rsid w:val="00496E80"/>
    <w:rsid w:val="004A6428"/>
    <w:rsid w:val="004F61E7"/>
    <w:rsid w:val="004F61F9"/>
    <w:rsid w:val="00530322"/>
    <w:rsid w:val="00530EA3"/>
    <w:rsid w:val="005365B2"/>
    <w:rsid w:val="00564A85"/>
    <w:rsid w:val="0056764D"/>
    <w:rsid w:val="00567FDF"/>
    <w:rsid w:val="0057137C"/>
    <w:rsid w:val="0057210C"/>
    <w:rsid w:val="00584E68"/>
    <w:rsid w:val="00591F1F"/>
    <w:rsid w:val="005A15B4"/>
    <w:rsid w:val="005A2ED5"/>
    <w:rsid w:val="005A4700"/>
    <w:rsid w:val="005A5D89"/>
    <w:rsid w:val="005A6C1F"/>
    <w:rsid w:val="005C0BE3"/>
    <w:rsid w:val="005C39A5"/>
    <w:rsid w:val="005D77C2"/>
    <w:rsid w:val="0060744F"/>
    <w:rsid w:val="00616C4C"/>
    <w:rsid w:val="00621C6B"/>
    <w:rsid w:val="00633B06"/>
    <w:rsid w:val="00675D71"/>
    <w:rsid w:val="00682806"/>
    <w:rsid w:val="00682904"/>
    <w:rsid w:val="006C0A89"/>
    <w:rsid w:val="006E2B93"/>
    <w:rsid w:val="006E3752"/>
    <w:rsid w:val="00712651"/>
    <w:rsid w:val="00712C4C"/>
    <w:rsid w:val="007133FD"/>
    <w:rsid w:val="00715FE1"/>
    <w:rsid w:val="0073524E"/>
    <w:rsid w:val="00745784"/>
    <w:rsid w:val="00770ADF"/>
    <w:rsid w:val="00774E2D"/>
    <w:rsid w:val="00780BCF"/>
    <w:rsid w:val="00790A00"/>
    <w:rsid w:val="00794FFC"/>
    <w:rsid w:val="007A7235"/>
    <w:rsid w:val="007A74E0"/>
    <w:rsid w:val="007C62F4"/>
    <w:rsid w:val="007D0D50"/>
    <w:rsid w:val="007D66C0"/>
    <w:rsid w:val="007E436C"/>
    <w:rsid w:val="007F2BED"/>
    <w:rsid w:val="0080197C"/>
    <w:rsid w:val="00820351"/>
    <w:rsid w:val="00830C9D"/>
    <w:rsid w:val="008344D5"/>
    <w:rsid w:val="0084427E"/>
    <w:rsid w:val="008532FC"/>
    <w:rsid w:val="00877AD1"/>
    <w:rsid w:val="00881B17"/>
    <w:rsid w:val="00887C34"/>
    <w:rsid w:val="008C1D0C"/>
    <w:rsid w:val="008C25D1"/>
    <w:rsid w:val="008F0DF9"/>
    <w:rsid w:val="008F5DE6"/>
    <w:rsid w:val="00911AFC"/>
    <w:rsid w:val="009121B1"/>
    <w:rsid w:val="00933E5E"/>
    <w:rsid w:val="00936D85"/>
    <w:rsid w:val="0094006F"/>
    <w:rsid w:val="00941669"/>
    <w:rsid w:val="00944A1D"/>
    <w:rsid w:val="00955DB7"/>
    <w:rsid w:val="009646E5"/>
    <w:rsid w:val="00964A61"/>
    <w:rsid w:val="00984B6E"/>
    <w:rsid w:val="009C2367"/>
    <w:rsid w:val="009C33C2"/>
    <w:rsid w:val="009F30F2"/>
    <w:rsid w:val="009F4C7C"/>
    <w:rsid w:val="009F753F"/>
    <w:rsid w:val="00A010EA"/>
    <w:rsid w:val="00A06534"/>
    <w:rsid w:val="00A076ED"/>
    <w:rsid w:val="00A34F79"/>
    <w:rsid w:val="00A3634E"/>
    <w:rsid w:val="00A4420F"/>
    <w:rsid w:val="00A52D66"/>
    <w:rsid w:val="00A5617F"/>
    <w:rsid w:val="00A629D9"/>
    <w:rsid w:val="00A62CF5"/>
    <w:rsid w:val="00A6611C"/>
    <w:rsid w:val="00AA0658"/>
    <w:rsid w:val="00AB2D65"/>
    <w:rsid w:val="00AE6AD3"/>
    <w:rsid w:val="00B11A30"/>
    <w:rsid w:val="00B12180"/>
    <w:rsid w:val="00B12A6A"/>
    <w:rsid w:val="00B311E3"/>
    <w:rsid w:val="00B407F8"/>
    <w:rsid w:val="00B4518C"/>
    <w:rsid w:val="00B54AF2"/>
    <w:rsid w:val="00B641E5"/>
    <w:rsid w:val="00B91487"/>
    <w:rsid w:val="00BB2206"/>
    <w:rsid w:val="00BB24A9"/>
    <w:rsid w:val="00BB2D83"/>
    <w:rsid w:val="00BC1131"/>
    <w:rsid w:val="00BC3F6B"/>
    <w:rsid w:val="00BD5681"/>
    <w:rsid w:val="00BE15D0"/>
    <w:rsid w:val="00BF3E97"/>
    <w:rsid w:val="00C153E6"/>
    <w:rsid w:val="00C21861"/>
    <w:rsid w:val="00C42B16"/>
    <w:rsid w:val="00C45146"/>
    <w:rsid w:val="00C462C9"/>
    <w:rsid w:val="00C5160E"/>
    <w:rsid w:val="00C56ED5"/>
    <w:rsid w:val="00C63F0E"/>
    <w:rsid w:val="00C90D47"/>
    <w:rsid w:val="00C920E5"/>
    <w:rsid w:val="00CC17DE"/>
    <w:rsid w:val="00CD079B"/>
    <w:rsid w:val="00D1004F"/>
    <w:rsid w:val="00D149FD"/>
    <w:rsid w:val="00D165A5"/>
    <w:rsid w:val="00D27476"/>
    <w:rsid w:val="00D508AC"/>
    <w:rsid w:val="00D530BB"/>
    <w:rsid w:val="00D61205"/>
    <w:rsid w:val="00D6556D"/>
    <w:rsid w:val="00D80C2B"/>
    <w:rsid w:val="00DA007D"/>
    <w:rsid w:val="00DA68F1"/>
    <w:rsid w:val="00DC2530"/>
    <w:rsid w:val="00DD2090"/>
    <w:rsid w:val="00DF2B2C"/>
    <w:rsid w:val="00E0232B"/>
    <w:rsid w:val="00E1082A"/>
    <w:rsid w:val="00E2705D"/>
    <w:rsid w:val="00E41A1F"/>
    <w:rsid w:val="00E557C2"/>
    <w:rsid w:val="00E74E40"/>
    <w:rsid w:val="00E92E92"/>
    <w:rsid w:val="00EA6AA0"/>
    <w:rsid w:val="00EC32DF"/>
    <w:rsid w:val="00ED1866"/>
    <w:rsid w:val="00ED25CB"/>
    <w:rsid w:val="00EE5783"/>
    <w:rsid w:val="00EF01F6"/>
    <w:rsid w:val="00F66C36"/>
    <w:rsid w:val="00F97AA3"/>
    <w:rsid w:val="00FB4848"/>
    <w:rsid w:val="00FF0C5C"/>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s>
</file>

<file path=word/webSettings.xml><?xml version="1.0" encoding="utf-8"?>
<w:webSettings xmlns:r="http://schemas.openxmlformats.org/officeDocument/2006/relationships" xmlns:w="http://schemas.openxmlformats.org/wordprocessingml/2006/main">
  <w:divs>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Template>
  <TotalTime>0</TotalTime>
  <Pages>5</Pages>
  <Words>1063</Words>
  <Characters>6699</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THz IG Nov 2009 Minutes</vt:lpstr>
      <vt:lpstr>THz IG Nov 2009 Minutes</vt:lpstr>
    </vt:vector>
  </TitlesOfParts>
  <Company>Intel</Company>
  <LinksUpToDate>false</LinksUpToDate>
  <CharactersWithSpaces>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THz IG Nov 2009 Minutes</dc:title>
  <dc:creator>Richard D Roberts</dc:creator>
  <dc:description>&lt;street address&gt;_x000d_
TELEPHONE: &lt;phone#&gt;_x000d_
FAX: &lt;fax#&gt;_x000d_
EMAIL: &lt;email&gt;</dc:description>
  <cp:lastModifiedBy>Thomas Kürner</cp:lastModifiedBy>
  <cp:revision>3</cp:revision>
  <cp:lastPrinted>2012-04-16T11:57:00Z</cp:lastPrinted>
  <dcterms:created xsi:type="dcterms:W3CDTF">2012-11-07T09:57:00Z</dcterms:created>
  <dcterms:modified xsi:type="dcterms:W3CDTF">2012-11-07T10:01:00Z</dcterms:modified>
  <cp:category>15-09-0792-00-0thz</cp:category>
</cp:coreProperties>
</file>