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744D02"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09744A" w:rsidP="001E3524">
            <w:r>
              <w:rPr>
                <w:lang w:eastAsia="ko-KR"/>
              </w:rPr>
              <w:t>March</w:t>
            </w:r>
            <w:r w:rsidR="002E099A">
              <w:t xml:space="preserve"> </w:t>
            </w:r>
            <w:r w:rsidR="009E18A0">
              <w:rPr>
                <w:lang w:eastAsia="ko-KR"/>
              </w:rPr>
              <w:t>14</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r w:rsidR="009A6ECC">
              <w:rPr>
                <w:rFonts w:ascii="Times New Roman" w:hAnsi="Times New Roman" w:cs="Times New Roman"/>
                <w:sz w:val="22"/>
                <w:szCs w:val="22"/>
              </w:rPr>
              <w:t xml:space="preserve">, Nancy </w:t>
            </w:r>
            <w:proofErr w:type="spellStart"/>
            <w:r w:rsidR="009A6ECC">
              <w:rPr>
                <w:rFonts w:ascii="Times New Roman" w:hAnsi="Times New Roman" w:cs="Times New Roman"/>
                <w:sz w:val="22"/>
                <w:szCs w:val="22"/>
              </w:rPr>
              <w:t>Bravin</w:t>
            </w:r>
            <w:proofErr w:type="spellEnd"/>
            <w:r w:rsidR="009A6ECC">
              <w:rPr>
                <w:rFonts w:ascii="Times New Roman" w:hAnsi="Times New Roman" w:cs="Times New Roman"/>
                <w:sz w:val="22"/>
                <w:szCs w:val="22"/>
              </w:rPr>
              <w:t xml:space="preserve"> [Self]</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353D5A" w:rsidRDefault="00C55118" w:rsidP="000B4496">
      <w:pPr>
        <w:jc w:val="center"/>
        <w:rPr>
          <w:b/>
          <w:sz w:val="28"/>
          <w:szCs w:val="28"/>
          <w:lang w:eastAsia="ko-KR"/>
        </w:rPr>
      </w:pPr>
      <w:r>
        <w:br w:type="page"/>
      </w:r>
      <w:r w:rsidR="00762461" w:rsidRPr="00353D5A">
        <w:rPr>
          <w:b/>
          <w:sz w:val="28"/>
          <w:szCs w:val="28"/>
        </w:rPr>
        <w:lastRenderedPageBreak/>
        <w:t xml:space="preserve">Table of </w:t>
      </w:r>
      <w:r w:rsidR="000B4496" w:rsidRPr="00353D5A">
        <w:rPr>
          <w:b/>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proofErr w:type="spellStart"/>
      <w:r w:rsidRPr="00BC65CB">
        <w:rPr>
          <w:rStyle w:val="st1"/>
          <w:bCs/>
          <w:color w:val="000000"/>
        </w:rPr>
        <w:t>Groupe</w:t>
      </w:r>
      <w:proofErr w:type="spellEnd"/>
      <w:r w:rsidRPr="00BC65CB">
        <w:rPr>
          <w:rStyle w:val="st1"/>
          <w:bCs/>
          <w:color w:val="000000"/>
        </w:rPr>
        <w:t xml:space="preserve"> </w:t>
      </w:r>
      <w:proofErr w:type="spellStart"/>
      <w:r w:rsidRPr="00BC65CB">
        <w:rPr>
          <w:rStyle w:val="st1"/>
          <w:bCs/>
          <w:color w:val="000000"/>
        </w:rPr>
        <w:t>Spécial</w:t>
      </w:r>
      <w:proofErr w:type="spellEnd"/>
      <w:r w:rsidRPr="00BC65CB">
        <w:rPr>
          <w:rStyle w:val="st1"/>
          <w:bCs/>
          <w:color w:val="000000"/>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BC3AB4">
              <w:rPr>
                <w:rFonts w:ascii="Times New Roman" w:eastAsia="MS Mincho" w:hAnsi="Times New Roman" w:cs="Times New Roman"/>
                <w:b/>
                <w:lang w:eastAsia="ja-JP"/>
              </w:rPr>
              <w:t>(</w:t>
            </w:r>
            <w:proofErr w:type="spellStart"/>
            <w:r w:rsidR="00BC3AB4">
              <w:rPr>
                <w:rFonts w:ascii="Times New Roman" w:eastAsia="MS Mincho" w:hAnsi="Times New Roman" w:cs="Times New Roman"/>
                <w:b/>
                <w:lang w:eastAsia="ja-JP"/>
              </w:rPr>
              <w:t>Ofcom</w:t>
            </w:r>
            <w:proofErr w:type="spellEnd"/>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DE3207" w:rsidRPr="005D767D" w:rsidRDefault="00DE3207" w:rsidP="00DE3207">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w:t>
      </w:r>
      <w:proofErr w:type="spellStart"/>
      <w:r w:rsidRPr="005D767D">
        <w:t>Ofcom</w:t>
      </w:r>
      <w:proofErr w:type="spellEnd"/>
      <w:r w:rsidRPr="005D767D">
        <w:t xml:space="preserve"> in the U. K., and Industry Canada in Canada. Based on the rules from the FCC (refer to </w:t>
      </w:r>
      <w:r w:rsidRPr="005D767D">
        <w:rPr>
          <w:rFonts w:asciiTheme="minorHAnsi" w:eastAsiaTheme="minorEastAsia" w:hAnsiTheme="minorHAnsi" w:cstheme="minorBidi"/>
          <w:bCs/>
          <w:szCs w:val="22"/>
        </w:rPr>
        <w:t xml:space="preserve">FCC 10-174, Second Memorandum Opinion and Order, </w:t>
      </w:r>
      <w:r w:rsidRPr="005D767D">
        <w:rPr>
          <w:bCs/>
        </w:rPr>
        <w:t>September</w:t>
      </w:r>
      <w:r w:rsidRPr="005D767D">
        <w:rPr>
          <w:rFonts w:asciiTheme="minorHAnsi" w:eastAsiaTheme="minorEastAsia" w:hAnsiTheme="minorHAnsi" w:cstheme="minorBidi"/>
          <w:bCs/>
          <w:szCs w:val="22"/>
        </w:rPr>
        <w:t xml:space="preserve"> 2010</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DE3207">
      <w:pPr>
        <w:rPr>
          <w:b/>
          <w:i/>
          <w:u w:val="single"/>
        </w:rPr>
      </w:pPr>
      <w:r w:rsidRPr="005D767D">
        <w:rPr>
          <w:b/>
          <w:i/>
          <w:u w:val="single"/>
        </w:rPr>
        <w:t>Requirements identified from FCC rules</w:t>
      </w:r>
    </w:p>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F35DAF" w:rsidRPr="00CD4B5F">
        <w:rPr>
          <w:rFonts w:ascii="Times New Roman" w:eastAsia="Gulim" w:hAnsi="Times New Roman"/>
          <w:szCs w:val="22"/>
        </w:rPr>
        <w:t>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lastRenderedPageBreak/>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lastRenderedPageBreak/>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lastRenderedPageBreak/>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Default="00A176FD" w:rsidP="00A176FD">
      <w:pPr>
        <w:keepNext/>
        <w:keepLines/>
        <w:rPr>
          <w:szCs w:val="22"/>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DE3207" w:rsidRPr="005D767D" w:rsidRDefault="00DE3207" w:rsidP="00DE3207">
      <w:pPr>
        <w:rPr>
          <w:lang w:val="en-US" w:eastAsia="ko-KR"/>
        </w:rPr>
      </w:pPr>
      <w:r w:rsidRPr="005D767D">
        <w:rPr>
          <w:lang w:val="en-US"/>
        </w:rPr>
        <w:t xml:space="preserve">Electronic Communications Committee (ECC), under the European Conference of Postal and Telecommunications Administrations (CEPT), issued a most recent report in January 2011, ECC Report 159. This report </w:t>
      </w:r>
      <w:r w:rsidRPr="005D767D">
        <w:t xml:space="preserve">sets technical and operational requirements for using TVWS by cognitive radios in EU which are not much different from those of the FCC listed in the above. However, </w:t>
      </w:r>
      <w:r w:rsidRPr="005D767D">
        <w:rPr>
          <w:lang w:val="en-US" w:eastAsia="ko-KR"/>
        </w:rPr>
        <w:t>some of the requirements included in the above related to FCC are different from European rules and regulations specified in this report, which should also be considered for TG4m guidance. These requirements are as follows:</w:t>
      </w:r>
    </w:p>
    <w:p w:rsidR="007629C0" w:rsidRPr="005D767D" w:rsidRDefault="007629C0" w:rsidP="001763B8">
      <w:pPr>
        <w:rPr>
          <w:lang w:val="en-US" w:eastAsia="ko-KR"/>
        </w:rPr>
      </w:pPr>
    </w:p>
    <w:p w:rsidR="005A1374" w:rsidRPr="005D767D" w:rsidRDefault="005A1374" w:rsidP="005A1374">
      <w:pPr>
        <w:autoSpaceDE w:val="0"/>
        <w:autoSpaceDN w:val="0"/>
        <w:adjustRightInd w:val="0"/>
        <w:ind w:left="360" w:hanging="360"/>
        <w:rPr>
          <w:szCs w:val="22"/>
          <w:u w:val="single"/>
        </w:rPr>
      </w:pPr>
      <w:r w:rsidRPr="005D767D">
        <w:rPr>
          <w:szCs w:val="22"/>
          <w:u w:val="single"/>
        </w:rPr>
        <w:t>TV</w:t>
      </w:r>
      <w:r w:rsidR="00CE6FE7" w:rsidRPr="005D767D">
        <w:rPr>
          <w:szCs w:val="22"/>
          <w:u w:val="single"/>
        </w:rPr>
        <w:t>BDs’ transmission</w:t>
      </w:r>
      <w:r w:rsidRPr="005D767D">
        <w:rPr>
          <w:szCs w:val="22"/>
          <w:u w:val="single"/>
        </w:rPr>
        <w:t>:</w:t>
      </w:r>
    </w:p>
    <w:p w:rsidR="005A1374" w:rsidRPr="005D767D" w:rsidRDefault="005A1374" w:rsidP="005A1374">
      <w:pPr>
        <w:rPr>
          <w:lang w:val="en-US" w:eastAsia="ko-KR"/>
        </w:rPr>
      </w:pPr>
    </w:p>
    <w:p w:rsidR="007629C0" w:rsidRPr="005D767D" w:rsidRDefault="007629C0" w:rsidP="00452916">
      <w:pPr>
        <w:pStyle w:val="ListParagraph"/>
        <w:numPr>
          <w:ilvl w:val="0"/>
          <w:numId w:val="16"/>
        </w:numPr>
        <w:rPr>
          <w:rFonts w:ascii="Times New Roman" w:hAnsi="Times New Roman"/>
          <w:szCs w:val="22"/>
        </w:rPr>
      </w:pPr>
      <w:r w:rsidRPr="005D767D">
        <w:rPr>
          <w:rFonts w:ascii="Times New Roman" w:hAnsi="Times New Roman"/>
          <w:szCs w:val="22"/>
        </w:rPr>
        <w:t xml:space="preserve">The </w:t>
      </w:r>
      <w:r w:rsidR="005A1374" w:rsidRPr="005D767D">
        <w:rPr>
          <w:rFonts w:ascii="Times New Roman" w:hAnsi="Times New Roman"/>
          <w:szCs w:val="22"/>
        </w:rPr>
        <w:t xml:space="preserve">TVBD (also known as </w:t>
      </w:r>
      <w:r w:rsidRPr="005D767D">
        <w:rPr>
          <w:rFonts w:ascii="Times New Roman" w:hAnsi="Times New Roman"/>
          <w:szCs w:val="22"/>
        </w:rPr>
        <w:t xml:space="preserve">Wide Space Device (WSD) </w:t>
      </w:r>
      <w:r w:rsidR="005A1374" w:rsidRPr="005D767D">
        <w:rPr>
          <w:rFonts w:ascii="Times New Roman" w:hAnsi="Times New Roman"/>
          <w:szCs w:val="22"/>
        </w:rPr>
        <w:t xml:space="preserve">by ECC) </w:t>
      </w:r>
      <w:r w:rsidRPr="005D767D">
        <w:rPr>
          <w:rFonts w:ascii="Times New Roman" w:hAnsi="Times New Roman"/>
          <w:szCs w:val="22"/>
        </w:rPr>
        <w:t>shall stop transmitting on a channel within the TV white space band (such as 470-790 MHz band) immediately if</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cannot re-consult the database by the end of the validity period of the received frequency information,</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fails to monitor its location with the required accuracy, and</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proofErr w:type="gramStart"/>
      <w:r w:rsidRPr="005D767D">
        <w:rPr>
          <w:rFonts w:ascii="Times New Roman" w:hAnsi="Times New Roman"/>
          <w:szCs w:val="22"/>
        </w:rPr>
        <w:t>it</w:t>
      </w:r>
      <w:proofErr w:type="gramEnd"/>
      <w:r w:rsidRPr="005D767D">
        <w:rPr>
          <w:rFonts w:ascii="Times New Roman" w:hAnsi="Times New Roman"/>
          <w:szCs w:val="22"/>
        </w:rPr>
        <w:t xml:space="preserve"> moves outside the determined area, for which the frequency information received from the database is valid.</w:t>
      </w:r>
    </w:p>
    <w:p w:rsidR="007629C0" w:rsidRPr="005D767D" w:rsidRDefault="005A1374" w:rsidP="007629C0">
      <w:pPr>
        <w:rPr>
          <w:szCs w:val="22"/>
          <w:u w:val="single"/>
        </w:rPr>
      </w:pPr>
      <w:r w:rsidRPr="005D767D">
        <w:rPr>
          <w:szCs w:val="22"/>
          <w:u w:val="single"/>
        </w:rPr>
        <w:t>Master/Slave TVB</w:t>
      </w:r>
      <w:r w:rsidR="007629C0" w:rsidRPr="005D767D">
        <w:rPr>
          <w:szCs w:val="22"/>
          <w:u w:val="single"/>
        </w:rPr>
        <w:t>D configuration (</w:t>
      </w:r>
      <w:r w:rsidRPr="005D767D">
        <w:rPr>
          <w:szCs w:val="22"/>
          <w:u w:val="single"/>
        </w:rPr>
        <w:t>d</w:t>
      </w:r>
      <w:r w:rsidR="007629C0" w:rsidRPr="005D767D">
        <w:rPr>
          <w:szCs w:val="22"/>
          <w:u w:val="single"/>
        </w:rPr>
        <w:t>etermined by the database):</w:t>
      </w:r>
    </w:p>
    <w:p w:rsidR="005A1374" w:rsidRPr="005D767D" w:rsidRDefault="005A1374" w:rsidP="007629C0">
      <w:pPr>
        <w:rPr>
          <w:szCs w:val="22"/>
          <w:u w:val="single"/>
        </w:rPr>
      </w:pP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I</w:t>
      </w:r>
      <w:r w:rsidR="005A1374" w:rsidRPr="005D767D">
        <w:rPr>
          <w:rFonts w:ascii="Times New Roman" w:hAnsi="Times New Roman"/>
          <w:szCs w:val="22"/>
        </w:rPr>
        <w:t>n the case of a master/slave TVB</w:t>
      </w:r>
      <w:r w:rsidRPr="005D767D">
        <w:rPr>
          <w:rFonts w:ascii="Times New Roman" w:hAnsi="Times New Roman"/>
          <w:szCs w:val="22"/>
        </w:rPr>
        <w:t>D configuration, it can be envisaged that the master would be responsible for the query of the database and that associated slaves would be controlled by the master and would receive information on their operational parameters (channels, powers, etc) directly from the master without querying the database themselves.</w:t>
      </w:r>
      <w:r w:rsidR="00561267" w:rsidRPr="005D767D">
        <w:rPr>
          <w:rFonts w:ascii="Times New Roman" w:hAnsi="Times New Roman"/>
          <w:szCs w:val="22"/>
        </w:rPr>
        <w:t xml:space="preserve"> </w:t>
      </w:r>
      <w:r w:rsidRPr="005D767D">
        <w:rPr>
          <w:rFonts w:ascii="Times New Roman" w:hAnsi="Times New Roman"/>
          <w:szCs w:val="22"/>
        </w:rPr>
        <w:t xml:space="preserve">In order to do so while protecting the incumbent primary users, a </w:t>
      </w:r>
      <w:r w:rsidR="00CE6FE7" w:rsidRPr="005D767D">
        <w:rPr>
          <w:rFonts w:ascii="Times New Roman" w:hAnsi="Times New Roman"/>
          <w:szCs w:val="22"/>
        </w:rPr>
        <w:t>TVBD</w:t>
      </w:r>
      <w:r w:rsidRPr="005D767D">
        <w:rPr>
          <w:rFonts w:ascii="Times New Roman" w:hAnsi="Times New Roman"/>
          <w:szCs w:val="22"/>
        </w:rPr>
        <w:t xml:space="preserve"> master shall be able to </w:t>
      </w:r>
      <w:proofErr w:type="spellStart"/>
      <w:r w:rsidRPr="005D767D">
        <w:rPr>
          <w:rFonts w:ascii="Times New Roman" w:hAnsi="Times New Roman"/>
          <w:szCs w:val="22"/>
        </w:rPr>
        <w:t>fulfil</w:t>
      </w:r>
      <w:proofErr w:type="spellEnd"/>
      <w:r w:rsidRPr="005D767D">
        <w:rPr>
          <w:rFonts w:ascii="Times New Roman" w:hAnsi="Times New Roman"/>
          <w:szCs w:val="22"/>
        </w:rPr>
        <w:t xml:space="preserve"> the above requirements, and in addition also be capable of,</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Communicating with the associated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Deriving the location, with associated accuracy, of a slave </w:t>
      </w:r>
      <w:r w:rsidR="00CE6FE7" w:rsidRPr="005D767D">
        <w:rPr>
          <w:rFonts w:ascii="Times New Roman" w:hAnsi="Times New Roman"/>
          <w:szCs w:val="22"/>
        </w:rPr>
        <w:t>TVBD</w:t>
      </w:r>
      <w:r w:rsidRPr="005D767D">
        <w:rPr>
          <w:rFonts w:ascii="Times New Roman" w:hAnsi="Times New Roman"/>
          <w:szCs w:val="22"/>
        </w:rPr>
        <w:t>.</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Act as a proxy for geo-location database queries towards the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ind w:left="1440"/>
        <w:textAlignment w:val="baseline"/>
        <w:rPr>
          <w:rFonts w:ascii="Times New Roman" w:hAnsi="Times New Roman"/>
          <w:szCs w:val="22"/>
        </w:rPr>
      </w:pPr>
      <w:r w:rsidRPr="005D767D">
        <w:rPr>
          <w:rFonts w:ascii="Times New Roman" w:hAnsi="Times New Roman"/>
          <w:szCs w:val="22"/>
        </w:rPr>
        <w:lastRenderedPageBreak/>
        <w:t xml:space="preserve">Control the operation of the slave </w:t>
      </w:r>
      <w:r w:rsidR="00CE6FE7" w:rsidRPr="005D767D">
        <w:rPr>
          <w:rFonts w:ascii="Times New Roman" w:hAnsi="Times New Roman"/>
          <w:szCs w:val="22"/>
        </w:rPr>
        <w:t>TVBD</w:t>
      </w:r>
      <w:r w:rsidRPr="005D767D">
        <w:rPr>
          <w:rFonts w:ascii="Times New Roman" w:hAnsi="Times New Roman"/>
          <w:szCs w:val="22"/>
        </w:rPr>
        <w:t>s in terms of which channels, bandwidths and what maximum transmit power they are allowed to use.</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master </w:t>
      </w:r>
      <w:r w:rsidR="00CE6FE7" w:rsidRPr="005D767D">
        <w:rPr>
          <w:rFonts w:ascii="Times New Roman" w:hAnsi="Times New Roman"/>
          <w:szCs w:val="22"/>
        </w:rPr>
        <w:t>TVBD</w:t>
      </w:r>
      <w:r w:rsidRPr="005D767D">
        <w:rPr>
          <w:rFonts w:ascii="Times New Roman" w:hAnsi="Times New Roman"/>
          <w:szCs w:val="22"/>
        </w:rPr>
        <w:t xml:space="preserve"> shall stop transmitting and stop allowing the associated slave </w:t>
      </w:r>
      <w:r w:rsidR="00CE6FE7" w:rsidRPr="005D767D">
        <w:rPr>
          <w:rFonts w:ascii="Times New Roman" w:hAnsi="Times New Roman"/>
          <w:szCs w:val="22"/>
        </w:rPr>
        <w:t>TVBD</w:t>
      </w:r>
      <w:r w:rsidRPr="005D767D">
        <w:rPr>
          <w:rFonts w:ascii="Times New Roman" w:hAnsi="Times New Roman"/>
          <w:szCs w:val="22"/>
        </w:rPr>
        <w:t>s to transmit on a channel within the TV white space band (such as 470-790 MHz band) immediately if it fails to repeat the database query within the frequency validity period.</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be capable of,</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Communicating with an associated master (e.g. Receipt, Acknowledge).</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Receiving, at a minimum, instructions on frequency allocation and the allowed maximum transmit power for each allocated frequency from the master.</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optionally also be able to</w:t>
      </w:r>
      <w:r w:rsidR="00750F66" w:rsidRPr="005D767D">
        <w:rPr>
          <w:rFonts w:ascii="Times New Roman" w:hAnsi="Times New Roman"/>
          <w:szCs w:val="22"/>
        </w:rPr>
        <w:t xml:space="preserve"> c</w:t>
      </w:r>
      <w:r w:rsidRPr="005D767D">
        <w:rPr>
          <w:rFonts w:ascii="Times New Roman" w:hAnsi="Times New Roman"/>
          <w:szCs w:val="22"/>
        </w:rPr>
        <w:t xml:space="preserve">ommunicate to the master </w:t>
      </w:r>
      <w:r w:rsidR="00CE6FE7" w:rsidRPr="005D767D">
        <w:rPr>
          <w:rFonts w:ascii="Times New Roman" w:hAnsi="Times New Roman"/>
          <w:szCs w:val="22"/>
        </w:rPr>
        <w:t>TVBD</w:t>
      </w:r>
      <w:r w:rsidRPr="005D767D">
        <w:rPr>
          <w:rFonts w:ascii="Times New Roman" w:hAnsi="Times New Roman"/>
          <w:szCs w:val="22"/>
        </w:rPr>
        <w:t>, information on its location, its location accuracy, device type (including device identifier), etc.</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unit shall not transmit within the TV white space band (such as 470-790 MHz band) unless instructed to do so by the </w:t>
      </w:r>
      <w:r w:rsidR="00CE6FE7" w:rsidRPr="005D767D">
        <w:rPr>
          <w:rFonts w:ascii="Times New Roman" w:hAnsi="Times New Roman"/>
          <w:szCs w:val="22"/>
        </w:rPr>
        <w:t>TVBD</w:t>
      </w:r>
      <w:r w:rsidRPr="005D767D">
        <w:rPr>
          <w:rFonts w:ascii="Times New Roman" w:hAnsi="Times New Roman"/>
          <w:szCs w:val="22"/>
        </w:rPr>
        <w:t xml:space="preserve"> master.</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 xml:space="preserve">Information communicated by the </w:t>
      </w:r>
      <w:r w:rsidR="00CE6FE7" w:rsidRPr="005D767D">
        <w:rPr>
          <w:szCs w:val="22"/>
          <w:u w:val="single"/>
        </w:rPr>
        <w:t>TVBD</w:t>
      </w:r>
      <w:r w:rsidRPr="005D767D">
        <w:rPr>
          <w:szCs w:val="22"/>
          <w:u w:val="single"/>
        </w:rPr>
        <w:t xml:space="preserve"> to the geo-location database:</w:t>
      </w:r>
    </w:p>
    <w:p w:rsidR="00750F66" w:rsidRPr="005D767D" w:rsidRDefault="00750F66" w:rsidP="007629C0">
      <w:pPr>
        <w:rPr>
          <w:szCs w:val="22"/>
          <w:u w:val="single"/>
        </w:rPr>
      </w:pPr>
    </w:p>
    <w:p w:rsidR="00750F66" w:rsidRPr="005D767D" w:rsidRDefault="00750F66" w:rsidP="00452916">
      <w:pPr>
        <w:pStyle w:val="ListParagraph"/>
        <w:numPr>
          <w:ilvl w:val="0"/>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The followin</w:t>
      </w:r>
      <w:r w:rsidR="0017042C">
        <w:rPr>
          <w:rFonts w:ascii="Times New Roman" w:hAnsi="Times New Roman"/>
          <w:szCs w:val="22"/>
        </w:rPr>
        <w:t>g information is provided by TVB</w:t>
      </w:r>
      <w:r w:rsidRPr="005D767D">
        <w:rPr>
          <w:rFonts w:ascii="Times New Roman" w:hAnsi="Times New Roman"/>
          <w:szCs w:val="22"/>
        </w:rPr>
        <w:t>Ds</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(minimum requirement): The location is the current position of the </w:t>
      </w:r>
      <w:r w:rsidR="00CE6FE7" w:rsidRPr="005D767D">
        <w:rPr>
          <w:rFonts w:ascii="Times New Roman" w:hAnsi="Times New Roman"/>
          <w:szCs w:val="22"/>
        </w:rPr>
        <w:t>TVBD</w:t>
      </w:r>
      <w:r w:rsidRPr="005D767D">
        <w:rPr>
          <w:rFonts w:ascii="Times New Roman" w:hAnsi="Times New Roman"/>
          <w:szCs w:val="22"/>
        </w:rPr>
        <w:t xml:space="preserve"> expressed in terms of geographical coordinates as determined by means of a geo-location method. </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accuracy (minimum requirement): The location accuracy is the absolute accuracy, with which the geographical position of the </w:t>
      </w:r>
      <w:r w:rsidR="00CE6FE7" w:rsidRPr="005D767D">
        <w:rPr>
          <w:rFonts w:ascii="Times New Roman" w:hAnsi="Times New Roman"/>
          <w:szCs w:val="22"/>
        </w:rPr>
        <w:t>TVBD</w:t>
      </w:r>
      <w:r w:rsidRPr="005D767D">
        <w:rPr>
          <w:rFonts w:ascii="Times New Roman" w:hAnsi="Times New Roman"/>
          <w:szCs w:val="22"/>
        </w:rPr>
        <w:t xml:space="preserve"> is determined. It is expressed in terms of an uncertainty radius around the location. Location accuracy could be taken into account by the database in providing information on available frequencies. </w:t>
      </w:r>
    </w:p>
    <w:p w:rsidR="007629C0" w:rsidRPr="005D767D" w:rsidRDefault="007629C0" w:rsidP="00452916">
      <w:pPr>
        <w:pStyle w:val="ListParagraph"/>
        <w:numPr>
          <w:ilvl w:val="1"/>
          <w:numId w:val="22"/>
        </w:numPr>
        <w:overflowPunct w:val="0"/>
        <w:autoSpaceDE w:val="0"/>
        <w:autoSpaceDN w:val="0"/>
        <w:adjustRightInd w:val="0"/>
        <w:textAlignment w:val="baseline"/>
        <w:rPr>
          <w:rFonts w:ascii="Times New Roman" w:hAnsi="Times New Roman"/>
          <w:szCs w:val="22"/>
        </w:rPr>
      </w:pPr>
      <w:r w:rsidRPr="005D767D">
        <w:rPr>
          <w:rFonts w:ascii="Times New Roman" w:hAnsi="Times New Roman"/>
          <w:szCs w:val="22"/>
        </w:rPr>
        <w:t xml:space="preserve">Device type (minimum requirement): Providing information about the type of device, such as the device class will allow information to be returned according to device capabilities and interference characteristics. The database could then take into account its known transmission parameters in returning appropriate frequencies and allowed maximum transmission power. </w:t>
      </w:r>
    </w:p>
    <w:p w:rsidR="007629C0" w:rsidRPr="005D767D" w:rsidRDefault="007629C0" w:rsidP="00452916">
      <w:pPr>
        <w:pStyle w:val="ListParagraph"/>
        <w:numPr>
          <w:ilvl w:val="0"/>
          <w:numId w:val="22"/>
        </w:numPr>
        <w:rPr>
          <w:rFonts w:ascii="Times New Roman" w:hAnsi="Times New Roman"/>
          <w:szCs w:val="22"/>
        </w:rPr>
      </w:pPr>
      <w:r w:rsidRPr="005D767D">
        <w:rPr>
          <w:rFonts w:ascii="Times New Roman" w:hAnsi="Times New Roman"/>
          <w:szCs w:val="22"/>
        </w:rPr>
        <w:t xml:space="preserve">In the case of a master/slave </w:t>
      </w:r>
      <w:r w:rsidR="00CE6FE7" w:rsidRPr="005D767D">
        <w:rPr>
          <w:rFonts w:ascii="Times New Roman" w:hAnsi="Times New Roman"/>
          <w:szCs w:val="22"/>
        </w:rPr>
        <w:t>TVBD</w:t>
      </w:r>
      <w:r w:rsidRPr="005D767D">
        <w:rPr>
          <w:rFonts w:ascii="Times New Roman" w:hAnsi="Times New Roman"/>
          <w:szCs w:val="22"/>
        </w:rPr>
        <w:t xml:space="preserve"> configuration, the above information will be obtained by the </w:t>
      </w:r>
      <w:r w:rsidR="00CE6FE7" w:rsidRPr="005D767D">
        <w:rPr>
          <w:rFonts w:ascii="Times New Roman" w:hAnsi="Times New Roman"/>
          <w:szCs w:val="22"/>
        </w:rPr>
        <w:t>TVBD</w:t>
      </w:r>
      <w:r w:rsidRPr="005D767D">
        <w:rPr>
          <w:rFonts w:ascii="Times New Roman" w:hAnsi="Times New Roman"/>
          <w:szCs w:val="22"/>
        </w:rPr>
        <w:t xml:space="preserve"> master by requesting it from its associated slaves or deriving it by other reliable means (e.g., by network positioning methods for the position and accuracy and lookups of internally stored device type lists associated with the currently associated slaves).</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Management of geo-location database:</w:t>
      </w:r>
    </w:p>
    <w:p w:rsidR="00750F66" w:rsidRPr="005D767D" w:rsidRDefault="00750F66" w:rsidP="007629C0">
      <w:pPr>
        <w:rPr>
          <w:szCs w:val="22"/>
        </w:rPr>
      </w:pPr>
    </w:p>
    <w:p w:rsidR="007629C0" w:rsidRPr="005D767D" w:rsidRDefault="007629C0" w:rsidP="00452916">
      <w:pPr>
        <w:pStyle w:val="ListParagraph"/>
        <w:numPr>
          <w:ilvl w:val="0"/>
          <w:numId w:val="23"/>
        </w:numPr>
        <w:rPr>
          <w:rFonts w:ascii="Times New Roman" w:hAnsi="Times New Roman"/>
          <w:szCs w:val="22"/>
        </w:rPr>
      </w:pPr>
      <w:r w:rsidRPr="005D767D">
        <w:rPr>
          <w:rFonts w:ascii="Times New Roman" w:hAnsi="Times New Roman"/>
          <w:szCs w:val="22"/>
        </w:rPr>
        <w:t xml:space="preserve">It is possible to have one or more databases and they could be provided by the regulator or third parties authorized by the regulator. If there are multiple databases they all need to provide the same minimum information about the available frequencies to the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Single open database: One option is to have a single database for the entire country or for the whole of Europe. All </w:t>
      </w:r>
      <w:r w:rsidR="00CE6FE7" w:rsidRPr="005D767D">
        <w:rPr>
          <w:rFonts w:ascii="Times New Roman" w:hAnsi="Times New Roman"/>
          <w:szCs w:val="22"/>
        </w:rPr>
        <w:t>TVBD</w:t>
      </w:r>
      <w:r w:rsidRPr="005D767D">
        <w:rPr>
          <w:rFonts w:ascii="Times New Roman" w:hAnsi="Times New Roman"/>
          <w:szCs w:val="22"/>
        </w:rPr>
        <w:t xml:space="preserve">s consult this database using a pre-defined and </w:t>
      </w:r>
      <w:proofErr w:type="spellStart"/>
      <w:r w:rsidRPr="005D767D">
        <w:rPr>
          <w:rFonts w:ascii="Times New Roman" w:hAnsi="Times New Roman"/>
          <w:szCs w:val="22"/>
        </w:rPr>
        <w:t>standardised</w:t>
      </w:r>
      <w:proofErr w:type="spellEnd"/>
      <w:r w:rsidRPr="005D767D">
        <w:rPr>
          <w:rFonts w:ascii="Times New Roman" w:hAnsi="Times New Roman"/>
          <w:szCs w:val="22"/>
        </w:rPr>
        <w:t xml:space="preserve"> message format. The database would be open to all users. </w:t>
      </w:r>
    </w:p>
    <w:p w:rsidR="007629C0" w:rsidRPr="005D767D" w:rsidRDefault="007629C0" w:rsidP="007629C0">
      <w:pPr>
        <w:pStyle w:val="ListParagraph"/>
        <w:rPr>
          <w:rFonts w:ascii="Times New Roman" w:hAnsi="Times New Roman"/>
          <w:szCs w:val="22"/>
        </w:rPr>
      </w:pPr>
    </w:p>
    <w:p w:rsidR="005D767D" w:rsidRPr="005D767D" w:rsidRDefault="007629C0" w:rsidP="005D767D">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Multiple open databases: A second option is to have multiple databases. In this case, </w:t>
      </w:r>
      <w:r w:rsidR="00CE6FE7" w:rsidRPr="005D767D">
        <w:rPr>
          <w:rFonts w:ascii="Times New Roman" w:hAnsi="Times New Roman"/>
          <w:szCs w:val="22"/>
        </w:rPr>
        <w:t>TVBD</w:t>
      </w:r>
      <w:r w:rsidRPr="005D767D">
        <w:rPr>
          <w:rFonts w:ascii="Times New Roman" w:hAnsi="Times New Roman"/>
          <w:szCs w:val="22"/>
        </w:rPr>
        <w:t xml:space="preserve">s could select their preferred database but there would be no difference between them in the information related to the allowed frequencies. If some of the databases are operated by third parties, they could offer also other information and value-added services to the </w:t>
      </w:r>
      <w:r w:rsidR="00CE6FE7" w:rsidRPr="005D767D">
        <w:rPr>
          <w:rFonts w:ascii="Times New Roman" w:hAnsi="Times New Roman"/>
          <w:szCs w:val="22"/>
        </w:rPr>
        <w:t>TVBD</w:t>
      </w:r>
      <w:r w:rsidRPr="005D767D">
        <w:rPr>
          <w:rFonts w:ascii="Times New Roman" w:hAnsi="Times New Roman"/>
          <w:szCs w:val="22"/>
        </w:rPr>
        <w:t>s, in addition to the mandatory interference protection related information.</w:t>
      </w:r>
    </w:p>
    <w:p w:rsidR="005D767D" w:rsidRPr="005D767D" w:rsidRDefault="005D767D" w:rsidP="005D767D">
      <w:pPr>
        <w:pStyle w:val="ListParagraph"/>
        <w:overflowPunct w:val="0"/>
        <w:autoSpaceDE w:val="0"/>
        <w:autoSpaceDN w:val="0"/>
        <w:adjustRightInd w:val="0"/>
        <w:spacing w:after="180"/>
        <w:ind w:left="1080"/>
        <w:textAlignment w:val="baseline"/>
        <w:rPr>
          <w:rFonts w:ascii="Times New Roman" w:hAnsi="Times New Roman"/>
          <w:szCs w:val="22"/>
        </w:rPr>
      </w:pP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‘Clearinghouse’ model: The ‘clearing house’ model partitions the process of providing information on available channels to </w:t>
      </w:r>
      <w:r w:rsidR="00CE6FE7" w:rsidRPr="005D767D">
        <w:rPr>
          <w:rFonts w:ascii="Times New Roman" w:hAnsi="Times New Roman"/>
          <w:szCs w:val="22"/>
        </w:rPr>
        <w:t>TVBD</w:t>
      </w:r>
      <w:r w:rsidRPr="005D767D">
        <w:rPr>
          <w:rFonts w:ascii="Times New Roman" w:hAnsi="Times New Roman"/>
          <w:szCs w:val="22"/>
        </w:rPr>
        <w:t>s, in order to facilitate the development of multiple database service providers.</w:t>
      </w:r>
    </w:p>
    <w:p w:rsidR="007629C0" w:rsidRPr="007629C0" w:rsidRDefault="007629C0" w:rsidP="001763B8">
      <w:pPr>
        <w:rPr>
          <w:color w:val="FF0000"/>
          <w:lang w:val="en-US"/>
        </w:rPr>
      </w:pPr>
    </w:p>
    <w:p w:rsidR="001763B8" w:rsidRPr="001763B8" w:rsidRDefault="001763B8" w:rsidP="001763B8">
      <w:pPr>
        <w:rPr>
          <w:color w:val="FF0000"/>
        </w:rPr>
      </w:pPr>
    </w:p>
    <w:p w:rsidR="00C8595D" w:rsidRPr="001763B8" w:rsidRDefault="00C8595D" w:rsidP="00C8595D">
      <w:pPr>
        <w:rPr>
          <w:b/>
          <w:color w:val="FF0000"/>
          <w:lang w:val="en-US"/>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lastRenderedPageBreak/>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3253780"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3253781"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or 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744D02"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lastRenderedPageBreak/>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t xml:space="preserve">This </w:t>
      </w:r>
      <w:r w:rsidRPr="00316538">
        <w:rPr>
          <w:rFonts w:hint="eastAsia"/>
          <w:lang w:eastAsia="ko-KR"/>
        </w:rPr>
        <w:t>sec</w:t>
      </w:r>
      <w:r w:rsidRPr="00316538">
        <w:t xml:space="preserve">tion provides guidelines for </w:t>
      </w:r>
      <w:r w:rsidR="005D767D">
        <w:t>the procedure</w:t>
      </w:r>
      <w:r w:rsidRPr="00316538">
        <w:t xml:space="preserve">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lastRenderedPageBreak/>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744D02" w:rsidRPr="005D767D" w:rsidRDefault="00743443" w:rsidP="00743443">
      <w:pPr>
        <w:rPr>
          <w:lang w:val="en-US"/>
        </w:rPr>
      </w:pPr>
      <w:r w:rsidRPr="005D767D">
        <w:rPr>
          <w:lang w:val="en-US"/>
        </w:rPr>
        <w:t xml:space="preserve">All channel impulse response models are quasi-static channels where </w:t>
      </w:r>
      <w:proofErr w:type="gramStart"/>
      <w:r w:rsidR="00096742" w:rsidRPr="005D767D">
        <w:rPr>
          <w:lang w:val="en-US"/>
        </w:rPr>
        <w:t>the I</w:t>
      </w:r>
      <w:proofErr w:type="gramEnd"/>
      <w:r w:rsidR="00096742" w:rsidRPr="005D767D">
        <w:rPr>
          <w:lang w:val="en-US"/>
        </w:rPr>
        <w:t xml:space="preserve"> and Q components of each tap are chosen from independent normal distributions at the start of each </w:t>
      </w:r>
      <w:r w:rsidR="004F44E6" w:rsidRPr="005D767D">
        <w:rPr>
          <w:lang w:val="en-US"/>
        </w:rPr>
        <w:t>packet</w:t>
      </w:r>
      <w:r w:rsidR="005D767D" w:rsidRPr="005D767D">
        <w:rPr>
          <w:lang w:val="en-US"/>
        </w:rPr>
        <w:t>.</w:t>
      </w:r>
      <w:r w:rsidR="00096742" w:rsidRPr="005D767D">
        <w:rPr>
          <w:lang w:val="en-US"/>
        </w:rPr>
        <w:t xml:space="preserve"> </w:t>
      </w:r>
    </w:p>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5265C2" w:rsidRPr="005265C2" w:rsidRDefault="009E18A0" w:rsidP="005265C2">
      <w:pPr>
        <w:autoSpaceDE w:val="0"/>
        <w:autoSpaceDN w:val="0"/>
        <w:adjustRightInd w:val="0"/>
        <w:rPr>
          <w:szCs w:val="22"/>
          <w:lang w:val="en-US" w:eastAsia="ja-JP"/>
        </w:rPr>
      </w:pPr>
      <w:r>
        <w:rPr>
          <w:szCs w:val="22"/>
          <w:lang w:val="en-US" w:eastAsia="ja-JP"/>
        </w:rPr>
        <w:t>A TV channel</w:t>
      </w:r>
      <w:r w:rsidR="005265C2" w:rsidRPr="005265C2">
        <w:rPr>
          <w:szCs w:val="22"/>
          <w:lang w:val="en-US" w:eastAsia="ja-JP"/>
        </w:rPr>
        <w:t xml:space="preserve"> which is not being used by an authorized service at or near the same geographic location </w:t>
      </w:r>
      <w:r w:rsidRPr="005265C2">
        <w:rPr>
          <w:szCs w:val="22"/>
          <w:lang w:val="en-US" w:eastAsia="ja-JP"/>
        </w:rPr>
        <w:t xml:space="preserve">as the TVBD </w:t>
      </w:r>
      <w:r w:rsidR="003B2BBD">
        <w:rPr>
          <w:szCs w:val="22"/>
          <w:lang w:val="en-US" w:eastAsia="ja-JP"/>
        </w:rPr>
        <w:t xml:space="preserve">is </w:t>
      </w:r>
      <w:r w:rsidR="005265C2" w:rsidRPr="005265C2">
        <w:rPr>
          <w:szCs w:val="22"/>
          <w:lang w:val="en-US" w:eastAsia="ja-JP"/>
        </w:rPr>
        <w:t xml:space="preserve">and is acceptable for use by an unlicensed device.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102800" w:rsidP="005265C2">
      <w:pPr>
        <w:autoSpaceDE w:val="0"/>
        <w:autoSpaceDN w:val="0"/>
        <w:adjustRightInd w:val="0"/>
        <w:rPr>
          <w:szCs w:val="22"/>
          <w:lang w:val="en-US" w:eastAsia="ja-JP"/>
        </w:rPr>
      </w:pPr>
      <w:proofErr w:type="gramStart"/>
      <w:r>
        <w:rPr>
          <w:szCs w:val="22"/>
          <w:lang w:val="en-US" w:eastAsia="ja-JP"/>
        </w:rPr>
        <w:t>The c</w:t>
      </w:r>
      <w:r w:rsidR="005265C2" w:rsidRPr="005265C2">
        <w:rPr>
          <w:szCs w:val="22"/>
          <w:lang w:val="en-US" w:eastAsia="ja-JP"/>
        </w:rPr>
        <w:t>apability of a TVBD to determine its geographic coordinates within the level of accuracy.</w:t>
      </w:r>
      <w:proofErr w:type="gramEnd"/>
      <w:r w:rsidR="005265C2"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A personal/portable TVBD that uses an internal geo-location capability and access</w:t>
      </w:r>
      <w:r w:rsidR="009E18A0">
        <w:rPr>
          <w:szCs w:val="22"/>
          <w:lang w:val="en-US" w:eastAsia="ja-JP"/>
        </w:rPr>
        <w:t>es</w:t>
      </w:r>
      <w:r w:rsidRPr="005265C2">
        <w:rPr>
          <w:szCs w:val="22"/>
          <w:lang w:val="en-US" w:eastAsia="ja-JP"/>
        </w:rPr>
        <w:t xml:space="preserve"> to a TV bands database, either through a direct connection to the Internet or through an indirect connection to the Internet by way of fixed TVBD or another Mode II TVBD, to obtain a list of available channels.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lastRenderedPageBreak/>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r>
        <w:rPr>
          <w:szCs w:val="22"/>
          <w:lang w:val="en-US" w:eastAsia="ja-JP"/>
        </w:rPr>
        <w:t>:</w:t>
      </w:r>
    </w:p>
    <w:p w:rsidR="005265C2" w:rsidRPr="005265C2" w:rsidRDefault="00102800" w:rsidP="005265C2">
      <w:pPr>
        <w:autoSpaceDE w:val="0"/>
        <w:autoSpaceDN w:val="0"/>
        <w:adjustRightInd w:val="0"/>
        <w:rPr>
          <w:szCs w:val="22"/>
          <w:lang w:val="en-US" w:eastAsia="ja-JP"/>
        </w:rPr>
      </w:pPr>
      <w:r>
        <w:rPr>
          <w:szCs w:val="22"/>
          <w:lang w:val="en-US" w:eastAsia="ja-JP"/>
        </w:rPr>
        <w:t>Intentional radiator</w:t>
      </w:r>
      <w:r w:rsidR="005265C2" w:rsidRPr="005265C2">
        <w:rPr>
          <w:szCs w:val="22"/>
          <w:lang w:val="en-US" w:eastAsia="ja-JP"/>
        </w:rPr>
        <w:t xml:space="preserve"> that operate</w:t>
      </w:r>
      <w:r>
        <w:rPr>
          <w:szCs w:val="22"/>
          <w:lang w:val="en-US" w:eastAsia="ja-JP"/>
        </w:rPr>
        <w:t>s</w:t>
      </w:r>
      <w:r w:rsidR="005265C2" w:rsidRPr="005265C2">
        <w:rPr>
          <w:szCs w:val="22"/>
          <w:lang w:val="en-US" w:eastAsia="ja-JP"/>
        </w:rPr>
        <w:t xml:space="preserve"> on an unlicensed basis on available channels in the broadca</w:t>
      </w:r>
      <w:r>
        <w:rPr>
          <w:szCs w:val="22"/>
          <w:lang w:val="en-US" w:eastAsia="ja-JP"/>
        </w:rPr>
        <w:t>st television frequency bands, f</w:t>
      </w:r>
      <w:r w:rsidR="005265C2" w:rsidRPr="005265C2">
        <w:rPr>
          <w:szCs w:val="22"/>
          <w:lang w:val="en-US" w:eastAsia="ja-JP"/>
        </w:rPr>
        <w:t>or example</w:t>
      </w:r>
      <w:r>
        <w:rPr>
          <w:szCs w:val="22"/>
          <w:lang w:val="en-US" w:eastAsia="ja-JP"/>
        </w:rPr>
        <w:t>,</w:t>
      </w:r>
      <w:r w:rsidR="005265C2" w:rsidRPr="005265C2">
        <w:rPr>
          <w:szCs w:val="22"/>
          <w:lang w:val="en-US" w:eastAsia="ja-JP"/>
        </w:rPr>
        <w:t xml:space="preserve"> in U.S. at 54-60 MHz (TV channel 2), 76-88 MHz (TV channels 5 and 6), 174-216 MHz (TV channels 7-13), 470-608 MHz (TV channels 14-36) and 614-698 MHz (TV channels 38-51). </w:t>
      </w:r>
      <w:r w:rsidR="005168E8">
        <w:rPr>
          <w:szCs w:val="22"/>
          <w:lang w:val="en-US" w:eastAsia="ja-JP"/>
        </w:rPr>
        <w:t xml:space="preserve">It is </w:t>
      </w:r>
      <w:r w:rsidR="005168E8" w:rsidRPr="005D767D">
        <w:rPr>
          <w:szCs w:val="22"/>
        </w:rPr>
        <w:t>also known as Wide Space Device (WSD) by ECC</w:t>
      </w:r>
      <w:r w:rsidR="005168E8">
        <w:rPr>
          <w:szCs w:val="22"/>
        </w:rPr>
        <w:t>.</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FE57FF" w:rsidRDefault="00FE57FF" w:rsidP="005265C2">
      <w:pPr>
        <w:autoSpaceDE w:val="0"/>
        <w:autoSpaceDN w:val="0"/>
        <w:adjustRightInd w:val="0"/>
        <w:rPr>
          <w:szCs w:val="22"/>
          <w:lang w:val="en-US" w:eastAsia="ja-JP"/>
        </w:rPr>
      </w:pPr>
    </w:p>
    <w:p w:rsidR="00FE57FF" w:rsidRPr="005D767D" w:rsidRDefault="00FE57FF" w:rsidP="005265C2">
      <w:pPr>
        <w:autoSpaceDE w:val="0"/>
        <w:autoSpaceDN w:val="0"/>
        <w:adjustRightInd w:val="0"/>
        <w:rPr>
          <w:szCs w:val="22"/>
          <w:u w:val="single"/>
          <w:lang w:val="en-US" w:eastAsia="ja-JP"/>
        </w:rPr>
      </w:pPr>
      <w:r w:rsidRPr="005D767D">
        <w:rPr>
          <w:szCs w:val="22"/>
          <w:u w:val="single"/>
          <w:lang w:val="en-US" w:eastAsia="ja-JP"/>
        </w:rPr>
        <w:t>White space:</w:t>
      </w:r>
    </w:p>
    <w:p w:rsidR="00E22D18" w:rsidRPr="005D767D" w:rsidRDefault="00FE57FF" w:rsidP="00E22D18">
      <w:r w:rsidRPr="005D767D">
        <w:rPr>
          <w:szCs w:val="22"/>
          <w:lang w:val="en-US" w:eastAsia="ja-JP"/>
        </w:rPr>
        <w:t>U</w:t>
      </w:r>
      <w:r w:rsidR="00096742" w:rsidRPr="005D767D">
        <w:rPr>
          <w:szCs w:val="22"/>
          <w:lang w:val="en-US" w:eastAsia="ja-JP"/>
        </w:rPr>
        <w:t xml:space="preserve">nused radio spectrum </w:t>
      </w:r>
      <w:r w:rsidR="00536A68" w:rsidRPr="005D767D">
        <w:rPr>
          <w:szCs w:val="22"/>
          <w:lang w:val="en-US" w:eastAsia="ja-JP"/>
        </w:rPr>
        <w:t xml:space="preserve">locally available </w:t>
      </w:r>
      <w:r w:rsidR="00096742" w:rsidRPr="005D767D">
        <w:rPr>
          <w:szCs w:val="22"/>
          <w:lang w:val="en-US" w:eastAsia="ja-JP"/>
        </w:rPr>
        <w:t xml:space="preserve">which has either never been used, or is becoming free as a result of technical changes. In particular, the switchover to digital television frees up large </w:t>
      </w:r>
      <w:r w:rsidRPr="005D767D">
        <w:rPr>
          <w:szCs w:val="22"/>
          <w:lang w:val="en-US" w:eastAsia="ja-JP"/>
        </w:rPr>
        <w:t>areas between about 50 MHz and 8</w:t>
      </w:r>
      <w:r w:rsidR="00096742" w:rsidRPr="005D767D">
        <w:rPr>
          <w:szCs w:val="22"/>
          <w:lang w:val="en-US" w:eastAsia="ja-JP"/>
        </w:rPr>
        <w:t>00 </w:t>
      </w:r>
      <w:proofErr w:type="spellStart"/>
      <w:r w:rsidR="00096742" w:rsidRPr="005D767D">
        <w:rPr>
          <w:szCs w:val="22"/>
          <w:lang w:val="en-US" w:eastAsia="ja-JP"/>
        </w:rPr>
        <w:t>MHz.</w:t>
      </w:r>
      <w:proofErr w:type="spellEnd"/>
      <w:r w:rsidR="00096742" w:rsidRPr="005D767D">
        <w:rPr>
          <w:szCs w:val="22"/>
          <w:lang w:val="en-US" w:eastAsia="ja-JP"/>
        </w:rPr>
        <w:t xml:space="preserve"> </w:t>
      </w:r>
      <w:r w:rsidR="00E22D18" w:rsidRPr="005D767D">
        <w:t>T</w:t>
      </w:r>
      <w:r w:rsidR="002446E9" w:rsidRPr="005D767D">
        <w:rPr>
          <w:rFonts w:hint="eastAsia"/>
        </w:rPr>
        <w:t>he TV spectr</w:t>
      </w:r>
      <w:r w:rsidR="002446E9" w:rsidRPr="005D767D">
        <w:t>a</w:t>
      </w:r>
      <w:r w:rsidR="00E22D18" w:rsidRPr="005D767D">
        <w:rPr>
          <w:rFonts w:hint="eastAsia"/>
        </w:rPr>
        <w:t xml:space="preserve"> that can be accessed by unlicensed wireless systems temporarily and locally in the absence of primary services</w:t>
      </w:r>
      <w:r w:rsidR="00E22D18" w:rsidRPr="005D767D">
        <w:t xml:space="preserve"> protected by the regulations</w:t>
      </w:r>
      <w:r w:rsidR="00F426C3" w:rsidRPr="005D767D">
        <w:rPr>
          <w:rFonts w:hint="eastAsia"/>
        </w:rPr>
        <w:t xml:space="preserve"> are referred to as TV </w:t>
      </w:r>
      <w:r w:rsidR="00F426C3" w:rsidRPr="005D767D">
        <w:t>w</w:t>
      </w:r>
      <w:r w:rsidR="00E22D18" w:rsidRPr="005D767D">
        <w:rPr>
          <w:rFonts w:hint="eastAsia"/>
        </w:rPr>
        <w:t>hite space</w:t>
      </w:r>
      <w:r w:rsidR="00F426C3" w:rsidRPr="005D767D">
        <w:t xml:space="preserve"> (TVWS)</w:t>
      </w:r>
      <w:r w:rsidR="00E22D18" w:rsidRPr="005D767D">
        <w:rPr>
          <w:rFonts w:hint="eastAsia"/>
        </w:rPr>
        <w:t>.</w:t>
      </w:r>
    </w:p>
    <w:p w:rsidR="00441A1F" w:rsidRPr="005265C2" w:rsidRDefault="00441A1F" w:rsidP="00441A1F">
      <w:pPr>
        <w:rPr>
          <w:szCs w:val="22"/>
          <w:lang w:val="en-US"/>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F75CAD" w:rsidRPr="00F75CAD" w:rsidRDefault="001A7794" w:rsidP="00F75CAD">
      <w:pPr>
        <w:pStyle w:val="PreformattedText"/>
        <w:numPr>
          <w:ilvl w:val="0"/>
          <w:numId w:val="4"/>
        </w:numPr>
        <w:spacing w:before="60"/>
        <w:rPr>
          <w:rFonts w:ascii="Times New Roman" w:eastAsiaTheme="minorEastAsia" w:hAnsi="Times New Roman" w:cs="Times New Roman"/>
          <w:bCs/>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744D02"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3253782"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744D02"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3253783"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lastRenderedPageBreak/>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744D02"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3253784"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lastRenderedPageBreak/>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The large-scale path loss values depend on a great number of environmental factors. When the terminal or 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744D02"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3253785"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744D02"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L</w:t>
      </w:r>
      <w:r w:rsidRPr="00762045">
        <w:rPr>
          <w:rFonts w:ascii="TimesNewRoman" w:hAnsi="TimesNewRoman" w:cs="TimesNewRoman"/>
          <w:szCs w:val="22"/>
          <w:lang w:val="en-US" w:eastAsia="ja-JP"/>
        </w:rPr>
        <w:t>:</w:t>
      </w:r>
    </w:p>
    <w:p w:rsidR="00762045" w:rsidRDefault="00762045" w:rsidP="00762045">
      <w:pPr>
        <w:rPr>
          <w:rFonts w:ascii="TimesNewRoman" w:hAnsi="TimesNewRoman" w:cs="TimesNewRoman"/>
          <w:sz w:val="20"/>
          <w:lang w:val="en-US" w:eastAsia="ja-JP"/>
        </w:rPr>
      </w:pPr>
    </w:p>
    <w:p w:rsidR="00762045" w:rsidRDefault="00744D02"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r w:rsidR="000B2FAA">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r w:rsidR="00F528F5">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lastRenderedPageBreak/>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F34C58" w:rsidRPr="000E4020"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lastRenderedPageBreak/>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744D02"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3253786"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744D02"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3253787" r:id="rId29"/>
        </w:pict>
      </w:r>
    </w:p>
    <w:p w:rsidR="00090B06" w:rsidRPr="004253CA" w:rsidRDefault="00744D02"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3253788"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744D02"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3253789"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744D02"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3253790"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744D02"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3253791"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744D02"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3253792"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r w:rsidR="007A7DD5">
        <w:rPr>
          <w:rFonts w:ascii="Times New Roman" w:eastAsia="Malgun Gothic" w:hAnsi="Times New Roman" w:cs="Times New Roman"/>
          <w:b/>
          <w:bCs/>
          <w:i/>
          <w:sz w:val="22"/>
          <w:szCs w:val="22"/>
          <w:lang w:val="en-US" w:eastAsia="ko-KR"/>
        </w:rPr>
        <w:t>with low delay spread</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low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moderate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Maximum path loss category: Hilly terrain with moderate-to-heavy tree densities</w:t>
      </w:r>
      <w:r w:rsidR="007A7DD5">
        <w:rPr>
          <w:rFonts w:ascii="Times New Roman" w:eastAsia="Malgun Gothic" w:hAnsi="Times New Roman" w:cs="Times New Roman"/>
          <w:b/>
          <w:bCs/>
          <w:i/>
          <w:sz w:val="22"/>
          <w:szCs w:val="22"/>
          <w:lang w:val="en-US" w:eastAsia="ko-KR"/>
        </w:rPr>
        <w:t xml:space="preserve"> with high delay spread</w:t>
      </w:r>
      <w:r w:rsidR="00993E39" w:rsidRPr="008D61A9">
        <w:rPr>
          <w:rFonts w:ascii="Times New Roman" w:eastAsia="Malgun Gothic" w:hAnsi="Times New Roman" w:cs="Times New Roman"/>
          <w:b/>
          <w:bCs/>
          <w:i/>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B337BF">
        <w:rPr>
          <w:rFonts w:ascii="Times New Roman" w:eastAsia="Malgun Gothic" w:hAnsi="Times New Roman" w:cs="Times New Roman"/>
          <w:b/>
          <w:i/>
          <w:sz w:val="22"/>
          <w:szCs w:val="22"/>
          <w:u w:val="single"/>
          <w:lang w:val="en-US" w:eastAsia="ko-KR"/>
        </w:rPr>
        <w:t>Models Initially Proposed</w:t>
      </w:r>
      <w:r w:rsidRPr="00833E93">
        <w:rPr>
          <w:rFonts w:ascii="Times New Roman" w:eastAsia="Malgun Gothic" w:hAnsi="Times New Roman" w:cs="Times New Roman"/>
          <w:b/>
          <w:i/>
          <w:sz w:val="22"/>
          <w:szCs w:val="22"/>
          <w:u w:val="single"/>
          <w:lang w:val="en-US" w:eastAsia="ko-KR"/>
        </w:rPr>
        <w:t xml:space="preserve">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1B" w:rsidRDefault="009A671B">
      <w:r>
        <w:separator/>
      </w:r>
    </w:p>
  </w:endnote>
  <w:endnote w:type="continuationSeparator" w:id="0">
    <w:p w:rsidR="009A671B" w:rsidRDefault="009A6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Pr="003E6AB8" w:rsidRDefault="00DE3207">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9A6ECC">
        <w:rPr>
          <w:noProof/>
        </w:rPr>
        <w:t>1</w:t>
      </w:r>
    </w:fldSimple>
    <w:r>
      <w:tab/>
    </w:r>
    <w:proofErr w:type="spellStart"/>
    <w:r>
      <w:rPr>
        <w:rFonts w:hint="eastAsia"/>
        <w:lang w:eastAsia="ko-KR"/>
      </w:rPr>
      <w:t>Soo</w:t>
    </w:r>
    <w:proofErr w:type="spellEnd"/>
    <w:r>
      <w:rPr>
        <w:rFonts w:hint="eastAsia"/>
        <w:lang w:eastAsia="ko-KR"/>
      </w:rPr>
      <w:t>-Young Chang, CSUS</w:t>
    </w:r>
  </w:p>
  <w:p w:rsidR="00DE3207" w:rsidRDefault="00DE32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1B" w:rsidRDefault="009A671B">
      <w:r>
        <w:separator/>
      </w:r>
    </w:p>
  </w:footnote>
  <w:footnote w:type="continuationSeparator" w:id="0">
    <w:p w:rsidR="009A671B" w:rsidRDefault="009A6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Default="00DE3207" w:rsidP="00460226">
    <w:pPr>
      <w:pStyle w:val="Header"/>
      <w:pBdr>
        <w:bottom w:val="single" w:sz="6" w:space="0" w:color="auto"/>
      </w:pBdr>
      <w:tabs>
        <w:tab w:val="clear" w:pos="6480"/>
        <w:tab w:val="center" w:pos="4680"/>
        <w:tab w:val="right" w:pos="9360"/>
      </w:tabs>
      <w:rPr>
        <w:lang w:eastAsia="ko-KR"/>
      </w:rPr>
    </w:pPr>
    <w:r>
      <w:rPr>
        <w:lang w:eastAsia="ko-KR"/>
      </w:rPr>
      <w:t>March</w:t>
    </w:r>
    <w:r>
      <w:t xml:space="preserve"> 2012</w:t>
    </w:r>
    <w:r>
      <w:tab/>
    </w:r>
    <w:r>
      <w:tab/>
    </w:r>
    <w:fldSimple w:instr=" TITLE  \* MERGEFORMAT ">
      <w:r w:rsidR="00B60652">
        <w:t>doc.: IEEE 802.15-11-0684-10</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02">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46E9"/>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B2BBD"/>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1215"/>
    <w:rsid w:val="00514101"/>
    <w:rsid w:val="005156F3"/>
    <w:rsid w:val="005168E8"/>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D767D"/>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337BF"/>
    <w:rsid w:val="00B40051"/>
    <w:rsid w:val="00B41CD4"/>
    <w:rsid w:val="00B4682D"/>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FAA0-A009-4B1C-AF47-63E908DF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10992</Words>
  <Characters>62655</Characters>
  <Application>Microsoft Office Word</Application>
  <DocSecurity>0</DocSecurity>
  <Lines>522</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2</cp:revision>
  <cp:lastPrinted>2011-10-11T05:42:00Z</cp:lastPrinted>
  <dcterms:created xsi:type="dcterms:W3CDTF">2012-03-15T01:03:00Z</dcterms:created>
  <dcterms:modified xsi:type="dcterms:W3CDTF">2012-03-15T01:03:00Z</dcterms:modified>
</cp:coreProperties>
</file>