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05" w:rsidRDefault="00F33D05" w:rsidP="00F33D05">
      <w:pPr>
        <w:jc w:val="center"/>
        <w:rPr>
          <w:b/>
          <w:sz w:val="28"/>
        </w:rPr>
      </w:pPr>
      <w:r>
        <w:rPr>
          <w:b/>
          <w:sz w:val="28"/>
        </w:rPr>
        <w:t>IEEE P802.15</w:t>
      </w:r>
    </w:p>
    <w:p w:rsidR="00F33D05" w:rsidRDefault="00F33D05" w:rsidP="00F33D05">
      <w:pPr>
        <w:jc w:val="center"/>
        <w:rPr>
          <w:b/>
          <w:sz w:val="28"/>
        </w:rPr>
      </w:pPr>
      <w:r>
        <w:rPr>
          <w:b/>
          <w:sz w:val="28"/>
        </w:rPr>
        <w:t>Wireless Personal Area Networks</w:t>
      </w:r>
    </w:p>
    <w:p w:rsidR="00F33D05" w:rsidRDefault="00F33D05" w:rsidP="00F33D05">
      <w:pPr>
        <w:jc w:val="center"/>
        <w:rPr>
          <w:b/>
          <w:sz w:val="28"/>
        </w:rPr>
      </w:pPr>
    </w:p>
    <w:tbl>
      <w:tblPr>
        <w:tblW w:w="0" w:type="auto"/>
        <w:tblInd w:w="108" w:type="dxa"/>
        <w:tblLayout w:type="fixed"/>
        <w:tblLook w:val="0000"/>
      </w:tblPr>
      <w:tblGrid>
        <w:gridCol w:w="1260"/>
        <w:gridCol w:w="4050"/>
        <w:gridCol w:w="4140"/>
      </w:tblGrid>
      <w:tr w:rsidR="00F33D05" w:rsidTr="002C6513">
        <w:tc>
          <w:tcPr>
            <w:tcW w:w="1260" w:type="dxa"/>
            <w:tcBorders>
              <w:top w:val="single" w:sz="6" w:space="0" w:color="auto"/>
            </w:tcBorders>
          </w:tcPr>
          <w:p w:rsidR="00F33D05" w:rsidRDefault="00F33D05" w:rsidP="002C6513">
            <w:pPr>
              <w:pStyle w:val="covertext"/>
            </w:pPr>
            <w:r>
              <w:t>Project</w:t>
            </w:r>
          </w:p>
        </w:tc>
        <w:tc>
          <w:tcPr>
            <w:tcW w:w="8190" w:type="dxa"/>
            <w:gridSpan w:val="2"/>
            <w:tcBorders>
              <w:top w:val="single" w:sz="6" w:space="0" w:color="auto"/>
            </w:tcBorders>
          </w:tcPr>
          <w:p w:rsidR="00F33D05" w:rsidRDefault="00F33D05" w:rsidP="002C6513">
            <w:pPr>
              <w:pStyle w:val="covertext"/>
            </w:pPr>
            <w:r>
              <w:t>IEEE P802.15 Working Group for Wireless Personal Area Networks (WPANs)</w:t>
            </w:r>
          </w:p>
        </w:tc>
      </w:tr>
      <w:tr w:rsidR="00F33D05" w:rsidTr="002C6513">
        <w:tc>
          <w:tcPr>
            <w:tcW w:w="1260" w:type="dxa"/>
            <w:tcBorders>
              <w:top w:val="single" w:sz="6" w:space="0" w:color="auto"/>
            </w:tcBorders>
          </w:tcPr>
          <w:p w:rsidR="00F33D05" w:rsidRPr="00C23E5C" w:rsidRDefault="00F33D05" w:rsidP="002C6513">
            <w:pPr>
              <w:pStyle w:val="covertext"/>
            </w:pPr>
            <w:r w:rsidRPr="00C23E5C">
              <w:t>Title</w:t>
            </w:r>
          </w:p>
        </w:tc>
        <w:tc>
          <w:tcPr>
            <w:tcW w:w="8190" w:type="dxa"/>
            <w:gridSpan w:val="2"/>
            <w:tcBorders>
              <w:top w:val="single" w:sz="6" w:space="0" w:color="auto"/>
            </w:tcBorders>
          </w:tcPr>
          <w:p w:rsidR="00F33D05" w:rsidRPr="00C23E5C" w:rsidRDefault="005E04BA" w:rsidP="00C23E5C">
            <w:pPr>
              <w:pStyle w:val="covertext"/>
            </w:pPr>
            <w:fldSimple w:instr=" TITLE  \* MERGEFORMAT ">
              <w:r w:rsidR="00C23E5C" w:rsidRPr="00C23E5C">
                <w:rPr>
                  <w:sz w:val="28"/>
                </w:rPr>
                <w:t>Support for LB69</w:t>
              </w:r>
              <w:r w:rsidR="00C23E5C">
                <w:t xml:space="preserve"> </w:t>
              </w:r>
              <w:r w:rsidR="00C23E5C" w:rsidRPr="00C23E5C">
                <w:rPr>
                  <w:sz w:val="28"/>
                  <w:szCs w:val="28"/>
                </w:rPr>
                <w:t>nested</w:t>
              </w:r>
              <w:r w:rsidR="00C23E5C">
                <w:t xml:space="preserve"> IE Comments</w:t>
              </w:r>
            </w:fldSimple>
          </w:p>
        </w:tc>
      </w:tr>
      <w:tr w:rsidR="00F33D05" w:rsidTr="002C6513">
        <w:tc>
          <w:tcPr>
            <w:tcW w:w="1260" w:type="dxa"/>
            <w:tcBorders>
              <w:top w:val="single" w:sz="6" w:space="0" w:color="auto"/>
            </w:tcBorders>
          </w:tcPr>
          <w:p w:rsidR="00F33D05" w:rsidRDefault="00F33D05" w:rsidP="002C6513">
            <w:pPr>
              <w:pStyle w:val="covertext"/>
            </w:pPr>
            <w:r>
              <w:t>Date Submitted</w:t>
            </w:r>
          </w:p>
        </w:tc>
        <w:tc>
          <w:tcPr>
            <w:tcW w:w="8190" w:type="dxa"/>
            <w:gridSpan w:val="2"/>
            <w:tcBorders>
              <w:top w:val="single" w:sz="6" w:space="0" w:color="auto"/>
            </w:tcBorders>
          </w:tcPr>
          <w:p w:rsidR="00F33D05" w:rsidRDefault="00C23E5C" w:rsidP="002C6513">
            <w:pPr>
              <w:pStyle w:val="covertext"/>
            </w:pPr>
            <w:r>
              <w:t>11 March 2011</w:t>
            </w:r>
          </w:p>
        </w:tc>
      </w:tr>
      <w:tr w:rsidR="00F33D05" w:rsidTr="002C6513">
        <w:tc>
          <w:tcPr>
            <w:tcW w:w="1260" w:type="dxa"/>
            <w:tcBorders>
              <w:top w:val="single" w:sz="4" w:space="0" w:color="auto"/>
              <w:bottom w:val="single" w:sz="4" w:space="0" w:color="auto"/>
            </w:tcBorders>
          </w:tcPr>
          <w:p w:rsidR="00F33D05" w:rsidRDefault="00F33D05" w:rsidP="002C6513">
            <w:pPr>
              <w:pStyle w:val="covertext"/>
            </w:pPr>
            <w:r>
              <w:t>Source</w:t>
            </w:r>
          </w:p>
        </w:tc>
        <w:tc>
          <w:tcPr>
            <w:tcW w:w="4050" w:type="dxa"/>
            <w:tcBorders>
              <w:top w:val="single" w:sz="4" w:space="0" w:color="auto"/>
              <w:bottom w:val="single" w:sz="4" w:space="0" w:color="auto"/>
            </w:tcBorders>
          </w:tcPr>
          <w:p w:rsidR="00F33D05" w:rsidRDefault="00F33D05" w:rsidP="00F33D05">
            <w:pPr>
              <w:pStyle w:val="covertext"/>
              <w:spacing w:before="0" w:after="0"/>
            </w:pPr>
            <w:r>
              <w:t>[</w:t>
            </w:r>
            <w:fldSimple w:instr=" AUTHOR  \* MERGEFORMAT ">
              <w:r w:rsidR="00C23E5C">
                <w:rPr>
                  <w:noProof/>
                </w:rPr>
                <w:t>B. Rolfe, J. Simon, W. San Filippo,</w:t>
              </w:r>
            </w:fldSimple>
            <w:r>
              <w:t>]</w:t>
            </w:r>
            <w:r>
              <w:br/>
              <w:t>[</w:t>
            </w:r>
            <w:r w:rsidR="00C23E5C">
              <w:t>BCA, Dust, SSN]</w:t>
            </w:r>
            <w:r>
              <w:br/>
              <w:t>[</w:t>
            </w:r>
            <w:r w:rsidR="00FB2551">
              <w:t>Los Gatos, CA</w:t>
            </w:r>
            <w:r>
              <w:t>]</w:t>
            </w:r>
          </w:p>
          <w:p w:rsidR="00F33D05" w:rsidRDefault="00F33D05" w:rsidP="00F33D05">
            <w:pPr>
              <w:pStyle w:val="covertext"/>
              <w:spacing w:before="0" w:after="0"/>
            </w:pPr>
          </w:p>
        </w:tc>
        <w:tc>
          <w:tcPr>
            <w:tcW w:w="4140" w:type="dxa"/>
            <w:tcBorders>
              <w:top w:val="single" w:sz="4" w:space="0" w:color="auto"/>
              <w:bottom w:val="single" w:sz="4" w:space="0" w:color="auto"/>
            </w:tcBorders>
          </w:tcPr>
          <w:p w:rsidR="00F33D05" w:rsidRDefault="00F33D05" w:rsidP="00F33D05">
            <w:pPr>
              <w:pStyle w:val="covertext"/>
              <w:tabs>
                <w:tab w:val="left" w:pos="1152"/>
              </w:tabs>
              <w:spacing w:before="0" w:after="0"/>
            </w:pPr>
            <w:r>
              <w:t>Voice:</w:t>
            </w:r>
            <w:r>
              <w:tab/>
              <w:t>[</w:t>
            </w:r>
            <w:r w:rsidR="00FB2551">
              <w:t>+1</w:t>
            </w:r>
            <w:r>
              <w:t xml:space="preserve"> 408 395 7207</w:t>
            </w:r>
            <w:r>
              <w:br/>
              <w:t>Fax:</w:t>
            </w:r>
            <w:r>
              <w:tab/>
              <w:t>[   ]</w:t>
            </w:r>
            <w:r>
              <w:br/>
              <w:t>E-mail:</w:t>
            </w:r>
            <w:r>
              <w:tab/>
              <w:t xml:space="preserve">[ </w:t>
            </w:r>
            <w:proofErr w:type="spellStart"/>
            <w:r>
              <w:t>ben</w:t>
            </w:r>
            <w:proofErr w:type="spellEnd"/>
            <w:r>
              <w:t xml:space="preserve"> @ blindcreek.com  ]</w:t>
            </w:r>
          </w:p>
          <w:p w:rsidR="00F33D05" w:rsidRDefault="00F33D05" w:rsidP="00F33D05">
            <w:pPr>
              <w:pStyle w:val="covertext"/>
              <w:tabs>
                <w:tab w:val="left" w:pos="1152"/>
              </w:tabs>
              <w:spacing w:before="0" w:after="0"/>
              <w:rPr>
                <w:sz w:val="18"/>
              </w:rPr>
            </w:pPr>
          </w:p>
        </w:tc>
      </w:tr>
      <w:tr w:rsidR="00F33D05" w:rsidTr="002C6513">
        <w:tc>
          <w:tcPr>
            <w:tcW w:w="1260" w:type="dxa"/>
            <w:tcBorders>
              <w:top w:val="single" w:sz="6" w:space="0" w:color="auto"/>
            </w:tcBorders>
          </w:tcPr>
          <w:p w:rsidR="00F33D05" w:rsidRDefault="00F33D05" w:rsidP="002C6513">
            <w:pPr>
              <w:pStyle w:val="covertext"/>
            </w:pPr>
            <w:r>
              <w:t>Re:</w:t>
            </w:r>
          </w:p>
        </w:tc>
        <w:tc>
          <w:tcPr>
            <w:tcW w:w="8190" w:type="dxa"/>
            <w:gridSpan w:val="2"/>
            <w:tcBorders>
              <w:top w:val="single" w:sz="6" w:space="0" w:color="auto"/>
            </w:tcBorders>
          </w:tcPr>
          <w:sdt>
            <w:sdtPr>
              <w:alias w:val="Subject"/>
              <w:id w:val="647848519"/>
              <w:placeholder>
                <w:docPart w:val="327768CBED92467EA33D251661987205"/>
              </w:placeholder>
              <w:dataBinding w:prefixMappings="xmlns:ns0='http://purl.org/dc/elements/1.1/' xmlns:ns1='http://schemas.openxmlformats.org/package/2006/metadata/core-properties' " w:xpath="/ns1:coreProperties[1]/ns0:subject[1]" w:storeItemID="{6C3C8BC8-F283-45AE-878A-BAB7291924A1}"/>
              <w:text/>
            </w:sdtPr>
            <w:sdtContent>
              <w:p w:rsidR="00F33D05" w:rsidRDefault="00C23E5C" w:rsidP="00F33D05">
                <w:pPr>
                  <w:pStyle w:val="covertext"/>
                </w:pPr>
                <w:r>
                  <w:t>TG4e LB 69 comment resolution</w:t>
                </w:r>
              </w:p>
            </w:sdtContent>
          </w:sdt>
        </w:tc>
      </w:tr>
      <w:tr w:rsidR="00F33D05" w:rsidTr="002C6513">
        <w:tc>
          <w:tcPr>
            <w:tcW w:w="1260" w:type="dxa"/>
            <w:tcBorders>
              <w:top w:val="single" w:sz="6" w:space="0" w:color="auto"/>
            </w:tcBorders>
          </w:tcPr>
          <w:p w:rsidR="00F33D05" w:rsidRDefault="00F33D05" w:rsidP="002C6513">
            <w:pPr>
              <w:pStyle w:val="covertext"/>
            </w:pPr>
            <w:r>
              <w:t>Abstract</w:t>
            </w:r>
          </w:p>
        </w:tc>
        <w:tc>
          <w:tcPr>
            <w:tcW w:w="8190" w:type="dxa"/>
            <w:gridSpan w:val="2"/>
            <w:tcBorders>
              <w:top w:val="single" w:sz="6" w:space="0" w:color="auto"/>
            </w:tcBorders>
          </w:tcPr>
          <w:p w:rsidR="00F33D05" w:rsidRDefault="00C23E5C" w:rsidP="002C6513">
            <w:pPr>
              <w:pStyle w:val="covertext"/>
            </w:pPr>
            <w:r>
              <w:t xml:space="preserve">Supporting text with content to satisfy submitted </w:t>
            </w:r>
            <w:r w:rsidR="008A2690">
              <w:t>ballot comments (B. Rolfe) as proposed resolutions</w:t>
            </w:r>
            <w:r>
              <w:t>.</w:t>
            </w:r>
          </w:p>
          <w:p w:rsidR="00F33D05" w:rsidRDefault="00F33D05" w:rsidP="002C6513">
            <w:pPr>
              <w:pStyle w:val="covertext"/>
            </w:pPr>
          </w:p>
        </w:tc>
      </w:tr>
      <w:tr w:rsidR="00F33D05" w:rsidTr="002C6513">
        <w:tc>
          <w:tcPr>
            <w:tcW w:w="1260" w:type="dxa"/>
            <w:tcBorders>
              <w:top w:val="single" w:sz="6" w:space="0" w:color="auto"/>
            </w:tcBorders>
          </w:tcPr>
          <w:p w:rsidR="00F33D05" w:rsidRDefault="00F33D05" w:rsidP="002C6513">
            <w:pPr>
              <w:pStyle w:val="covertext"/>
            </w:pPr>
            <w:r>
              <w:t>Purpose</w:t>
            </w:r>
          </w:p>
        </w:tc>
        <w:tc>
          <w:tcPr>
            <w:tcW w:w="8190" w:type="dxa"/>
            <w:gridSpan w:val="2"/>
            <w:tcBorders>
              <w:top w:val="single" w:sz="6" w:space="0" w:color="auto"/>
            </w:tcBorders>
          </w:tcPr>
          <w:p w:rsidR="00F33D05" w:rsidRDefault="008E664B" w:rsidP="002C6513">
            <w:pPr>
              <w:pStyle w:val="covertext"/>
            </w:pPr>
            <w:r>
              <w:t xml:space="preserve">Support </w:t>
            </w:r>
            <w:r w:rsidR="008A2690">
              <w:t>LB60 Comment Resolution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Notice</w:t>
            </w:r>
          </w:p>
        </w:tc>
        <w:tc>
          <w:tcPr>
            <w:tcW w:w="8190" w:type="dxa"/>
            <w:gridSpan w:val="2"/>
            <w:tcBorders>
              <w:top w:val="single" w:sz="6" w:space="0" w:color="auto"/>
              <w:bottom w:val="single" w:sz="6" w:space="0" w:color="auto"/>
            </w:tcBorders>
          </w:tcPr>
          <w:p w:rsidR="00F33D05" w:rsidRDefault="00F33D05" w:rsidP="002C651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Release</w:t>
            </w:r>
          </w:p>
        </w:tc>
        <w:tc>
          <w:tcPr>
            <w:tcW w:w="8190" w:type="dxa"/>
            <w:gridSpan w:val="2"/>
            <w:tcBorders>
              <w:top w:val="single" w:sz="6" w:space="0" w:color="auto"/>
              <w:bottom w:val="single" w:sz="6" w:space="0" w:color="auto"/>
            </w:tcBorders>
          </w:tcPr>
          <w:p w:rsidR="00F33D05" w:rsidRDefault="00F33D05" w:rsidP="002C6513">
            <w:pPr>
              <w:pStyle w:val="covertext"/>
            </w:pPr>
            <w:r>
              <w:t>The contributor acknowledges and accepts that this contribution becomes the property of IEEE and may be made publicly available by P802.15.</w:t>
            </w:r>
          </w:p>
        </w:tc>
      </w:tr>
    </w:tbl>
    <w:p w:rsidR="00F33D05" w:rsidRDefault="00F33D05" w:rsidP="00F33D05">
      <w:pPr>
        <w:widowControl w:val="0"/>
        <w:spacing w:before="120"/>
      </w:pPr>
      <w:r>
        <w:rPr>
          <w:b/>
          <w:sz w:val="28"/>
        </w:rPr>
        <w:br w:type="page"/>
      </w:r>
    </w:p>
    <w:p w:rsidR="00C23E5C" w:rsidRDefault="00C23E5C" w:rsidP="00C23E5C">
      <w:pPr>
        <w:pStyle w:val="Heading1"/>
      </w:pPr>
      <w:r>
        <w:lastRenderedPageBreak/>
        <w:t>Clarification of nested IE form</w:t>
      </w:r>
    </w:p>
    <w:p w:rsidR="00D05DD5" w:rsidRPr="00D05DD5" w:rsidRDefault="00D05DD5" w:rsidP="00D05DD5"/>
    <w:p w:rsidR="00C23E5C" w:rsidRDefault="00C23E5C" w:rsidP="00C23E5C">
      <w:r>
        <w:t>The following shows the general format of an IE when the Type Field = 1</w:t>
      </w:r>
      <w:r w:rsidR="00D05DD5">
        <w:t>, called “payload IEs” in the draft.  The following updates Figure 54o</w:t>
      </w:r>
      <w:r>
        <w:t>:</w:t>
      </w:r>
    </w:p>
    <w:tbl>
      <w:tblPr>
        <w:tblStyle w:val="TableGrid"/>
        <w:tblW w:w="0" w:type="auto"/>
        <w:tblLayout w:type="fixed"/>
        <w:tblLook w:val="04A0"/>
      </w:tblPr>
      <w:tblGrid>
        <w:gridCol w:w="1008"/>
        <w:gridCol w:w="867"/>
        <w:gridCol w:w="1412"/>
        <w:gridCol w:w="1412"/>
      </w:tblGrid>
      <w:tr w:rsidR="00C23E5C" w:rsidTr="006152E5">
        <w:tc>
          <w:tcPr>
            <w:tcW w:w="1008" w:type="dxa"/>
          </w:tcPr>
          <w:p w:rsidR="00C23E5C" w:rsidRDefault="00C23E5C" w:rsidP="006152E5">
            <w:r>
              <w:t>Bits:1</w:t>
            </w:r>
          </w:p>
        </w:tc>
        <w:tc>
          <w:tcPr>
            <w:tcW w:w="867" w:type="dxa"/>
          </w:tcPr>
          <w:p w:rsidR="00C23E5C" w:rsidRDefault="00C23E5C" w:rsidP="006152E5">
            <w:r>
              <w:t>4</w:t>
            </w:r>
          </w:p>
        </w:tc>
        <w:tc>
          <w:tcPr>
            <w:tcW w:w="1412" w:type="dxa"/>
          </w:tcPr>
          <w:p w:rsidR="00C23E5C" w:rsidRDefault="00C23E5C" w:rsidP="006152E5">
            <w:r>
              <w:t>11</w:t>
            </w:r>
          </w:p>
        </w:tc>
        <w:tc>
          <w:tcPr>
            <w:tcW w:w="1412" w:type="dxa"/>
          </w:tcPr>
          <w:p w:rsidR="00C23E5C" w:rsidRDefault="00C23E5C" w:rsidP="006152E5">
            <w:r>
              <w:t>Variable</w:t>
            </w:r>
          </w:p>
        </w:tc>
      </w:tr>
      <w:tr w:rsidR="00C23E5C" w:rsidTr="006152E5">
        <w:tc>
          <w:tcPr>
            <w:tcW w:w="1008" w:type="dxa"/>
          </w:tcPr>
          <w:p w:rsidR="00C23E5C" w:rsidRDefault="00C23E5C" w:rsidP="006152E5">
            <w:r>
              <w:t xml:space="preserve">Type </w:t>
            </w:r>
          </w:p>
        </w:tc>
        <w:tc>
          <w:tcPr>
            <w:tcW w:w="867" w:type="dxa"/>
          </w:tcPr>
          <w:p w:rsidR="00C23E5C" w:rsidRDefault="00C23E5C" w:rsidP="006152E5">
            <w:r>
              <w:t>ID</w:t>
            </w:r>
          </w:p>
        </w:tc>
        <w:tc>
          <w:tcPr>
            <w:tcW w:w="1412" w:type="dxa"/>
          </w:tcPr>
          <w:p w:rsidR="00C23E5C" w:rsidRDefault="00C23E5C" w:rsidP="006152E5">
            <w:r>
              <w:t>Length</w:t>
            </w:r>
          </w:p>
        </w:tc>
        <w:tc>
          <w:tcPr>
            <w:tcW w:w="1412" w:type="dxa"/>
          </w:tcPr>
          <w:p w:rsidR="00C23E5C" w:rsidRDefault="00C23E5C" w:rsidP="006152E5">
            <w:r>
              <w:t>Content</w:t>
            </w:r>
          </w:p>
        </w:tc>
      </w:tr>
      <w:tr w:rsidR="00C23E5C" w:rsidTr="006152E5">
        <w:tc>
          <w:tcPr>
            <w:tcW w:w="1008" w:type="dxa"/>
          </w:tcPr>
          <w:p w:rsidR="00C23E5C" w:rsidRDefault="00C23E5C" w:rsidP="006152E5">
            <w:r>
              <w:t>1</w:t>
            </w:r>
          </w:p>
        </w:tc>
        <w:tc>
          <w:tcPr>
            <w:tcW w:w="867" w:type="dxa"/>
          </w:tcPr>
          <w:p w:rsidR="00C23E5C" w:rsidRDefault="00C23E5C" w:rsidP="006152E5">
            <w:r>
              <w:t>0 - 15</w:t>
            </w:r>
          </w:p>
        </w:tc>
        <w:tc>
          <w:tcPr>
            <w:tcW w:w="1412" w:type="dxa"/>
          </w:tcPr>
          <w:p w:rsidR="00C23E5C" w:rsidRDefault="00C23E5C" w:rsidP="006152E5">
            <w:r>
              <w:t>0 – 2047</w:t>
            </w:r>
          </w:p>
        </w:tc>
        <w:tc>
          <w:tcPr>
            <w:tcW w:w="1412" w:type="dxa"/>
          </w:tcPr>
          <w:p w:rsidR="00C23E5C" w:rsidRDefault="00C23E5C" w:rsidP="006152E5"/>
        </w:tc>
      </w:tr>
    </w:tbl>
    <w:p w:rsidR="00C23E5C" w:rsidRDefault="006F504F" w:rsidP="00C23E5C">
      <w:r>
        <w:t>Figure 54o - Payload IE general form</w:t>
      </w:r>
    </w:p>
    <w:p w:rsidR="006F504F" w:rsidRDefault="006F504F" w:rsidP="00C23E5C">
      <w:r>
        <w:t xml:space="preserve">Update text: The payload ID has the form in Figure 54o: the </w:t>
      </w:r>
      <w:proofErr w:type="gramStart"/>
      <w:r>
        <w:t>Type  field</w:t>
      </w:r>
      <w:proofErr w:type="gramEnd"/>
      <w:r>
        <w:t xml:space="preserve"> is set to 1. The ID value mapping is shown in Table 80j. </w:t>
      </w:r>
    </w:p>
    <w:p w:rsidR="00C23E5C" w:rsidRDefault="00C23E5C" w:rsidP="00C23E5C">
      <w:r>
        <w:t>Update table</w:t>
      </w:r>
      <w:r w:rsidR="00D05DD5">
        <w:t xml:space="preserve"> 80j</w:t>
      </w:r>
      <w:r>
        <w:t xml:space="preserve"> for Type = 1 IE namespace:</w:t>
      </w:r>
    </w:p>
    <w:tbl>
      <w:tblPr>
        <w:tblStyle w:val="TableGrid"/>
        <w:tblW w:w="0" w:type="auto"/>
        <w:tblLook w:val="04A0"/>
      </w:tblPr>
      <w:tblGrid>
        <w:gridCol w:w="1458"/>
        <w:gridCol w:w="4926"/>
        <w:gridCol w:w="3192"/>
      </w:tblGrid>
      <w:tr w:rsidR="00C23E5C" w:rsidTr="006152E5">
        <w:tc>
          <w:tcPr>
            <w:tcW w:w="1458" w:type="dxa"/>
          </w:tcPr>
          <w:p w:rsidR="00C23E5C" w:rsidRDefault="00C23E5C" w:rsidP="006152E5">
            <w:r>
              <w:t>ID Value</w:t>
            </w:r>
          </w:p>
        </w:tc>
        <w:tc>
          <w:tcPr>
            <w:tcW w:w="4926" w:type="dxa"/>
          </w:tcPr>
          <w:p w:rsidR="00C23E5C" w:rsidRDefault="00C23E5C" w:rsidP="006152E5">
            <w:r>
              <w:t>Description</w:t>
            </w:r>
          </w:p>
        </w:tc>
        <w:tc>
          <w:tcPr>
            <w:tcW w:w="3192" w:type="dxa"/>
          </w:tcPr>
          <w:p w:rsidR="00C23E5C" w:rsidRDefault="00C23E5C" w:rsidP="006152E5"/>
        </w:tc>
      </w:tr>
      <w:tr w:rsidR="00C23E5C" w:rsidTr="006152E5">
        <w:tc>
          <w:tcPr>
            <w:tcW w:w="1458" w:type="dxa"/>
          </w:tcPr>
          <w:p w:rsidR="00C23E5C" w:rsidRDefault="00C23E5C" w:rsidP="006152E5">
            <w:r>
              <w:t>0x0</w:t>
            </w:r>
          </w:p>
        </w:tc>
        <w:tc>
          <w:tcPr>
            <w:tcW w:w="4926" w:type="dxa"/>
          </w:tcPr>
          <w:p w:rsidR="00C23E5C" w:rsidRDefault="00C23E5C" w:rsidP="006152E5">
            <w:r>
              <w:t>Upper layer payload (SDU passed up/down)  (content transparent to the MAC)</w:t>
            </w:r>
          </w:p>
        </w:tc>
        <w:tc>
          <w:tcPr>
            <w:tcW w:w="3192" w:type="dxa"/>
          </w:tcPr>
          <w:p w:rsidR="00C23E5C" w:rsidRDefault="00C23E5C" w:rsidP="006152E5"/>
        </w:tc>
      </w:tr>
      <w:tr w:rsidR="00C23E5C" w:rsidTr="006152E5">
        <w:tc>
          <w:tcPr>
            <w:tcW w:w="1458" w:type="dxa"/>
          </w:tcPr>
          <w:p w:rsidR="00C23E5C" w:rsidRDefault="00C23E5C" w:rsidP="006152E5">
            <w:r>
              <w:t>0x1-0x8</w:t>
            </w:r>
          </w:p>
        </w:tc>
        <w:tc>
          <w:tcPr>
            <w:tcW w:w="4926" w:type="dxa"/>
          </w:tcPr>
          <w:p w:rsidR="00C23E5C" w:rsidRDefault="00C23E5C" w:rsidP="006152E5">
            <w:r>
              <w:t>Un-managed</w:t>
            </w:r>
          </w:p>
        </w:tc>
        <w:tc>
          <w:tcPr>
            <w:tcW w:w="3192" w:type="dxa"/>
          </w:tcPr>
          <w:p w:rsidR="00C23E5C" w:rsidRDefault="00C23E5C" w:rsidP="006152E5"/>
        </w:tc>
      </w:tr>
      <w:tr w:rsidR="00C23E5C" w:rsidTr="006152E5">
        <w:tc>
          <w:tcPr>
            <w:tcW w:w="1458" w:type="dxa"/>
          </w:tcPr>
          <w:p w:rsidR="00C23E5C" w:rsidRDefault="00C23E5C" w:rsidP="006152E5">
            <w:r>
              <w:t>0x9</w:t>
            </w:r>
          </w:p>
        </w:tc>
        <w:tc>
          <w:tcPr>
            <w:tcW w:w="4926" w:type="dxa"/>
          </w:tcPr>
          <w:p w:rsidR="00C23E5C" w:rsidRDefault="00C23E5C" w:rsidP="006152E5">
            <w:r>
              <w:t xml:space="preserve">MLME (Nested) </w:t>
            </w:r>
          </w:p>
        </w:tc>
        <w:tc>
          <w:tcPr>
            <w:tcW w:w="3192" w:type="dxa"/>
          </w:tcPr>
          <w:p w:rsidR="00C23E5C" w:rsidRDefault="00C23E5C" w:rsidP="006152E5"/>
        </w:tc>
      </w:tr>
      <w:tr w:rsidR="00C23E5C" w:rsidTr="006152E5">
        <w:tc>
          <w:tcPr>
            <w:tcW w:w="1458" w:type="dxa"/>
          </w:tcPr>
          <w:p w:rsidR="00C23E5C" w:rsidRDefault="00C23E5C" w:rsidP="00167731">
            <w:r>
              <w:t>0xa-0x</w:t>
            </w:r>
            <w:r w:rsidR="00167731">
              <w:t>e</w:t>
            </w:r>
          </w:p>
        </w:tc>
        <w:tc>
          <w:tcPr>
            <w:tcW w:w="4926" w:type="dxa"/>
          </w:tcPr>
          <w:p w:rsidR="00C23E5C" w:rsidRDefault="00C23E5C" w:rsidP="006152E5">
            <w:r>
              <w:t>Reserved</w:t>
            </w:r>
          </w:p>
        </w:tc>
        <w:tc>
          <w:tcPr>
            <w:tcW w:w="3192" w:type="dxa"/>
          </w:tcPr>
          <w:p w:rsidR="00C23E5C" w:rsidRDefault="00C23E5C" w:rsidP="006152E5"/>
        </w:tc>
      </w:tr>
      <w:tr w:rsidR="00167731" w:rsidTr="006152E5">
        <w:tc>
          <w:tcPr>
            <w:tcW w:w="1458" w:type="dxa"/>
          </w:tcPr>
          <w:p w:rsidR="00167731" w:rsidRDefault="00167731" w:rsidP="00167731">
            <w:r>
              <w:t>0xf</w:t>
            </w:r>
          </w:p>
        </w:tc>
        <w:tc>
          <w:tcPr>
            <w:tcW w:w="4926" w:type="dxa"/>
          </w:tcPr>
          <w:p w:rsidR="00167731" w:rsidRDefault="00167731" w:rsidP="006152E5">
            <w:r>
              <w:t>Termination of IE list</w:t>
            </w:r>
          </w:p>
        </w:tc>
        <w:tc>
          <w:tcPr>
            <w:tcW w:w="3192" w:type="dxa"/>
          </w:tcPr>
          <w:p w:rsidR="00167731" w:rsidRDefault="00167731" w:rsidP="006152E5"/>
        </w:tc>
      </w:tr>
    </w:tbl>
    <w:p w:rsidR="00C23E5C" w:rsidRDefault="00D05DD5" w:rsidP="00D05DD5">
      <w:pPr>
        <w:jc w:val="center"/>
      </w:pPr>
      <w:r>
        <w:t>Table 80j – Payload IE Namespace</w:t>
      </w:r>
    </w:p>
    <w:p w:rsidR="00C23E5C" w:rsidRDefault="006F504F" w:rsidP="00C23E5C">
      <w:r>
        <w:t xml:space="preserve">A SDU IE encapsulates upper layer payload (SDU), the content is transparent to the MAC, and it shall have the form shown in figure [54o1] </w:t>
      </w:r>
    </w:p>
    <w:tbl>
      <w:tblPr>
        <w:tblStyle w:val="TableGrid"/>
        <w:tblW w:w="0" w:type="auto"/>
        <w:tblLook w:val="04A0"/>
      </w:tblPr>
      <w:tblGrid>
        <w:gridCol w:w="742"/>
        <w:gridCol w:w="1018"/>
        <w:gridCol w:w="1412"/>
        <w:gridCol w:w="1412"/>
      </w:tblGrid>
      <w:tr w:rsidR="00C23E5C" w:rsidTr="006152E5">
        <w:tc>
          <w:tcPr>
            <w:tcW w:w="648" w:type="dxa"/>
          </w:tcPr>
          <w:p w:rsidR="00C23E5C" w:rsidRDefault="00C23E5C" w:rsidP="006152E5">
            <w:r>
              <w:t>Bits:1</w:t>
            </w:r>
          </w:p>
        </w:tc>
        <w:tc>
          <w:tcPr>
            <w:tcW w:w="1018" w:type="dxa"/>
          </w:tcPr>
          <w:p w:rsidR="00C23E5C" w:rsidRDefault="00C23E5C" w:rsidP="006152E5">
            <w:r>
              <w:t>4</w:t>
            </w:r>
          </w:p>
        </w:tc>
        <w:tc>
          <w:tcPr>
            <w:tcW w:w="1412" w:type="dxa"/>
          </w:tcPr>
          <w:p w:rsidR="00C23E5C" w:rsidRDefault="00C23E5C" w:rsidP="006152E5">
            <w:r>
              <w:t>11</w:t>
            </w:r>
          </w:p>
        </w:tc>
        <w:tc>
          <w:tcPr>
            <w:tcW w:w="1412" w:type="dxa"/>
          </w:tcPr>
          <w:p w:rsidR="00C23E5C" w:rsidRDefault="00C23E5C" w:rsidP="006152E5">
            <w:r>
              <w:t>Variable</w:t>
            </w:r>
          </w:p>
        </w:tc>
      </w:tr>
      <w:tr w:rsidR="00C23E5C" w:rsidTr="006152E5">
        <w:tc>
          <w:tcPr>
            <w:tcW w:w="648" w:type="dxa"/>
          </w:tcPr>
          <w:p w:rsidR="00C23E5C" w:rsidRDefault="00C23E5C" w:rsidP="006152E5">
            <w:r>
              <w:t xml:space="preserve">Type </w:t>
            </w:r>
          </w:p>
        </w:tc>
        <w:tc>
          <w:tcPr>
            <w:tcW w:w="1018" w:type="dxa"/>
          </w:tcPr>
          <w:p w:rsidR="00C23E5C" w:rsidRDefault="00C23E5C" w:rsidP="006152E5">
            <w:r>
              <w:t>ID</w:t>
            </w:r>
          </w:p>
        </w:tc>
        <w:tc>
          <w:tcPr>
            <w:tcW w:w="1412" w:type="dxa"/>
          </w:tcPr>
          <w:p w:rsidR="00C23E5C" w:rsidRDefault="00C23E5C" w:rsidP="006152E5">
            <w:r>
              <w:t>Length</w:t>
            </w:r>
          </w:p>
        </w:tc>
        <w:tc>
          <w:tcPr>
            <w:tcW w:w="1412" w:type="dxa"/>
          </w:tcPr>
          <w:p w:rsidR="00C23E5C" w:rsidRDefault="00C23E5C" w:rsidP="006152E5">
            <w:r>
              <w:t>Content</w:t>
            </w:r>
          </w:p>
        </w:tc>
      </w:tr>
      <w:tr w:rsidR="00C23E5C" w:rsidTr="006152E5">
        <w:tc>
          <w:tcPr>
            <w:tcW w:w="648" w:type="dxa"/>
          </w:tcPr>
          <w:p w:rsidR="00C23E5C" w:rsidRDefault="00C23E5C" w:rsidP="006152E5">
            <w:r>
              <w:t>1</w:t>
            </w:r>
          </w:p>
        </w:tc>
        <w:tc>
          <w:tcPr>
            <w:tcW w:w="1018" w:type="dxa"/>
          </w:tcPr>
          <w:p w:rsidR="00C23E5C" w:rsidRDefault="00C23E5C" w:rsidP="006152E5">
            <w:r>
              <w:t>0</w:t>
            </w:r>
          </w:p>
        </w:tc>
        <w:tc>
          <w:tcPr>
            <w:tcW w:w="1412" w:type="dxa"/>
          </w:tcPr>
          <w:p w:rsidR="00C23E5C" w:rsidRDefault="00C23E5C" w:rsidP="006152E5">
            <w:r>
              <w:t>0 - 2047</w:t>
            </w:r>
          </w:p>
        </w:tc>
        <w:tc>
          <w:tcPr>
            <w:tcW w:w="1412" w:type="dxa"/>
          </w:tcPr>
          <w:p w:rsidR="00C23E5C" w:rsidRDefault="00C23E5C" w:rsidP="006152E5"/>
        </w:tc>
      </w:tr>
    </w:tbl>
    <w:p w:rsidR="00C23E5C" w:rsidRDefault="006F504F" w:rsidP="00C23E5C">
      <w:r>
        <w:t>Figure 54o1 – SDU IE</w:t>
      </w:r>
    </w:p>
    <w:p w:rsidR="00C23E5C" w:rsidRDefault="006F504F" w:rsidP="00C23E5C">
      <w:r>
        <w:t>The MLME IE transports MAC management information. The MLME uses a nested form as shown in figure 54o2 (</w:t>
      </w:r>
      <w:r w:rsidR="00C23E5C">
        <w:t>Nested IE)</w:t>
      </w:r>
      <w:r>
        <w:t>.</w:t>
      </w:r>
    </w:p>
    <w:tbl>
      <w:tblPr>
        <w:tblStyle w:val="TableGrid"/>
        <w:tblW w:w="9108" w:type="dxa"/>
        <w:tblLayout w:type="fixed"/>
        <w:tblLook w:val="04A0"/>
      </w:tblPr>
      <w:tblGrid>
        <w:gridCol w:w="717"/>
        <w:gridCol w:w="977"/>
        <w:gridCol w:w="1024"/>
        <w:gridCol w:w="810"/>
        <w:gridCol w:w="990"/>
        <w:gridCol w:w="1350"/>
        <w:gridCol w:w="810"/>
        <w:gridCol w:w="972"/>
        <w:gridCol w:w="1458"/>
      </w:tblGrid>
      <w:tr w:rsidR="00C23E5C" w:rsidTr="006152E5">
        <w:tc>
          <w:tcPr>
            <w:tcW w:w="717" w:type="dxa"/>
          </w:tcPr>
          <w:p w:rsidR="00C23E5C" w:rsidRDefault="00C23E5C" w:rsidP="006152E5">
            <w:r>
              <w:t>Bits:1</w:t>
            </w:r>
          </w:p>
        </w:tc>
        <w:tc>
          <w:tcPr>
            <w:tcW w:w="977" w:type="dxa"/>
          </w:tcPr>
          <w:p w:rsidR="00C23E5C" w:rsidRDefault="00C23E5C" w:rsidP="006152E5">
            <w:r>
              <w:t>4</w:t>
            </w:r>
          </w:p>
        </w:tc>
        <w:tc>
          <w:tcPr>
            <w:tcW w:w="1024" w:type="dxa"/>
          </w:tcPr>
          <w:p w:rsidR="00C23E5C" w:rsidRDefault="00C23E5C" w:rsidP="006152E5">
            <w:r>
              <w:t>11</w:t>
            </w:r>
          </w:p>
        </w:tc>
        <w:tc>
          <w:tcPr>
            <w:tcW w:w="1800" w:type="dxa"/>
            <w:gridSpan w:val="2"/>
          </w:tcPr>
          <w:p w:rsidR="00C23E5C" w:rsidRDefault="00C23E5C" w:rsidP="006152E5">
            <w:r>
              <w:t>16</w:t>
            </w:r>
          </w:p>
        </w:tc>
        <w:tc>
          <w:tcPr>
            <w:tcW w:w="1350" w:type="dxa"/>
          </w:tcPr>
          <w:p w:rsidR="00C23E5C" w:rsidRDefault="00C23E5C" w:rsidP="006152E5">
            <w:r>
              <w:t>Variable</w:t>
            </w:r>
          </w:p>
        </w:tc>
        <w:tc>
          <w:tcPr>
            <w:tcW w:w="1782" w:type="dxa"/>
            <w:gridSpan w:val="2"/>
          </w:tcPr>
          <w:p w:rsidR="00C23E5C" w:rsidRDefault="00C23E5C" w:rsidP="006152E5">
            <w:r>
              <w:t>16</w:t>
            </w:r>
          </w:p>
        </w:tc>
        <w:tc>
          <w:tcPr>
            <w:tcW w:w="1458" w:type="dxa"/>
          </w:tcPr>
          <w:p w:rsidR="00C23E5C" w:rsidRDefault="00C23E5C" w:rsidP="006152E5">
            <w:r>
              <w:t>Variable</w:t>
            </w:r>
          </w:p>
        </w:tc>
      </w:tr>
      <w:tr w:rsidR="00C23E5C" w:rsidTr="006152E5">
        <w:tc>
          <w:tcPr>
            <w:tcW w:w="717" w:type="dxa"/>
          </w:tcPr>
          <w:p w:rsidR="00C23E5C" w:rsidRDefault="00C23E5C" w:rsidP="006152E5">
            <w:r>
              <w:t xml:space="preserve">Type </w:t>
            </w:r>
          </w:p>
        </w:tc>
        <w:tc>
          <w:tcPr>
            <w:tcW w:w="977" w:type="dxa"/>
          </w:tcPr>
          <w:p w:rsidR="00C23E5C" w:rsidRDefault="00C23E5C" w:rsidP="006152E5">
            <w:r>
              <w:t>ID</w:t>
            </w:r>
          </w:p>
        </w:tc>
        <w:tc>
          <w:tcPr>
            <w:tcW w:w="1024" w:type="dxa"/>
          </w:tcPr>
          <w:p w:rsidR="00C23E5C" w:rsidRDefault="00C23E5C" w:rsidP="006152E5">
            <w:r>
              <w:t>Length</w:t>
            </w:r>
          </w:p>
        </w:tc>
        <w:tc>
          <w:tcPr>
            <w:tcW w:w="1800" w:type="dxa"/>
            <w:gridSpan w:val="2"/>
          </w:tcPr>
          <w:p w:rsidR="00C23E5C" w:rsidRDefault="00C23E5C" w:rsidP="006152E5">
            <w:r>
              <w:t>Nested IE</w:t>
            </w:r>
          </w:p>
        </w:tc>
        <w:tc>
          <w:tcPr>
            <w:tcW w:w="1350" w:type="dxa"/>
          </w:tcPr>
          <w:p w:rsidR="00C23E5C" w:rsidRDefault="00C23E5C" w:rsidP="006152E5">
            <w:r>
              <w:t>Content</w:t>
            </w:r>
          </w:p>
        </w:tc>
        <w:tc>
          <w:tcPr>
            <w:tcW w:w="1782" w:type="dxa"/>
            <w:gridSpan w:val="2"/>
          </w:tcPr>
          <w:p w:rsidR="00C23E5C" w:rsidRDefault="00C23E5C" w:rsidP="006152E5">
            <w:r>
              <w:t>Nested IE</w:t>
            </w:r>
          </w:p>
        </w:tc>
        <w:tc>
          <w:tcPr>
            <w:tcW w:w="1458" w:type="dxa"/>
          </w:tcPr>
          <w:p w:rsidR="00C23E5C" w:rsidRDefault="00C23E5C" w:rsidP="006152E5">
            <w:r>
              <w:t>Content</w:t>
            </w:r>
          </w:p>
        </w:tc>
      </w:tr>
      <w:tr w:rsidR="00C23E5C" w:rsidTr="006152E5">
        <w:tc>
          <w:tcPr>
            <w:tcW w:w="717" w:type="dxa"/>
          </w:tcPr>
          <w:p w:rsidR="00C23E5C" w:rsidRDefault="00C23E5C" w:rsidP="006152E5">
            <w:r>
              <w:t>1</w:t>
            </w:r>
          </w:p>
        </w:tc>
        <w:tc>
          <w:tcPr>
            <w:tcW w:w="977" w:type="dxa"/>
          </w:tcPr>
          <w:p w:rsidR="00C23E5C" w:rsidRDefault="00C23E5C" w:rsidP="006152E5">
            <w:r>
              <w:t>9</w:t>
            </w:r>
          </w:p>
        </w:tc>
        <w:tc>
          <w:tcPr>
            <w:tcW w:w="1024" w:type="dxa"/>
          </w:tcPr>
          <w:p w:rsidR="00C23E5C" w:rsidRDefault="00C23E5C" w:rsidP="006152E5">
            <w:r>
              <w:t>0 - 2047</w:t>
            </w:r>
          </w:p>
        </w:tc>
        <w:tc>
          <w:tcPr>
            <w:tcW w:w="810" w:type="dxa"/>
          </w:tcPr>
          <w:p w:rsidR="00C23E5C" w:rsidRDefault="00C23E5C" w:rsidP="006152E5">
            <w:r>
              <w:t>Sub-ID</w:t>
            </w:r>
          </w:p>
        </w:tc>
        <w:tc>
          <w:tcPr>
            <w:tcW w:w="990" w:type="dxa"/>
          </w:tcPr>
          <w:p w:rsidR="00C23E5C" w:rsidRDefault="00C23E5C" w:rsidP="006152E5">
            <w:r>
              <w:t>Length</w:t>
            </w:r>
          </w:p>
        </w:tc>
        <w:tc>
          <w:tcPr>
            <w:tcW w:w="1350" w:type="dxa"/>
          </w:tcPr>
          <w:p w:rsidR="00C23E5C" w:rsidRDefault="00C23E5C" w:rsidP="006152E5"/>
        </w:tc>
        <w:tc>
          <w:tcPr>
            <w:tcW w:w="810" w:type="dxa"/>
          </w:tcPr>
          <w:p w:rsidR="00C23E5C" w:rsidRDefault="00C23E5C" w:rsidP="006152E5">
            <w:r>
              <w:t>Sub-ID</w:t>
            </w:r>
          </w:p>
        </w:tc>
        <w:tc>
          <w:tcPr>
            <w:tcW w:w="972" w:type="dxa"/>
          </w:tcPr>
          <w:p w:rsidR="00C23E5C" w:rsidRDefault="00C23E5C" w:rsidP="006152E5">
            <w:r>
              <w:t>Length</w:t>
            </w:r>
          </w:p>
        </w:tc>
        <w:tc>
          <w:tcPr>
            <w:tcW w:w="1458" w:type="dxa"/>
          </w:tcPr>
          <w:p w:rsidR="00C23E5C" w:rsidRDefault="00C23E5C" w:rsidP="006152E5"/>
        </w:tc>
      </w:tr>
      <w:tr w:rsidR="00C23E5C" w:rsidTr="006152E5">
        <w:tc>
          <w:tcPr>
            <w:tcW w:w="2718" w:type="dxa"/>
            <w:gridSpan w:val="3"/>
          </w:tcPr>
          <w:p w:rsidR="00C23E5C" w:rsidRDefault="00C23E5C" w:rsidP="006152E5">
            <w:pPr>
              <w:jc w:val="center"/>
            </w:pPr>
            <w:r>
              <w:t>Outer IE Descriptor</w:t>
            </w:r>
          </w:p>
        </w:tc>
        <w:tc>
          <w:tcPr>
            <w:tcW w:w="1800" w:type="dxa"/>
            <w:gridSpan w:val="2"/>
          </w:tcPr>
          <w:p w:rsidR="00C23E5C" w:rsidRDefault="00C23E5C" w:rsidP="006152E5">
            <w:r>
              <w:t>Sub-IE descriptor</w:t>
            </w:r>
          </w:p>
        </w:tc>
        <w:tc>
          <w:tcPr>
            <w:tcW w:w="1350" w:type="dxa"/>
          </w:tcPr>
          <w:p w:rsidR="00C23E5C" w:rsidRDefault="00C23E5C" w:rsidP="006152E5"/>
        </w:tc>
        <w:tc>
          <w:tcPr>
            <w:tcW w:w="1782" w:type="dxa"/>
            <w:gridSpan w:val="2"/>
          </w:tcPr>
          <w:p w:rsidR="00C23E5C" w:rsidRDefault="00C23E5C" w:rsidP="006152E5">
            <w:r>
              <w:t>Sub-IE descriptor</w:t>
            </w:r>
          </w:p>
        </w:tc>
        <w:tc>
          <w:tcPr>
            <w:tcW w:w="1458" w:type="dxa"/>
          </w:tcPr>
          <w:p w:rsidR="00C23E5C" w:rsidRDefault="00C23E5C" w:rsidP="006152E5"/>
        </w:tc>
      </w:tr>
    </w:tbl>
    <w:p w:rsidR="00C23E5C" w:rsidRDefault="006F504F" w:rsidP="00C23E5C">
      <w:r>
        <w:t>Figure 54o2 – MLME IE</w:t>
      </w:r>
    </w:p>
    <w:p w:rsidR="00C23E5C" w:rsidRDefault="006F504F" w:rsidP="00C23E5C">
      <w:r>
        <w:t>Each IE nested in an MLME IE shall consist of a N</w:t>
      </w:r>
      <w:r w:rsidR="00C23E5C">
        <w:t xml:space="preserve">ested </w:t>
      </w:r>
      <w:r>
        <w:t>I</w:t>
      </w:r>
      <w:r w:rsidR="00C23E5C">
        <w:t>E descriptor</w:t>
      </w:r>
      <w:r>
        <w:t xml:space="preserve">, and </w:t>
      </w:r>
      <w:proofErr w:type="gramStart"/>
      <w:r>
        <w:t>a content</w:t>
      </w:r>
      <w:proofErr w:type="gramEnd"/>
      <w:r>
        <w:t xml:space="preserve">. </w:t>
      </w:r>
      <w:proofErr w:type="gramStart"/>
      <w:r>
        <w:t>A short and long form of the nested IE are</w:t>
      </w:r>
      <w:proofErr w:type="gramEnd"/>
      <w:r>
        <w:t xml:space="preserve"> shown in figure 54o3 and figure 54o4.  The </w:t>
      </w:r>
      <w:r w:rsidR="00732BE2">
        <w:t>Sub-</w:t>
      </w:r>
      <w:r w:rsidR="007317C2">
        <w:t>ID allocation for</w:t>
      </w:r>
      <w:r>
        <w:t xml:space="preserve"> nested IEs that may be included in an MLME IE are shown in table 80k (short form) and table 80j (long form)</w:t>
      </w:r>
      <w:r w:rsidR="007317C2">
        <w:t>.</w:t>
      </w:r>
    </w:p>
    <w:tbl>
      <w:tblPr>
        <w:tblStyle w:val="TableGrid"/>
        <w:tblW w:w="0" w:type="auto"/>
        <w:tblLook w:val="04A0"/>
      </w:tblPr>
      <w:tblGrid>
        <w:gridCol w:w="968"/>
        <w:gridCol w:w="2700"/>
        <w:gridCol w:w="2250"/>
      </w:tblGrid>
      <w:tr w:rsidR="00C23E5C" w:rsidTr="006152E5">
        <w:tc>
          <w:tcPr>
            <w:tcW w:w="968" w:type="dxa"/>
          </w:tcPr>
          <w:p w:rsidR="00C23E5C" w:rsidRDefault="00C23E5C" w:rsidP="006152E5">
            <w:r>
              <w:lastRenderedPageBreak/>
              <w:t>Bits:1</w:t>
            </w:r>
          </w:p>
        </w:tc>
        <w:tc>
          <w:tcPr>
            <w:tcW w:w="2700" w:type="dxa"/>
          </w:tcPr>
          <w:p w:rsidR="00C23E5C" w:rsidRDefault="00C23E5C" w:rsidP="006152E5">
            <w:r>
              <w:t>7</w:t>
            </w:r>
          </w:p>
        </w:tc>
        <w:tc>
          <w:tcPr>
            <w:tcW w:w="2250" w:type="dxa"/>
          </w:tcPr>
          <w:p w:rsidR="00C23E5C" w:rsidRDefault="00C23E5C" w:rsidP="006152E5">
            <w:r>
              <w:t>8</w:t>
            </w:r>
          </w:p>
        </w:tc>
      </w:tr>
      <w:tr w:rsidR="00C23E5C" w:rsidTr="006152E5">
        <w:tc>
          <w:tcPr>
            <w:tcW w:w="968" w:type="dxa"/>
          </w:tcPr>
          <w:p w:rsidR="00C23E5C" w:rsidRDefault="00C23E5C" w:rsidP="006152E5">
            <w:r>
              <w:t>0=Short</w:t>
            </w:r>
          </w:p>
        </w:tc>
        <w:tc>
          <w:tcPr>
            <w:tcW w:w="2700" w:type="dxa"/>
          </w:tcPr>
          <w:p w:rsidR="00C23E5C" w:rsidRDefault="00C23E5C" w:rsidP="006152E5">
            <w:r>
              <w:t>Sub-ID</w:t>
            </w:r>
          </w:p>
        </w:tc>
        <w:tc>
          <w:tcPr>
            <w:tcW w:w="2250" w:type="dxa"/>
          </w:tcPr>
          <w:p w:rsidR="00C23E5C" w:rsidRDefault="00C23E5C" w:rsidP="006152E5">
            <w:r>
              <w:t>Length</w:t>
            </w:r>
          </w:p>
        </w:tc>
      </w:tr>
      <w:tr w:rsidR="00C23E5C" w:rsidTr="006152E5">
        <w:tc>
          <w:tcPr>
            <w:tcW w:w="5918" w:type="dxa"/>
            <w:gridSpan w:val="3"/>
          </w:tcPr>
          <w:p w:rsidR="00C23E5C" w:rsidRDefault="00C23E5C" w:rsidP="006152E5">
            <w:pPr>
              <w:jc w:val="center"/>
            </w:pPr>
            <w:r>
              <w:t>Nested IE Descriptor</w:t>
            </w:r>
          </w:p>
        </w:tc>
      </w:tr>
    </w:tbl>
    <w:p w:rsidR="00C23E5C" w:rsidRDefault="006F504F" w:rsidP="00C23E5C">
      <w:r>
        <w:t>Figure 54o3</w:t>
      </w:r>
    </w:p>
    <w:tbl>
      <w:tblPr>
        <w:tblStyle w:val="TableGrid"/>
        <w:tblW w:w="0" w:type="auto"/>
        <w:tblLook w:val="04A0"/>
      </w:tblPr>
      <w:tblGrid>
        <w:gridCol w:w="968"/>
        <w:gridCol w:w="2700"/>
        <w:gridCol w:w="2250"/>
      </w:tblGrid>
      <w:tr w:rsidR="00C23E5C" w:rsidTr="006152E5">
        <w:tc>
          <w:tcPr>
            <w:tcW w:w="968" w:type="dxa"/>
          </w:tcPr>
          <w:p w:rsidR="00C23E5C" w:rsidRDefault="00C23E5C" w:rsidP="006152E5">
            <w:r>
              <w:t>Bits:1</w:t>
            </w:r>
          </w:p>
        </w:tc>
        <w:tc>
          <w:tcPr>
            <w:tcW w:w="2700" w:type="dxa"/>
          </w:tcPr>
          <w:p w:rsidR="00C23E5C" w:rsidRDefault="00C23E5C" w:rsidP="006152E5">
            <w:r>
              <w:t>4</w:t>
            </w:r>
          </w:p>
        </w:tc>
        <w:tc>
          <w:tcPr>
            <w:tcW w:w="2250" w:type="dxa"/>
          </w:tcPr>
          <w:p w:rsidR="00C23E5C" w:rsidRDefault="00C23E5C" w:rsidP="006152E5">
            <w:r>
              <w:t>11</w:t>
            </w:r>
          </w:p>
        </w:tc>
      </w:tr>
      <w:tr w:rsidR="00C23E5C" w:rsidTr="006152E5">
        <w:tc>
          <w:tcPr>
            <w:tcW w:w="968" w:type="dxa"/>
          </w:tcPr>
          <w:p w:rsidR="00C23E5C" w:rsidRDefault="00C23E5C" w:rsidP="006152E5">
            <w:r>
              <w:t>1=Long</w:t>
            </w:r>
          </w:p>
        </w:tc>
        <w:tc>
          <w:tcPr>
            <w:tcW w:w="2700" w:type="dxa"/>
          </w:tcPr>
          <w:p w:rsidR="00C23E5C" w:rsidRDefault="00C23E5C" w:rsidP="006152E5">
            <w:r>
              <w:t>Sub-ID</w:t>
            </w:r>
          </w:p>
        </w:tc>
        <w:tc>
          <w:tcPr>
            <w:tcW w:w="2250" w:type="dxa"/>
          </w:tcPr>
          <w:p w:rsidR="00C23E5C" w:rsidRDefault="00C23E5C" w:rsidP="006152E5">
            <w:r>
              <w:t>Length</w:t>
            </w:r>
          </w:p>
        </w:tc>
      </w:tr>
      <w:tr w:rsidR="00C23E5C" w:rsidTr="006152E5">
        <w:tc>
          <w:tcPr>
            <w:tcW w:w="5918" w:type="dxa"/>
            <w:gridSpan w:val="3"/>
          </w:tcPr>
          <w:p w:rsidR="00C23E5C" w:rsidRDefault="00C23E5C" w:rsidP="006152E5">
            <w:pPr>
              <w:jc w:val="center"/>
            </w:pPr>
            <w:r>
              <w:t>Nested IE Descriptor</w:t>
            </w:r>
          </w:p>
        </w:tc>
      </w:tr>
    </w:tbl>
    <w:p w:rsidR="00C23E5C" w:rsidRDefault="00C23E5C" w:rsidP="00C23E5C">
      <w:r>
        <w:t xml:space="preserve"> </w:t>
      </w:r>
      <w:r w:rsidR="006F504F">
        <w:t>Figure 54o4</w:t>
      </w:r>
    </w:p>
    <w:p w:rsidR="00C23E5C" w:rsidRDefault="006F504F" w:rsidP="00C23E5C">
      <w:r>
        <w:t xml:space="preserve">Table 80k </w:t>
      </w:r>
      <w:r w:rsidR="007317C2">
        <w:t>- Short form</w:t>
      </w:r>
    </w:p>
    <w:tbl>
      <w:tblPr>
        <w:tblStyle w:val="TableGrid"/>
        <w:tblW w:w="0" w:type="auto"/>
        <w:tblLayout w:type="fixed"/>
        <w:tblLook w:val="04A0"/>
      </w:tblPr>
      <w:tblGrid>
        <w:gridCol w:w="1189"/>
        <w:gridCol w:w="539"/>
        <w:gridCol w:w="990"/>
        <w:gridCol w:w="2250"/>
        <w:gridCol w:w="4140"/>
      </w:tblGrid>
      <w:tr w:rsidR="00C23E5C" w:rsidTr="006152E5">
        <w:tc>
          <w:tcPr>
            <w:tcW w:w="1189" w:type="dxa"/>
          </w:tcPr>
          <w:p w:rsidR="00C23E5C" w:rsidRDefault="00C23E5C" w:rsidP="006152E5">
            <w:r>
              <w:t>Sub-ID Value</w:t>
            </w:r>
          </w:p>
        </w:tc>
        <w:tc>
          <w:tcPr>
            <w:tcW w:w="539" w:type="dxa"/>
          </w:tcPr>
          <w:p w:rsidR="00C23E5C" w:rsidRDefault="00C23E5C" w:rsidP="006152E5">
            <w:pPr>
              <w:jc w:val="center"/>
            </w:pPr>
            <w:r>
              <w:t>S/L</w:t>
            </w:r>
          </w:p>
        </w:tc>
        <w:tc>
          <w:tcPr>
            <w:tcW w:w="990" w:type="dxa"/>
          </w:tcPr>
          <w:p w:rsidR="00C23E5C" w:rsidRDefault="00C23E5C" w:rsidP="006152E5">
            <w:pPr>
              <w:jc w:val="center"/>
            </w:pPr>
            <w:r>
              <w:t>Content Length</w:t>
            </w:r>
          </w:p>
        </w:tc>
        <w:tc>
          <w:tcPr>
            <w:tcW w:w="2250" w:type="dxa"/>
          </w:tcPr>
          <w:p w:rsidR="00C23E5C" w:rsidRDefault="00C23E5C" w:rsidP="006152E5">
            <w:r>
              <w:t>Name</w:t>
            </w:r>
          </w:p>
        </w:tc>
        <w:tc>
          <w:tcPr>
            <w:tcW w:w="4140" w:type="dxa"/>
          </w:tcPr>
          <w:p w:rsidR="00C23E5C" w:rsidRDefault="00C23E5C" w:rsidP="006152E5">
            <w:r>
              <w:t>Description</w:t>
            </w:r>
          </w:p>
        </w:tc>
      </w:tr>
      <w:tr w:rsidR="00C23E5C" w:rsidTr="006152E5">
        <w:tc>
          <w:tcPr>
            <w:tcW w:w="1189" w:type="dxa"/>
          </w:tcPr>
          <w:p w:rsidR="00C23E5C" w:rsidRDefault="00C23E5C" w:rsidP="006152E5">
            <w:r>
              <w:t>0x00</w:t>
            </w:r>
          </w:p>
        </w:tc>
        <w:tc>
          <w:tcPr>
            <w:tcW w:w="539" w:type="dxa"/>
          </w:tcPr>
          <w:p w:rsidR="00C23E5C" w:rsidRDefault="00C23E5C" w:rsidP="006152E5">
            <w:pPr>
              <w:jc w:val="center"/>
            </w:pPr>
            <w:r>
              <w:t>0</w:t>
            </w:r>
          </w:p>
        </w:tc>
        <w:tc>
          <w:tcPr>
            <w:tcW w:w="990" w:type="dxa"/>
          </w:tcPr>
          <w:p w:rsidR="00C23E5C" w:rsidRDefault="00C23E5C" w:rsidP="006152E5">
            <w:pPr>
              <w:jc w:val="center"/>
            </w:pPr>
            <w:r>
              <w:t>variable</w:t>
            </w:r>
          </w:p>
        </w:tc>
        <w:tc>
          <w:tcPr>
            <w:tcW w:w="2250" w:type="dxa"/>
          </w:tcPr>
          <w:p w:rsidR="00C23E5C" w:rsidRDefault="00C23E5C" w:rsidP="006152E5">
            <w:r>
              <w:t xml:space="preserve">SDU </w:t>
            </w:r>
          </w:p>
        </w:tc>
        <w:tc>
          <w:tcPr>
            <w:tcW w:w="4140" w:type="dxa"/>
          </w:tcPr>
          <w:p w:rsidR="00C23E5C" w:rsidRDefault="00C23E5C" w:rsidP="006152E5">
            <w:r>
              <w:t>Upper layer provided content transparent to the MAC</w:t>
            </w:r>
          </w:p>
        </w:tc>
      </w:tr>
      <w:tr w:rsidR="00C23E5C" w:rsidTr="006152E5">
        <w:tc>
          <w:tcPr>
            <w:tcW w:w="1189" w:type="dxa"/>
          </w:tcPr>
          <w:p w:rsidR="00C23E5C" w:rsidRDefault="00C23E5C" w:rsidP="006152E5">
            <w:r>
              <w:t>0x01-0x19</w:t>
            </w:r>
          </w:p>
        </w:tc>
        <w:tc>
          <w:tcPr>
            <w:tcW w:w="539" w:type="dxa"/>
          </w:tcPr>
          <w:p w:rsidR="00C23E5C" w:rsidRDefault="00C23E5C" w:rsidP="006152E5">
            <w:pPr>
              <w:jc w:val="center"/>
            </w:pPr>
            <w:r>
              <w:t>0</w:t>
            </w:r>
          </w:p>
        </w:tc>
        <w:tc>
          <w:tcPr>
            <w:tcW w:w="990" w:type="dxa"/>
          </w:tcPr>
          <w:p w:rsidR="00C23E5C" w:rsidRDefault="00C23E5C" w:rsidP="006152E5">
            <w:pPr>
              <w:jc w:val="center"/>
            </w:pPr>
            <w:r>
              <w:t>TBD</w:t>
            </w:r>
          </w:p>
        </w:tc>
        <w:tc>
          <w:tcPr>
            <w:tcW w:w="2250" w:type="dxa"/>
          </w:tcPr>
          <w:p w:rsidR="00C23E5C" w:rsidRDefault="00C23E5C" w:rsidP="006152E5">
            <w:r>
              <w:t xml:space="preserve">Reserved </w:t>
            </w:r>
          </w:p>
        </w:tc>
        <w:tc>
          <w:tcPr>
            <w:tcW w:w="4140" w:type="dxa"/>
          </w:tcPr>
          <w:p w:rsidR="00C23E5C" w:rsidRDefault="00C23E5C" w:rsidP="006152E5">
            <w:r>
              <w:t>[for PHY information exchange  - show as reserved in 4e]</w:t>
            </w:r>
          </w:p>
        </w:tc>
      </w:tr>
      <w:tr w:rsidR="00C23E5C" w:rsidTr="006152E5">
        <w:tc>
          <w:tcPr>
            <w:tcW w:w="1189" w:type="dxa"/>
          </w:tcPr>
          <w:p w:rsidR="00C23E5C" w:rsidRDefault="00C23E5C" w:rsidP="006152E5">
            <w:r>
              <w:t>0X1a</w:t>
            </w:r>
          </w:p>
        </w:tc>
        <w:tc>
          <w:tcPr>
            <w:tcW w:w="539" w:type="dxa"/>
          </w:tcPr>
          <w:p w:rsidR="00C23E5C" w:rsidRDefault="00C23E5C" w:rsidP="006152E5">
            <w:pPr>
              <w:jc w:val="center"/>
            </w:pPr>
            <w:r>
              <w:t>0</w:t>
            </w:r>
          </w:p>
        </w:tc>
        <w:tc>
          <w:tcPr>
            <w:tcW w:w="990" w:type="dxa"/>
          </w:tcPr>
          <w:p w:rsidR="00C23E5C" w:rsidRDefault="00C23E5C" w:rsidP="006152E5">
            <w:pPr>
              <w:jc w:val="center"/>
            </w:pPr>
            <w:r>
              <w:t>6</w:t>
            </w:r>
          </w:p>
        </w:tc>
        <w:tc>
          <w:tcPr>
            <w:tcW w:w="2250" w:type="dxa"/>
          </w:tcPr>
          <w:p w:rsidR="00C23E5C" w:rsidRDefault="00C23E5C" w:rsidP="006152E5">
            <w:r w:rsidRPr="00D32F13">
              <w:t>TSCH Synchronization</w:t>
            </w:r>
          </w:p>
        </w:tc>
        <w:tc>
          <w:tcPr>
            <w:tcW w:w="4140" w:type="dxa"/>
          </w:tcPr>
          <w:p w:rsidR="00C23E5C" w:rsidRPr="00D32F13" w:rsidRDefault="00C23E5C" w:rsidP="006152E5">
            <w:r>
              <w:t xml:space="preserve">Information to synchronize to a TSCH network. ASN of TSCH device and its join </w:t>
            </w:r>
            <w:proofErr w:type="spellStart"/>
            <w:r>
              <w:t>prority</w:t>
            </w:r>
            <w:proofErr w:type="spellEnd"/>
            <w:r>
              <w:t xml:space="preserve"> (see 7.2.4.3.8)</w:t>
            </w:r>
          </w:p>
        </w:tc>
      </w:tr>
      <w:tr w:rsidR="00C23E5C" w:rsidTr="006152E5">
        <w:tc>
          <w:tcPr>
            <w:tcW w:w="1189" w:type="dxa"/>
          </w:tcPr>
          <w:p w:rsidR="00C23E5C" w:rsidRDefault="00C23E5C" w:rsidP="006152E5">
            <w:r w:rsidRPr="00D32F13">
              <w:t>0x1b</w:t>
            </w:r>
          </w:p>
        </w:tc>
        <w:tc>
          <w:tcPr>
            <w:tcW w:w="539" w:type="dxa"/>
          </w:tcPr>
          <w:p w:rsidR="00C23E5C" w:rsidRDefault="00C23E5C" w:rsidP="006152E5">
            <w:pPr>
              <w:jc w:val="center"/>
            </w:pPr>
            <w:r>
              <w:t>0</w:t>
            </w:r>
          </w:p>
        </w:tc>
        <w:tc>
          <w:tcPr>
            <w:tcW w:w="990" w:type="dxa"/>
          </w:tcPr>
          <w:p w:rsidR="00C23E5C" w:rsidRDefault="00C23E5C" w:rsidP="006152E5">
            <w:pPr>
              <w:jc w:val="center"/>
            </w:pPr>
            <w:r w:rsidRPr="00D32F13">
              <w:t>variable</w:t>
            </w:r>
          </w:p>
        </w:tc>
        <w:tc>
          <w:tcPr>
            <w:tcW w:w="2250" w:type="dxa"/>
          </w:tcPr>
          <w:p w:rsidR="00C23E5C" w:rsidRDefault="00C23E5C" w:rsidP="006152E5">
            <w:r w:rsidRPr="00D32F13">
              <w:t xml:space="preserve">TSCH </w:t>
            </w:r>
            <w:proofErr w:type="spellStart"/>
            <w:r w:rsidRPr="00D32F13">
              <w:t>Slotframe</w:t>
            </w:r>
            <w:proofErr w:type="spellEnd"/>
            <w:r w:rsidRPr="00D32F13">
              <w:t xml:space="preserve"> and Link</w:t>
            </w:r>
          </w:p>
        </w:tc>
        <w:tc>
          <w:tcPr>
            <w:tcW w:w="4140" w:type="dxa"/>
          </w:tcPr>
          <w:p w:rsidR="00C23E5C" w:rsidRDefault="00C23E5C" w:rsidP="006152E5">
            <w:proofErr w:type="spellStart"/>
            <w:r>
              <w:t>Slotframe</w:t>
            </w:r>
            <w:proofErr w:type="spellEnd"/>
            <w:r>
              <w:t xml:space="preserve"> and link information for joining a</w:t>
            </w:r>
          </w:p>
          <w:p w:rsidR="00C23E5C" w:rsidRPr="00D32F13" w:rsidRDefault="00C23E5C" w:rsidP="006152E5">
            <w:r>
              <w:t>TSCH device (see 7.2.4.3.9)</w:t>
            </w:r>
          </w:p>
        </w:tc>
      </w:tr>
      <w:tr w:rsidR="00C23E5C" w:rsidTr="006152E5">
        <w:tc>
          <w:tcPr>
            <w:tcW w:w="1189" w:type="dxa"/>
          </w:tcPr>
          <w:p w:rsidR="00C23E5C" w:rsidRDefault="00C23E5C" w:rsidP="006152E5">
            <w:r w:rsidRPr="00D32F13">
              <w:t>0x1c</w:t>
            </w:r>
          </w:p>
        </w:tc>
        <w:tc>
          <w:tcPr>
            <w:tcW w:w="539" w:type="dxa"/>
          </w:tcPr>
          <w:p w:rsidR="00C23E5C" w:rsidRDefault="00C23E5C" w:rsidP="006152E5">
            <w:pPr>
              <w:jc w:val="center"/>
            </w:pPr>
            <w:r>
              <w:t>0</w:t>
            </w:r>
          </w:p>
        </w:tc>
        <w:tc>
          <w:tcPr>
            <w:tcW w:w="990" w:type="dxa"/>
          </w:tcPr>
          <w:p w:rsidR="00C23E5C" w:rsidRDefault="00C23E5C" w:rsidP="006152E5">
            <w:pPr>
              <w:jc w:val="center"/>
            </w:pPr>
            <w:r w:rsidRPr="00D32F13">
              <w:t>variable</w:t>
            </w:r>
          </w:p>
        </w:tc>
        <w:tc>
          <w:tcPr>
            <w:tcW w:w="2250" w:type="dxa"/>
          </w:tcPr>
          <w:p w:rsidR="00C23E5C" w:rsidRDefault="00C23E5C" w:rsidP="006152E5">
            <w:r w:rsidRPr="00D32F13">
              <w:t>TSCH Timeslot</w:t>
            </w:r>
          </w:p>
        </w:tc>
        <w:tc>
          <w:tcPr>
            <w:tcW w:w="4140" w:type="dxa"/>
          </w:tcPr>
          <w:p w:rsidR="00C23E5C" w:rsidRPr="00D32F13" w:rsidRDefault="00C23E5C" w:rsidP="006152E5">
            <w:r>
              <w:t>Timeslot template being used by the TSCH device (see 7.2.4.3.10)</w:t>
            </w:r>
          </w:p>
        </w:tc>
      </w:tr>
      <w:tr w:rsidR="00C23E5C" w:rsidTr="006152E5">
        <w:tc>
          <w:tcPr>
            <w:tcW w:w="1189" w:type="dxa"/>
          </w:tcPr>
          <w:p w:rsidR="00C23E5C" w:rsidRDefault="00C23E5C" w:rsidP="006152E5">
            <w:r>
              <w:t>0x1d</w:t>
            </w:r>
          </w:p>
        </w:tc>
        <w:tc>
          <w:tcPr>
            <w:tcW w:w="539" w:type="dxa"/>
          </w:tcPr>
          <w:p w:rsidR="00C23E5C" w:rsidRDefault="00C23E5C" w:rsidP="006152E5">
            <w:pPr>
              <w:jc w:val="center"/>
            </w:pPr>
            <w:r>
              <w:t>0</w:t>
            </w:r>
          </w:p>
        </w:tc>
        <w:tc>
          <w:tcPr>
            <w:tcW w:w="990" w:type="dxa"/>
          </w:tcPr>
          <w:p w:rsidR="00C23E5C" w:rsidRDefault="00C23E5C" w:rsidP="006152E5">
            <w:pPr>
              <w:jc w:val="center"/>
            </w:pPr>
            <w:r>
              <w:t>5</w:t>
            </w:r>
          </w:p>
        </w:tc>
        <w:tc>
          <w:tcPr>
            <w:tcW w:w="2250" w:type="dxa"/>
          </w:tcPr>
          <w:p w:rsidR="00C23E5C" w:rsidRDefault="00C23E5C" w:rsidP="006152E5">
            <w:r>
              <w:t>Hopping Timing</w:t>
            </w:r>
          </w:p>
        </w:tc>
        <w:tc>
          <w:tcPr>
            <w:tcW w:w="4140" w:type="dxa"/>
          </w:tcPr>
          <w:p w:rsidR="00C23E5C" w:rsidRDefault="00C23E5C" w:rsidP="006152E5">
            <w:r>
              <w:t xml:space="preserve">Timing information used to synchronize to an </w:t>
            </w:r>
            <w:proofErr w:type="spellStart"/>
            <w:r>
              <w:t>unslotted</w:t>
            </w:r>
            <w:proofErr w:type="spellEnd"/>
            <w:r>
              <w:t xml:space="preserve"> hopper (see 7.2.4.3.12)</w:t>
            </w:r>
          </w:p>
        </w:tc>
      </w:tr>
      <w:tr w:rsidR="00C23E5C" w:rsidTr="006152E5">
        <w:tc>
          <w:tcPr>
            <w:tcW w:w="1189" w:type="dxa"/>
          </w:tcPr>
          <w:p w:rsidR="00C23E5C" w:rsidRDefault="00C23E5C" w:rsidP="006152E5">
            <w:r>
              <w:t>0x1e</w:t>
            </w:r>
          </w:p>
        </w:tc>
        <w:tc>
          <w:tcPr>
            <w:tcW w:w="539" w:type="dxa"/>
          </w:tcPr>
          <w:p w:rsidR="00C23E5C" w:rsidRDefault="00C23E5C" w:rsidP="006152E5">
            <w:pPr>
              <w:jc w:val="center"/>
            </w:pPr>
            <w:r>
              <w:t>0</w:t>
            </w:r>
          </w:p>
        </w:tc>
        <w:tc>
          <w:tcPr>
            <w:tcW w:w="990" w:type="dxa"/>
          </w:tcPr>
          <w:p w:rsidR="00C23E5C" w:rsidRDefault="00C23E5C" w:rsidP="006152E5">
            <w:pPr>
              <w:jc w:val="center"/>
            </w:pPr>
            <w:r>
              <w:t>variable</w:t>
            </w:r>
          </w:p>
        </w:tc>
        <w:tc>
          <w:tcPr>
            <w:tcW w:w="2250" w:type="dxa"/>
          </w:tcPr>
          <w:p w:rsidR="00C23E5C" w:rsidRDefault="00C23E5C" w:rsidP="006152E5">
            <w:r>
              <w:t>EB Filter</w:t>
            </w:r>
          </w:p>
        </w:tc>
        <w:tc>
          <w:tcPr>
            <w:tcW w:w="4140" w:type="dxa"/>
          </w:tcPr>
          <w:p w:rsidR="00C23E5C" w:rsidRDefault="00C23E5C" w:rsidP="006152E5">
            <w:r w:rsidRPr="002959A7">
              <w:t>Response filter for EBR (see 7.2.4.3.8)</w:t>
            </w:r>
          </w:p>
        </w:tc>
      </w:tr>
      <w:tr w:rsidR="00C23E5C" w:rsidTr="006152E5">
        <w:tc>
          <w:tcPr>
            <w:tcW w:w="1189" w:type="dxa"/>
          </w:tcPr>
          <w:p w:rsidR="00C23E5C" w:rsidRDefault="00C23E5C" w:rsidP="006152E5">
            <w:r>
              <w:t>0x1f</w:t>
            </w:r>
          </w:p>
        </w:tc>
        <w:tc>
          <w:tcPr>
            <w:tcW w:w="539" w:type="dxa"/>
          </w:tcPr>
          <w:p w:rsidR="00C23E5C" w:rsidRDefault="00C23E5C" w:rsidP="006152E5">
            <w:pPr>
              <w:jc w:val="center"/>
            </w:pPr>
            <w:r>
              <w:t>0</w:t>
            </w:r>
          </w:p>
        </w:tc>
        <w:tc>
          <w:tcPr>
            <w:tcW w:w="990" w:type="dxa"/>
          </w:tcPr>
          <w:p w:rsidR="00C23E5C" w:rsidRDefault="00C23E5C" w:rsidP="006152E5">
            <w:pPr>
              <w:jc w:val="center"/>
            </w:pPr>
            <w:r>
              <w:t>5</w:t>
            </w:r>
          </w:p>
        </w:tc>
        <w:tc>
          <w:tcPr>
            <w:tcW w:w="2250" w:type="dxa"/>
          </w:tcPr>
          <w:p w:rsidR="00C23E5C" w:rsidRDefault="00C23E5C" w:rsidP="006152E5">
            <w:r>
              <w:t>MAC Metrics 1</w:t>
            </w:r>
          </w:p>
        </w:tc>
        <w:tc>
          <w:tcPr>
            <w:tcW w:w="4140" w:type="dxa"/>
          </w:tcPr>
          <w:p w:rsidR="00C23E5C" w:rsidRDefault="00C23E5C" w:rsidP="006152E5">
            <w:r>
              <w:t>MAC Metrics counters 0x91 through 0x99 (see 7.2.4.3.14)</w:t>
            </w:r>
          </w:p>
        </w:tc>
      </w:tr>
      <w:tr w:rsidR="00C23E5C" w:rsidTr="006152E5">
        <w:tc>
          <w:tcPr>
            <w:tcW w:w="1189" w:type="dxa"/>
          </w:tcPr>
          <w:p w:rsidR="00C23E5C" w:rsidRDefault="00C23E5C" w:rsidP="006152E5">
            <w:r>
              <w:t>0x20</w:t>
            </w:r>
          </w:p>
        </w:tc>
        <w:tc>
          <w:tcPr>
            <w:tcW w:w="539" w:type="dxa"/>
          </w:tcPr>
          <w:p w:rsidR="00C23E5C" w:rsidRDefault="00C23E5C" w:rsidP="006152E5">
            <w:pPr>
              <w:jc w:val="center"/>
            </w:pPr>
            <w:r>
              <w:t>0</w:t>
            </w:r>
          </w:p>
        </w:tc>
        <w:tc>
          <w:tcPr>
            <w:tcW w:w="990" w:type="dxa"/>
          </w:tcPr>
          <w:p w:rsidR="00C23E5C" w:rsidRDefault="00C23E5C" w:rsidP="006152E5">
            <w:pPr>
              <w:jc w:val="center"/>
            </w:pPr>
            <w:r>
              <w:t>40</w:t>
            </w:r>
          </w:p>
        </w:tc>
        <w:tc>
          <w:tcPr>
            <w:tcW w:w="2250" w:type="dxa"/>
          </w:tcPr>
          <w:p w:rsidR="00C23E5C" w:rsidRDefault="00C23E5C" w:rsidP="006152E5">
            <w:r>
              <w:t>MAC Metrics 2</w:t>
            </w:r>
          </w:p>
        </w:tc>
        <w:tc>
          <w:tcPr>
            <w:tcW w:w="4140" w:type="dxa"/>
          </w:tcPr>
          <w:p w:rsidR="00C23E5C" w:rsidRDefault="00C23E5C" w:rsidP="006152E5">
            <w:r>
              <w:t>All MAC Metrics counters in Table 86l (see 7.2.4.3.14)</w:t>
            </w:r>
          </w:p>
        </w:tc>
      </w:tr>
      <w:tr w:rsidR="00C23E5C" w:rsidTr="006152E5">
        <w:tc>
          <w:tcPr>
            <w:tcW w:w="1189" w:type="dxa"/>
          </w:tcPr>
          <w:p w:rsidR="00C23E5C" w:rsidRDefault="00C23E5C" w:rsidP="006152E5">
            <w:r>
              <w:t>0x21-0x3f</w:t>
            </w:r>
          </w:p>
        </w:tc>
        <w:tc>
          <w:tcPr>
            <w:tcW w:w="539" w:type="dxa"/>
          </w:tcPr>
          <w:p w:rsidR="00C23E5C" w:rsidRDefault="00C23E5C" w:rsidP="006152E5">
            <w:pPr>
              <w:jc w:val="center"/>
            </w:pPr>
            <w:r>
              <w:t>0</w:t>
            </w:r>
          </w:p>
        </w:tc>
        <w:tc>
          <w:tcPr>
            <w:tcW w:w="990" w:type="dxa"/>
          </w:tcPr>
          <w:p w:rsidR="00C23E5C" w:rsidRDefault="00C23E5C" w:rsidP="006152E5">
            <w:pPr>
              <w:jc w:val="center"/>
            </w:pPr>
            <w:r>
              <w:t>-</w:t>
            </w:r>
          </w:p>
        </w:tc>
        <w:tc>
          <w:tcPr>
            <w:tcW w:w="2250" w:type="dxa"/>
          </w:tcPr>
          <w:p w:rsidR="00C23E5C" w:rsidRDefault="00C23E5C" w:rsidP="006152E5">
            <w:r>
              <w:t>Reserved</w:t>
            </w:r>
          </w:p>
        </w:tc>
        <w:tc>
          <w:tcPr>
            <w:tcW w:w="4140" w:type="dxa"/>
          </w:tcPr>
          <w:p w:rsidR="00C23E5C" w:rsidRDefault="00C23E5C" w:rsidP="006152E5"/>
        </w:tc>
      </w:tr>
      <w:tr w:rsidR="00C23E5C" w:rsidTr="006152E5">
        <w:tc>
          <w:tcPr>
            <w:tcW w:w="1189" w:type="dxa"/>
          </w:tcPr>
          <w:p w:rsidR="00C23E5C" w:rsidRDefault="00C23E5C" w:rsidP="006152E5">
            <w:r>
              <w:t>0x40-0x7f</w:t>
            </w:r>
          </w:p>
        </w:tc>
        <w:tc>
          <w:tcPr>
            <w:tcW w:w="539" w:type="dxa"/>
          </w:tcPr>
          <w:p w:rsidR="00C23E5C" w:rsidRDefault="00C23E5C" w:rsidP="006152E5">
            <w:pPr>
              <w:jc w:val="center"/>
            </w:pPr>
            <w:r>
              <w:t>0</w:t>
            </w:r>
          </w:p>
        </w:tc>
        <w:tc>
          <w:tcPr>
            <w:tcW w:w="990" w:type="dxa"/>
          </w:tcPr>
          <w:p w:rsidR="00C23E5C" w:rsidRDefault="00C23E5C" w:rsidP="006152E5">
            <w:pPr>
              <w:jc w:val="center"/>
            </w:pPr>
            <w:r>
              <w:t>-</w:t>
            </w:r>
          </w:p>
        </w:tc>
        <w:tc>
          <w:tcPr>
            <w:tcW w:w="2250" w:type="dxa"/>
          </w:tcPr>
          <w:p w:rsidR="00C23E5C" w:rsidRDefault="00C23E5C" w:rsidP="006152E5">
            <w:r>
              <w:t>Unmanaged.</w:t>
            </w:r>
          </w:p>
        </w:tc>
        <w:tc>
          <w:tcPr>
            <w:tcW w:w="4140" w:type="dxa"/>
          </w:tcPr>
          <w:p w:rsidR="00C23E5C" w:rsidRDefault="00C23E5C" w:rsidP="006152E5"/>
        </w:tc>
      </w:tr>
      <w:tr w:rsidR="00C23E5C" w:rsidTr="006152E5">
        <w:tc>
          <w:tcPr>
            <w:tcW w:w="1189" w:type="dxa"/>
          </w:tcPr>
          <w:p w:rsidR="00C23E5C" w:rsidRDefault="00C23E5C" w:rsidP="006152E5">
            <w:r>
              <w:t>0x80-0xff</w:t>
            </w:r>
          </w:p>
        </w:tc>
        <w:tc>
          <w:tcPr>
            <w:tcW w:w="539" w:type="dxa"/>
          </w:tcPr>
          <w:p w:rsidR="00C23E5C" w:rsidRDefault="00C23E5C" w:rsidP="006152E5">
            <w:pPr>
              <w:jc w:val="center"/>
            </w:pPr>
            <w:r>
              <w:t>0</w:t>
            </w:r>
          </w:p>
        </w:tc>
        <w:tc>
          <w:tcPr>
            <w:tcW w:w="990" w:type="dxa"/>
          </w:tcPr>
          <w:p w:rsidR="00C23E5C" w:rsidRDefault="00C23E5C" w:rsidP="006152E5">
            <w:pPr>
              <w:jc w:val="center"/>
            </w:pPr>
            <w:r>
              <w:t>-</w:t>
            </w:r>
          </w:p>
        </w:tc>
        <w:tc>
          <w:tcPr>
            <w:tcW w:w="2250" w:type="dxa"/>
          </w:tcPr>
          <w:p w:rsidR="00C23E5C" w:rsidRDefault="00C23E5C" w:rsidP="006152E5">
            <w:r>
              <w:t xml:space="preserve">Reserved  </w:t>
            </w:r>
          </w:p>
        </w:tc>
        <w:tc>
          <w:tcPr>
            <w:tcW w:w="4140" w:type="dxa"/>
          </w:tcPr>
          <w:p w:rsidR="00C23E5C" w:rsidRDefault="00C23E5C" w:rsidP="006152E5"/>
        </w:tc>
      </w:tr>
    </w:tbl>
    <w:p w:rsidR="00C23E5C" w:rsidRDefault="00C23E5C" w:rsidP="00C23E5C"/>
    <w:p w:rsidR="00C23E5C" w:rsidRDefault="007317C2" w:rsidP="00C23E5C">
      <w:r>
        <w:t>Table 80j - Long form</w:t>
      </w:r>
    </w:p>
    <w:tbl>
      <w:tblPr>
        <w:tblStyle w:val="TableGrid"/>
        <w:tblW w:w="0" w:type="auto"/>
        <w:tblLayout w:type="fixed"/>
        <w:tblLook w:val="04A0"/>
      </w:tblPr>
      <w:tblGrid>
        <w:gridCol w:w="1189"/>
        <w:gridCol w:w="539"/>
        <w:gridCol w:w="990"/>
        <w:gridCol w:w="2250"/>
        <w:gridCol w:w="4140"/>
      </w:tblGrid>
      <w:tr w:rsidR="00C23E5C" w:rsidTr="006152E5">
        <w:tc>
          <w:tcPr>
            <w:tcW w:w="1189" w:type="dxa"/>
          </w:tcPr>
          <w:p w:rsidR="00C23E5C" w:rsidRDefault="00C23E5C" w:rsidP="006152E5">
            <w:r>
              <w:t>Sub-ID Value</w:t>
            </w:r>
          </w:p>
        </w:tc>
        <w:tc>
          <w:tcPr>
            <w:tcW w:w="539" w:type="dxa"/>
          </w:tcPr>
          <w:p w:rsidR="00C23E5C" w:rsidRDefault="00C23E5C" w:rsidP="006152E5">
            <w:pPr>
              <w:jc w:val="center"/>
            </w:pPr>
            <w:r>
              <w:t>S/L</w:t>
            </w:r>
          </w:p>
        </w:tc>
        <w:tc>
          <w:tcPr>
            <w:tcW w:w="990" w:type="dxa"/>
          </w:tcPr>
          <w:p w:rsidR="00C23E5C" w:rsidRDefault="00C23E5C" w:rsidP="006152E5">
            <w:pPr>
              <w:jc w:val="center"/>
            </w:pPr>
            <w:r>
              <w:t>Content Length</w:t>
            </w:r>
          </w:p>
        </w:tc>
        <w:tc>
          <w:tcPr>
            <w:tcW w:w="2250" w:type="dxa"/>
          </w:tcPr>
          <w:p w:rsidR="00C23E5C" w:rsidRDefault="00C23E5C" w:rsidP="006152E5">
            <w:r>
              <w:t>Name</w:t>
            </w:r>
          </w:p>
        </w:tc>
        <w:tc>
          <w:tcPr>
            <w:tcW w:w="4140" w:type="dxa"/>
          </w:tcPr>
          <w:p w:rsidR="00C23E5C" w:rsidRDefault="00C23E5C" w:rsidP="006152E5">
            <w:r>
              <w:t>Description</w:t>
            </w:r>
          </w:p>
        </w:tc>
      </w:tr>
      <w:tr w:rsidR="00C23E5C" w:rsidTr="006152E5">
        <w:tc>
          <w:tcPr>
            <w:tcW w:w="1189" w:type="dxa"/>
          </w:tcPr>
          <w:p w:rsidR="00C23E5C" w:rsidRDefault="00C23E5C" w:rsidP="006152E5">
            <w:r>
              <w:t>0x0</w:t>
            </w:r>
          </w:p>
        </w:tc>
        <w:tc>
          <w:tcPr>
            <w:tcW w:w="539" w:type="dxa"/>
          </w:tcPr>
          <w:p w:rsidR="00C23E5C" w:rsidRDefault="00C23E5C" w:rsidP="006152E5">
            <w:pPr>
              <w:jc w:val="center"/>
            </w:pPr>
          </w:p>
        </w:tc>
        <w:tc>
          <w:tcPr>
            <w:tcW w:w="990" w:type="dxa"/>
          </w:tcPr>
          <w:p w:rsidR="00C23E5C" w:rsidRDefault="00C23E5C" w:rsidP="006152E5">
            <w:pPr>
              <w:jc w:val="center"/>
            </w:pPr>
            <w:r>
              <w:t>variable</w:t>
            </w:r>
          </w:p>
        </w:tc>
        <w:tc>
          <w:tcPr>
            <w:tcW w:w="2250" w:type="dxa"/>
          </w:tcPr>
          <w:p w:rsidR="00C23E5C" w:rsidRDefault="00C23E5C" w:rsidP="006152E5">
            <w:r>
              <w:t>SDU</w:t>
            </w:r>
          </w:p>
        </w:tc>
        <w:tc>
          <w:tcPr>
            <w:tcW w:w="4140" w:type="dxa"/>
          </w:tcPr>
          <w:p w:rsidR="00C23E5C" w:rsidRDefault="00C23E5C" w:rsidP="006152E5">
            <w:r>
              <w:t>Upper layer provided content transparent to the MAC</w:t>
            </w:r>
          </w:p>
        </w:tc>
      </w:tr>
      <w:tr w:rsidR="00C23E5C" w:rsidTr="006152E5">
        <w:tc>
          <w:tcPr>
            <w:tcW w:w="1189" w:type="dxa"/>
          </w:tcPr>
          <w:p w:rsidR="00C23E5C" w:rsidRDefault="00C23E5C" w:rsidP="006152E5">
            <w:r>
              <w:t>0x1 – 0x8</w:t>
            </w:r>
          </w:p>
        </w:tc>
        <w:tc>
          <w:tcPr>
            <w:tcW w:w="539" w:type="dxa"/>
          </w:tcPr>
          <w:p w:rsidR="00C23E5C" w:rsidRDefault="00C23E5C" w:rsidP="006152E5">
            <w:pPr>
              <w:jc w:val="center"/>
            </w:pPr>
            <w:r>
              <w:t>1</w:t>
            </w:r>
          </w:p>
        </w:tc>
        <w:tc>
          <w:tcPr>
            <w:tcW w:w="990" w:type="dxa"/>
          </w:tcPr>
          <w:p w:rsidR="00C23E5C" w:rsidRDefault="00C23E5C" w:rsidP="006152E5">
            <w:pPr>
              <w:jc w:val="center"/>
            </w:pPr>
            <w:r>
              <w:t>--</w:t>
            </w:r>
          </w:p>
        </w:tc>
        <w:tc>
          <w:tcPr>
            <w:tcW w:w="2250" w:type="dxa"/>
          </w:tcPr>
          <w:p w:rsidR="00C23E5C" w:rsidRDefault="00C23E5C" w:rsidP="006152E5">
            <w:r>
              <w:t>Un-managed.</w:t>
            </w:r>
          </w:p>
        </w:tc>
        <w:tc>
          <w:tcPr>
            <w:tcW w:w="4140" w:type="dxa"/>
          </w:tcPr>
          <w:p w:rsidR="00C23E5C" w:rsidRDefault="00C23E5C" w:rsidP="006152E5"/>
        </w:tc>
      </w:tr>
      <w:tr w:rsidR="00C23E5C" w:rsidTr="006152E5">
        <w:tc>
          <w:tcPr>
            <w:tcW w:w="1189" w:type="dxa"/>
          </w:tcPr>
          <w:p w:rsidR="00C23E5C" w:rsidRDefault="00C23E5C" w:rsidP="006152E5">
            <w:r>
              <w:t>0xa9</w:t>
            </w:r>
          </w:p>
        </w:tc>
        <w:tc>
          <w:tcPr>
            <w:tcW w:w="539" w:type="dxa"/>
          </w:tcPr>
          <w:p w:rsidR="00C23E5C" w:rsidRDefault="00C23E5C" w:rsidP="006152E5">
            <w:pPr>
              <w:jc w:val="center"/>
            </w:pPr>
            <w:r>
              <w:t>1</w:t>
            </w:r>
          </w:p>
        </w:tc>
        <w:tc>
          <w:tcPr>
            <w:tcW w:w="990" w:type="dxa"/>
          </w:tcPr>
          <w:p w:rsidR="00C23E5C" w:rsidRDefault="00C23E5C" w:rsidP="006152E5">
            <w:pPr>
              <w:jc w:val="center"/>
            </w:pPr>
            <w:r>
              <w:t>variable</w:t>
            </w:r>
          </w:p>
        </w:tc>
        <w:tc>
          <w:tcPr>
            <w:tcW w:w="2250" w:type="dxa"/>
          </w:tcPr>
          <w:p w:rsidR="00C23E5C" w:rsidRDefault="00C23E5C" w:rsidP="006152E5">
            <w:r>
              <w:t>Channel Hopping Sequence</w:t>
            </w:r>
          </w:p>
        </w:tc>
        <w:tc>
          <w:tcPr>
            <w:tcW w:w="4140" w:type="dxa"/>
          </w:tcPr>
          <w:p w:rsidR="00C23E5C" w:rsidRDefault="00C23E5C" w:rsidP="006152E5">
            <w:r w:rsidRPr="009B406A">
              <w:t>The Hopping Sequence being used by the device (see 7.2.4.3.11)</w:t>
            </w:r>
          </w:p>
        </w:tc>
      </w:tr>
      <w:tr w:rsidR="00C23E5C" w:rsidTr="006152E5">
        <w:tc>
          <w:tcPr>
            <w:tcW w:w="1189" w:type="dxa"/>
          </w:tcPr>
          <w:p w:rsidR="00C23E5C" w:rsidRDefault="00C23E5C" w:rsidP="006152E5">
            <w:r>
              <w:t>0xa-0xf</w:t>
            </w:r>
          </w:p>
        </w:tc>
        <w:tc>
          <w:tcPr>
            <w:tcW w:w="539" w:type="dxa"/>
          </w:tcPr>
          <w:p w:rsidR="00C23E5C" w:rsidRDefault="00C23E5C" w:rsidP="006152E5">
            <w:pPr>
              <w:jc w:val="center"/>
            </w:pPr>
            <w:r>
              <w:t>1</w:t>
            </w:r>
          </w:p>
        </w:tc>
        <w:tc>
          <w:tcPr>
            <w:tcW w:w="990" w:type="dxa"/>
          </w:tcPr>
          <w:p w:rsidR="00C23E5C" w:rsidRDefault="00C23E5C" w:rsidP="006152E5">
            <w:pPr>
              <w:jc w:val="center"/>
            </w:pPr>
            <w:r>
              <w:t>--</w:t>
            </w:r>
          </w:p>
        </w:tc>
        <w:tc>
          <w:tcPr>
            <w:tcW w:w="2250" w:type="dxa"/>
          </w:tcPr>
          <w:p w:rsidR="00C23E5C" w:rsidRDefault="00C23E5C" w:rsidP="006152E5">
            <w:r>
              <w:t>Reserved</w:t>
            </w:r>
          </w:p>
        </w:tc>
        <w:tc>
          <w:tcPr>
            <w:tcW w:w="4140" w:type="dxa"/>
          </w:tcPr>
          <w:p w:rsidR="00C23E5C" w:rsidRDefault="00C23E5C" w:rsidP="006152E5"/>
        </w:tc>
      </w:tr>
    </w:tbl>
    <w:p w:rsidR="00C23E5C" w:rsidRDefault="00C23E5C" w:rsidP="00C23E5C"/>
    <w:p w:rsidR="00C23E5C" w:rsidRDefault="007317C2" w:rsidP="00C23E5C">
      <w:r>
        <w:br w:type="page"/>
      </w:r>
      <w:r w:rsidR="00C23E5C">
        <w:lastRenderedPageBreak/>
        <w:t>Notes</w:t>
      </w:r>
      <w:r>
        <w:t xml:space="preserve"> (for explanation, not to be included in the standard)</w:t>
      </w:r>
      <w:r w:rsidR="00C23E5C">
        <w:t xml:space="preserve">: </w:t>
      </w:r>
    </w:p>
    <w:p w:rsidR="00C23E5C" w:rsidRDefault="00C23E5C" w:rsidP="00C23E5C">
      <w:pPr>
        <w:pStyle w:val="ListParagraph"/>
        <w:numPr>
          <w:ilvl w:val="0"/>
          <w:numId w:val="4"/>
        </w:numPr>
      </w:pPr>
      <w:r>
        <w:t>There is no need for a termination element in the nested structure: the length of the outer IE will indicate when the sub-IE list is exhausted. Also handy in that it allows an implementation to skip the entire nested IEs if it doesn’t support the format.</w:t>
      </w:r>
    </w:p>
    <w:p w:rsidR="00C23E5C" w:rsidRDefault="00C23E5C" w:rsidP="00C23E5C">
      <w:pPr>
        <w:pStyle w:val="ListParagraph"/>
        <w:numPr>
          <w:ilvl w:val="0"/>
          <w:numId w:val="4"/>
        </w:numPr>
      </w:pPr>
      <w:r>
        <w:t xml:space="preserve">The overhead of having the sub-descriptor (Sub-ID + length) is shorter than 3 or </w:t>
      </w:r>
      <w:proofErr w:type="gramStart"/>
      <w:r>
        <w:t>4 octet IE descriptor</w:t>
      </w:r>
      <w:proofErr w:type="gramEnd"/>
      <w:r>
        <w:t xml:space="preserve"> if there are more than 2 IEs nested in the MLME IE.  </w:t>
      </w:r>
    </w:p>
    <w:p w:rsidR="00C23E5C" w:rsidRDefault="00C23E5C" w:rsidP="00C23E5C"/>
    <w:p w:rsidR="00297F50" w:rsidRDefault="00297F50" w:rsidP="00C23E5C"/>
    <w:sectPr w:rsidR="00297F50" w:rsidSect="00D831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8EB" w:rsidRDefault="000958EB" w:rsidP="00F33D05">
      <w:pPr>
        <w:spacing w:after="0" w:line="240" w:lineRule="auto"/>
      </w:pPr>
      <w:r>
        <w:separator/>
      </w:r>
    </w:p>
  </w:endnote>
  <w:endnote w:type="continuationSeparator" w:id="0">
    <w:p w:rsidR="000958EB" w:rsidRDefault="000958EB" w:rsidP="00F33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F33D05" w:rsidP="00F33D05">
    <w:pPr>
      <w:pStyle w:val="Footer"/>
      <w:widowControl w:val="0"/>
      <w:pBdr>
        <w:top w:val="single" w:sz="6" w:space="0" w:color="auto"/>
      </w:pBdr>
      <w:spacing w:before="240"/>
    </w:pPr>
    <w:r>
      <w:t>Submission</w:t>
    </w:r>
    <w:r>
      <w:tab/>
      <w:t xml:space="preserve">Page </w:t>
    </w:r>
    <w:r>
      <w:pgNum/>
    </w:r>
    <w:r>
      <w:tab/>
    </w:r>
    <w:fldSimple w:instr=" AUTHOR  \* MERGEFORMAT ">
      <w:r w:rsidR="00D05DD5">
        <w:rPr>
          <w:noProof/>
        </w:rPr>
        <w:t>B. Rolfe, J. Simon, W. San Filippo</w:t>
      </w:r>
    </w:fldSimple>
    <w:r>
      <w:t xml:space="preserve"> </w:t>
    </w:r>
  </w:p>
  <w:p w:rsidR="00F33D05" w:rsidRDefault="00F33D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8EB" w:rsidRDefault="000958EB" w:rsidP="00F33D05">
      <w:pPr>
        <w:spacing w:after="0" w:line="240" w:lineRule="auto"/>
      </w:pPr>
      <w:r>
        <w:separator/>
      </w:r>
    </w:p>
  </w:footnote>
  <w:footnote w:type="continuationSeparator" w:id="0">
    <w:p w:rsidR="000958EB" w:rsidRDefault="000958EB" w:rsidP="00F33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D05DD5" w:rsidP="00F33D05">
    <w:pPr>
      <w:pStyle w:val="Header"/>
      <w:widowControl w:val="0"/>
      <w:pBdr>
        <w:bottom w:val="single" w:sz="6" w:space="0" w:color="auto"/>
        <w:between w:val="single" w:sz="6" w:space="0" w:color="auto"/>
      </w:pBdr>
      <w:tabs>
        <w:tab w:val="right" w:pos="9270"/>
      </w:tabs>
      <w:spacing w:after="360"/>
      <w:jc w:val="both"/>
      <w:rPr>
        <w:b/>
        <w:sz w:val="28"/>
      </w:rPr>
    </w:pPr>
    <w:r>
      <w:rPr>
        <w:b/>
        <w:sz w:val="28"/>
      </w:rPr>
      <w:t>March 2011</w:t>
    </w:r>
    <w:r w:rsidR="00F33D05">
      <w:rPr>
        <w:b/>
        <w:sz w:val="28"/>
      </w:rPr>
      <w:tab/>
      <w:t xml:space="preserve"> </w:t>
    </w:r>
    <w:r w:rsidR="00F33D05">
      <w:rPr>
        <w:b/>
        <w:sz w:val="28"/>
      </w:rPr>
      <w:tab/>
      <w:t>IEEE P802.</w:t>
    </w:r>
    <w:fldSimple w:instr=" DOCPROPERTY &quot;Category&quot;  \* MERGEFORMAT ">
      <w:r w:rsidRPr="00D05DD5">
        <w:rPr>
          <w:b/>
          <w:sz w:val="28"/>
        </w:rPr>
        <w:t>15-11-0195-00-004e</w:t>
      </w:r>
    </w:fldSimple>
  </w:p>
  <w:p w:rsidR="00F33D05" w:rsidRDefault="00F33D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C5"/>
    <w:multiLevelType w:val="hybridMultilevel"/>
    <w:tmpl w:val="B330C04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55E"/>
    <w:multiLevelType w:val="hybridMultilevel"/>
    <w:tmpl w:val="A33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0849"/>
    <w:multiLevelType w:val="hybridMultilevel"/>
    <w:tmpl w:val="210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65AD6"/>
    <w:multiLevelType w:val="hybridMultilevel"/>
    <w:tmpl w:val="3D8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13DF"/>
    <w:rsid w:val="00055DD1"/>
    <w:rsid w:val="000958EB"/>
    <w:rsid w:val="000C2C6A"/>
    <w:rsid w:val="000C358A"/>
    <w:rsid w:val="001206DB"/>
    <w:rsid w:val="00127D75"/>
    <w:rsid w:val="00164786"/>
    <w:rsid w:val="00167731"/>
    <w:rsid w:val="001C2553"/>
    <w:rsid w:val="001C5DFE"/>
    <w:rsid w:val="001E0DF6"/>
    <w:rsid w:val="001F61FB"/>
    <w:rsid w:val="00214E65"/>
    <w:rsid w:val="002431D8"/>
    <w:rsid w:val="002641BC"/>
    <w:rsid w:val="00283D0B"/>
    <w:rsid w:val="00295C97"/>
    <w:rsid w:val="00297F50"/>
    <w:rsid w:val="002A0913"/>
    <w:rsid w:val="002A68A0"/>
    <w:rsid w:val="002B4397"/>
    <w:rsid w:val="0030096C"/>
    <w:rsid w:val="003709B3"/>
    <w:rsid w:val="003A13DF"/>
    <w:rsid w:val="003C7674"/>
    <w:rsid w:val="00405146"/>
    <w:rsid w:val="00406D81"/>
    <w:rsid w:val="00421CCB"/>
    <w:rsid w:val="004643B9"/>
    <w:rsid w:val="004D6F86"/>
    <w:rsid w:val="005321F4"/>
    <w:rsid w:val="00541668"/>
    <w:rsid w:val="00582AB0"/>
    <w:rsid w:val="00591B9F"/>
    <w:rsid w:val="005A0AC3"/>
    <w:rsid w:val="005A7E9E"/>
    <w:rsid w:val="005E04BA"/>
    <w:rsid w:val="005E4793"/>
    <w:rsid w:val="00653A44"/>
    <w:rsid w:val="006F504F"/>
    <w:rsid w:val="007222F5"/>
    <w:rsid w:val="007317C2"/>
    <w:rsid w:val="00732BE2"/>
    <w:rsid w:val="00744210"/>
    <w:rsid w:val="0075145B"/>
    <w:rsid w:val="00776E50"/>
    <w:rsid w:val="00785FE7"/>
    <w:rsid w:val="00795F74"/>
    <w:rsid w:val="007C5E6C"/>
    <w:rsid w:val="007D123C"/>
    <w:rsid w:val="007D606C"/>
    <w:rsid w:val="007F529A"/>
    <w:rsid w:val="007F6339"/>
    <w:rsid w:val="00821AA2"/>
    <w:rsid w:val="008228F8"/>
    <w:rsid w:val="0083085F"/>
    <w:rsid w:val="00844D81"/>
    <w:rsid w:val="00875483"/>
    <w:rsid w:val="00893496"/>
    <w:rsid w:val="008A2690"/>
    <w:rsid w:val="008B5BB5"/>
    <w:rsid w:val="008C48AF"/>
    <w:rsid w:val="008E664B"/>
    <w:rsid w:val="008F5D02"/>
    <w:rsid w:val="0092417F"/>
    <w:rsid w:val="00927FEF"/>
    <w:rsid w:val="009336F6"/>
    <w:rsid w:val="00950BE9"/>
    <w:rsid w:val="00967FF6"/>
    <w:rsid w:val="009A3B8C"/>
    <w:rsid w:val="009C6F99"/>
    <w:rsid w:val="00A11D1D"/>
    <w:rsid w:val="00A16375"/>
    <w:rsid w:val="00A165C6"/>
    <w:rsid w:val="00A27176"/>
    <w:rsid w:val="00A93505"/>
    <w:rsid w:val="00AA0FB3"/>
    <w:rsid w:val="00AA43EF"/>
    <w:rsid w:val="00AE5618"/>
    <w:rsid w:val="00AE6FD8"/>
    <w:rsid w:val="00B0308F"/>
    <w:rsid w:val="00B04C24"/>
    <w:rsid w:val="00B16129"/>
    <w:rsid w:val="00B24F9F"/>
    <w:rsid w:val="00B72A7D"/>
    <w:rsid w:val="00BB3FEC"/>
    <w:rsid w:val="00BC4E2E"/>
    <w:rsid w:val="00BD4C8B"/>
    <w:rsid w:val="00BE7508"/>
    <w:rsid w:val="00BF1FD4"/>
    <w:rsid w:val="00C23E5C"/>
    <w:rsid w:val="00C75A2F"/>
    <w:rsid w:val="00CA3B5E"/>
    <w:rsid w:val="00CC77A2"/>
    <w:rsid w:val="00D02271"/>
    <w:rsid w:val="00D05DD5"/>
    <w:rsid w:val="00D41125"/>
    <w:rsid w:val="00D8313D"/>
    <w:rsid w:val="00DB76D9"/>
    <w:rsid w:val="00DC1E06"/>
    <w:rsid w:val="00DF2F1B"/>
    <w:rsid w:val="00E33489"/>
    <w:rsid w:val="00E53C6C"/>
    <w:rsid w:val="00E94360"/>
    <w:rsid w:val="00EA3F2E"/>
    <w:rsid w:val="00EB4DFA"/>
    <w:rsid w:val="00F33D05"/>
    <w:rsid w:val="00F50C3F"/>
    <w:rsid w:val="00F92A25"/>
    <w:rsid w:val="00FA6316"/>
    <w:rsid w:val="00FB2551"/>
    <w:rsid w:val="00FE1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semiHidden/>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D05"/>
    <w:rPr>
      <w:rFonts w:ascii="Times New Roman" w:hAnsi="Times New Roman"/>
    </w:rPr>
  </w:style>
  <w:style w:type="paragraph" w:styleId="Footer">
    <w:name w:val="footer"/>
    <w:basedOn w:val="Normal"/>
    <w:link w:val="FooterChar"/>
    <w:semiHidden/>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7768CBED92467EA33D251661987205"/>
        <w:category>
          <w:name w:val="General"/>
          <w:gallery w:val="placeholder"/>
        </w:category>
        <w:types>
          <w:type w:val="bbPlcHdr"/>
        </w:types>
        <w:behaviors>
          <w:behavior w:val="content"/>
        </w:behaviors>
        <w:guid w:val="{162CEF88-0D9A-438F-8B69-65617351CA47}"/>
      </w:docPartPr>
      <w:docPartBody>
        <w:p w:rsidR="00D50681" w:rsidRDefault="00DC3BBA">
          <w:r w:rsidRPr="00E226DD">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C3BBA"/>
    <w:rsid w:val="00137D91"/>
    <w:rsid w:val="001A285A"/>
    <w:rsid w:val="00582F1F"/>
    <w:rsid w:val="00A532CC"/>
    <w:rsid w:val="00C03037"/>
    <w:rsid w:val="00D14853"/>
    <w:rsid w:val="00D50681"/>
    <w:rsid w:val="00DC3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B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E48A-DE62-4724-A2EF-CF7DA333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Support for LB69 nested IE Comments</vt:lpstr>
    </vt:vector>
  </TitlesOfParts>
  <Company>Blind Creek Associates</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LB69 nested IE Comments</dc:title>
  <dc:subject>TG4e LB 69 comment resolution</dc:subject>
  <dc:creator>B. Rolfe, J. Simon, W. San Filippo</dc:creator>
  <cp:keywords>LB69 comment resolution</cp:keywords>
  <dc:description>Proposed Changes that are hard to fit into the XLS.</dc:description>
  <cp:lastModifiedBy>Ben</cp:lastModifiedBy>
  <cp:revision>2</cp:revision>
  <dcterms:created xsi:type="dcterms:W3CDTF">2011-03-17T05:07:00Z</dcterms:created>
  <dcterms:modified xsi:type="dcterms:W3CDTF">2011-03-17T05:07:00Z</dcterms:modified>
  <cp:category>15-11-0195-00-004e</cp:category>
</cp:coreProperties>
</file>