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90" w:rsidRPr="00B268FC" w:rsidRDefault="00017990" w:rsidP="00B268FC">
      <w:pPr>
        <w:rPr>
          <w:rFonts w:asciiTheme="majorHAnsi" w:eastAsiaTheme="majorEastAsia" w:hAnsiTheme="majorHAnsi" w:cstheme="majorBidi"/>
          <w:color w:val="17365D" w:themeColor="text2" w:themeShade="BF"/>
          <w:spacing w:val="5"/>
          <w:kern w:val="28"/>
          <w:sz w:val="44"/>
          <w:szCs w:val="52"/>
        </w:rPr>
      </w:pPr>
      <w:r w:rsidRPr="00B268FC">
        <w:rPr>
          <w:b/>
        </w:rPr>
        <w:t>IEEE P802.15</w:t>
      </w:r>
    </w:p>
    <w:p w:rsidR="00017990" w:rsidRDefault="00017990" w:rsidP="00017990">
      <w:pPr>
        <w:pStyle w:val="Standard"/>
        <w:jc w:val="center"/>
        <w:rPr>
          <w:b/>
        </w:rPr>
      </w:pPr>
      <w:r>
        <w:rPr>
          <w:b/>
        </w:rPr>
        <w:t>Wireless Personal Area Networks</w:t>
      </w:r>
    </w:p>
    <w:p w:rsidR="00017990" w:rsidRDefault="00017990" w:rsidP="00017990">
      <w:pPr>
        <w:pStyle w:val="Standard"/>
        <w:jc w:val="center"/>
        <w:rPr>
          <w:b/>
        </w:rPr>
      </w:pPr>
    </w:p>
    <w:tbl>
      <w:tblPr>
        <w:tblW w:w="9450" w:type="dxa"/>
        <w:tblInd w:w="98" w:type="dxa"/>
        <w:tblLayout w:type="fixed"/>
        <w:tblCellMar>
          <w:left w:w="10" w:type="dxa"/>
          <w:right w:w="10" w:type="dxa"/>
        </w:tblCellMar>
        <w:tblLook w:val="04A0"/>
      </w:tblPr>
      <w:tblGrid>
        <w:gridCol w:w="1260"/>
        <w:gridCol w:w="4050"/>
        <w:gridCol w:w="4140"/>
      </w:tblGrid>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Project</w:t>
            </w:r>
          </w:p>
        </w:tc>
        <w:tc>
          <w:tcPr>
            <w:tcW w:w="8190" w:type="dxa"/>
            <w:gridSpan w:val="2"/>
            <w:tcBorders>
              <w:top w:val="single" w:sz="4" w:space="0" w:color="000000"/>
            </w:tcBorders>
            <w:tcMar>
              <w:top w:w="0" w:type="dxa"/>
              <w:left w:w="108" w:type="dxa"/>
              <w:bottom w:w="0" w:type="dxa"/>
              <w:right w:w="108" w:type="dxa"/>
            </w:tcMar>
          </w:tcPr>
          <w:p w:rsidR="00017990" w:rsidRDefault="00017990" w:rsidP="00722277">
            <w:pPr>
              <w:pStyle w:val="covertext"/>
              <w:snapToGrid w:val="0"/>
            </w:pPr>
            <w:r>
              <w:t>IEEE P802.15 Working Group for Wireless Personal Area Networks (WPANs)</w:t>
            </w:r>
          </w:p>
        </w:tc>
      </w:tr>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Title</w:t>
            </w:r>
          </w:p>
        </w:tc>
        <w:tc>
          <w:tcPr>
            <w:tcW w:w="8190" w:type="dxa"/>
            <w:gridSpan w:val="2"/>
            <w:tcBorders>
              <w:top w:val="single" w:sz="4" w:space="0" w:color="000000"/>
            </w:tcBorders>
            <w:tcMar>
              <w:top w:w="0" w:type="dxa"/>
              <w:left w:w="108" w:type="dxa"/>
              <w:bottom w:w="0" w:type="dxa"/>
              <w:right w:w="108" w:type="dxa"/>
            </w:tcMar>
          </w:tcPr>
          <w:p w:rsidR="00017990" w:rsidRDefault="00017990" w:rsidP="00722277">
            <w:pPr>
              <w:pStyle w:val="covertext"/>
              <w:snapToGrid w:val="0"/>
            </w:pPr>
            <w:r w:rsidRPr="00017990">
              <w:t>TG4g January 2011Ad-hoc Meeting Minutes</w:t>
            </w:r>
          </w:p>
        </w:tc>
      </w:tr>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Date Submitted</w:t>
            </w:r>
          </w:p>
        </w:tc>
        <w:tc>
          <w:tcPr>
            <w:tcW w:w="8190" w:type="dxa"/>
            <w:gridSpan w:val="2"/>
            <w:tcBorders>
              <w:top w:val="single" w:sz="4" w:space="0" w:color="000000"/>
            </w:tcBorders>
            <w:tcMar>
              <w:top w:w="0" w:type="dxa"/>
              <w:left w:w="108" w:type="dxa"/>
              <w:bottom w:w="0" w:type="dxa"/>
              <w:right w:w="108" w:type="dxa"/>
            </w:tcMar>
          </w:tcPr>
          <w:p w:rsidR="00017990" w:rsidRDefault="00017990" w:rsidP="00017990">
            <w:pPr>
              <w:pStyle w:val="covertext"/>
              <w:snapToGrid w:val="0"/>
            </w:pPr>
            <w:r>
              <w:t>January 17, 2011</w:t>
            </w:r>
          </w:p>
        </w:tc>
      </w:tr>
      <w:tr w:rsidR="00017990" w:rsidTr="00722277">
        <w:tblPrEx>
          <w:tblCellMar>
            <w:top w:w="0" w:type="dxa"/>
            <w:bottom w:w="0" w:type="dxa"/>
          </w:tblCellMar>
        </w:tblPrEx>
        <w:tc>
          <w:tcPr>
            <w:tcW w:w="1260" w:type="dxa"/>
            <w:tcBorders>
              <w:top w:val="single" w:sz="4" w:space="0" w:color="000000"/>
              <w:bottom w:val="single" w:sz="4" w:space="0" w:color="000000"/>
            </w:tcBorders>
            <w:tcMar>
              <w:top w:w="0" w:type="dxa"/>
              <w:left w:w="108" w:type="dxa"/>
              <w:bottom w:w="0" w:type="dxa"/>
              <w:right w:w="108" w:type="dxa"/>
            </w:tcMar>
          </w:tcPr>
          <w:p w:rsidR="00017990" w:rsidRDefault="00017990" w:rsidP="00722277">
            <w:pPr>
              <w:pStyle w:val="covertext"/>
              <w:snapToGrid w:val="0"/>
            </w:pPr>
            <w:r>
              <w:t>Source</w:t>
            </w:r>
          </w:p>
        </w:tc>
        <w:tc>
          <w:tcPr>
            <w:tcW w:w="4050" w:type="dxa"/>
            <w:tcBorders>
              <w:top w:val="single" w:sz="4" w:space="0" w:color="000000"/>
              <w:bottom w:val="single" w:sz="4" w:space="0" w:color="000000"/>
            </w:tcBorders>
            <w:tcMar>
              <w:top w:w="0" w:type="dxa"/>
              <w:left w:w="108" w:type="dxa"/>
              <w:bottom w:w="0" w:type="dxa"/>
              <w:right w:w="108" w:type="dxa"/>
            </w:tcMar>
          </w:tcPr>
          <w:p w:rsidR="00017990" w:rsidRDefault="00017990" w:rsidP="00017990">
            <w:pPr>
              <w:pStyle w:val="covertext"/>
              <w:snapToGrid w:val="0"/>
              <w:spacing w:before="0" w:after="0"/>
            </w:pPr>
            <w:r>
              <w:t>[Benjamin A. Rolfe]</w:t>
            </w:r>
            <w:r>
              <w:br/>
              <w:t>[]</w:t>
            </w:r>
            <w:r>
              <w:br/>
              <w:t>[Los Gatos, CA]</w:t>
            </w:r>
          </w:p>
        </w:tc>
        <w:tc>
          <w:tcPr>
            <w:tcW w:w="4140" w:type="dxa"/>
            <w:tcBorders>
              <w:top w:val="single" w:sz="4" w:space="0" w:color="000000"/>
              <w:bottom w:val="single" w:sz="4" w:space="0" w:color="000000"/>
            </w:tcBorders>
            <w:tcMar>
              <w:top w:w="0" w:type="dxa"/>
              <w:left w:w="108" w:type="dxa"/>
              <w:bottom w:w="0" w:type="dxa"/>
              <w:right w:w="108" w:type="dxa"/>
            </w:tcMar>
          </w:tcPr>
          <w:p w:rsidR="00017990" w:rsidRDefault="00017990" w:rsidP="00017990">
            <w:pPr>
              <w:pStyle w:val="covertext"/>
              <w:tabs>
                <w:tab w:val="left" w:pos="1152"/>
              </w:tabs>
              <w:snapToGrid w:val="0"/>
              <w:spacing w:before="0" w:after="0"/>
            </w:pPr>
            <w:r>
              <w:t>Voice:</w:t>
            </w:r>
            <w:r>
              <w:tab/>
              <w:t>[408-395-7207]</w:t>
            </w:r>
            <w:r>
              <w:br/>
              <w:t>Fax:</w:t>
            </w:r>
            <w:r>
              <w:tab/>
              <w:t>[]</w:t>
            </w:r>
            <w:r>
              <w:br/>
              <w:t>E-mail:</w:t>
            </w:r>
            <w:r>
              <w:tab/>
              <w:t>[</w:t>
            </w:r>
            <w:proofErr w:type="spellStart"/>
            <w:r>
              <w:t>ben</w:t>
            </w:r>
            <w:proofErr w:type="spellEnd"/>
            <w:r>
              <w:t xml:space="preserve">  @  </w:t>
            </w:r>
            <w:proofErr w:type="spellStart"/>
            <w:r>
              <w:t>blindcreek</w:t>
            </w:r>
            <w:proofErr w:type="spellEnd"/>
            <w:r>
              <w:t xml:space="preserve"> . com]</w:t>
            </w:r>
          </w:p>
        </w:tc>
      </w:tr>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Re:</w:t>
            </w:r>
          </w:p>
        </w:tc>
        <w:tc>
          <w:tcPr>
            <w:tcW w:w="8190" w:type="dxa"/>
            <w:gridSpan w:val="2"/>
            <w:tcBorders>
              <w:top w:val="single" w:sz="4" w:space="0" w:color="000000"/>
            </w:tcBorders>
            <w:tcMar>
              <w:top w:w="0" w:type="dxa"/>
              <w:left w:w="108" w:type="dxa"/>
              <w:bottom w:w="0" w:type="dxa"/>
              <w:right w:w="108" w:type="dxa"/>
            </w:tcMar>
          </w:tcPr>
          <w:p w:rsidR="00017990" w:rsidRDefault="00017990" w:rsidP="00722277">
            <w:pPr>
              <w:pStyle w:val="covertext"/>
              <w:snapToGrid w:val="0"/>
            </w:pPr>
          </w:p>
        </w:tc>
      </w:tr>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Abstract</w:t>
            </w:r>
          </w:p>
        </w:tc>
        <w:tc>
          <w:tcPr>
            <w:tcW w:w="8190" w:type="dxa"/>
            <w:gridSpan w:val="2"/>
            <w:tcBorders>
              <w:top w:val="single" w:sz="4" w:space="0" w:color="000000"/>
            </w:tcBorders>
            <w:tcMar>
              <w:top w:w="0" w:type="dxa"/>
              <w:left w:w="108" w:type="dxa"/>
              <w:bottom w:w="0" w:type="dxa"/>
              <w:right w:w="108" w:type="dxa"/>
            </w:tcMar>
          </w:tcPr>
          <w:p w:rsidR="00017990" w:rsidRDefault="00017990" w:rsidP="00722277">
            <w:pPr>
              <w:pStyle w:val="covertext"/>
              <w:snapToGrid w:val="0"/>
            </w:pPr>
            <w:r>
              <w:t>Minutes from the face-to-face ad hoc meeting in LA January 13, 14 2011</w:t>
            </w:r>
          </w:p>
          <w:p w:rsidR="00017990" w:rsidRDefault="00017990" w:rsidP="00722277">
            <w:pPr>
              <w:pStyle w:val="covertext"/>
            </w:pPr>
          </w:p>
        </w:tc>
      </w:tr>
      <w:tr w:rsidR="00017990" w:rsidTr="00722277">
        <w:tblPrEx>
          <w:tblCellMar>
            <w:top w:w="0" w:type="dxa"/>
            <w:bottom w:w="0" w:type="dxa"/>
          </w:tblCellMar>
        </w:tblPrEx>
        <w:tc>
          <w:tcPr>
            <w:tcW w:w="1260" w:type="dxa"/>
            <w:tcBorders>
              <w:top w:val="single" w:sz="4" w:space="0" w:color="000000"/>
            </w:tcBorders>
            <w:tcMar>
              <w:top w:w="0" w:type="dxa"/>
              <w:left w:w="108" w:type="dxa"/>
              <w:bottom w:w="0" w:type="dxa"/>
              <w:right w:w="108" w:type="dxa"/>
            </w:tcMar>
          </w:tcPr>
          <w:p w:rsidR="00017990" w:rsidRDefault="00017990" w:rsidP="00722277">
            <w:pPr>
              <w:pStyle w:val="covertext"/>
              <w:snapToGrid w:val="0"/>
            </w:pPr>
            <w:r>
              <w:t>Purpose</w:t>
            </w:r>
          </w:p>
        </w:tc>
        <w:tc>
          <w:tcPr>
            <w:tcW w:w="8190" w:type="dxa"/>
            <w:gridSpan w:val="2"/>
            <w:tcBorders>
              <w:top w:val="single" w:sz="4" w:space="0" w:color="000000"/>
            </w:tcBorders>
            <w:tcMar>
              <w:top w:w="0" w:type="dxa"/>
              <w:left w:w="108" w:type="dxa"/>
              <w:bottom w:w="0" w:type="dxa"/>
              <w:right w:w="108" w:type="dxa"/>
            </w:tcMar>
          </w:tcPr>
          <w:p w:rsidR="00017990" w:rsidRDefault="00017990" w:rsidP="00722277">
            <w:pPr>
              <w:pStyle w:val="covertext"/>
              <w:snapToGrid w:val="0"/>
            </w:pPr>
          </w:p>
        </w:tc>
      </w:tr>
      <w:tr w:rsidR="00017990" w:rsidTr="00722277">
        <w:tblPrEx>
          <w:tblCellMar>
            <w:top w:w="0" w:type="dxa"/>
            <w:bottom w:w="0" w:type="dxa"/>
          </w:tblCellMar>
        </w:tblPrEx>
        <w:tc>
          <w:tcPr>
            <w:tcW w:w="1260" w:type="dxa"/>
            <w:tcBorders>
              <w:top w:val="single" w:sz="4" w:space="0" w:color="000000"/>
              <w:bottom w:val="single" w:sz="4" w:space="0" w:color="000000"/>
            </w:tcBorders>
            <w:tcMar>
              <w:top w:w="0" w:type="dxa"/>
              <w:left w:w="108" w:type="dxa"/>
              <w:bottom w:w="0" w:type="dxa"/>
              <w:right w:w="108" w:type="dxa"/>
            </w:tcMar>
          </w:tcPr>
          <w:p w:rsidR="00017990" w:rsidRDefault="00017990" w:rsidP="00722277">
            <w:pPr>
              <w:pStyle w:val="covertext"/>
              <w:snapToGrid w:val="0"/>
            </w:pPr>
            <w:r>
              <w:t>Notice</w:t>
            </w:r>
          </w:p>
        </w:tc>
        <w:tc>
          <w:tcPr>
            <w:tcW w:w="8190" w:type="dxa"/>
            <w:gridSpan w:val="2"/>
            <w:tcBorders>
              <w:top w:val="single" w:sz="4" w:space="0" w:color="000000"/>
              <w:bottom w:val="single" w:sz="4" w:space="0" w:color="000000"/>
            </w:tcBorders>
            <w:tcMar>
              <w:top w:w="0" w:type="dxa"/>
              <w:left w:w="108" w:type="dxa"/>
              <w:bottom w:w="0" w:type="dxa"/>
              <w:right w:w="108" w:type="dxa"/>
            </w:tcMar>
          </w:tcPr>
          <w:p w:rsidR="00017990" w:rsidRDefault="00017990" w:rsidP="00722277">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17990" w:rsidTr="00722277">
        <w:tblPrEx>
          <w:tblCellMar>
            <w:top w:w="0" w:type="dxa"/>
            <w:bottom w:w="0" w:type="dxa"/>
          </w:tblCellMar>
        </w:tblPrEx>
        <w:tc>
          <w:tcPr>
            <w:tcW w:w="1260" w:type="dxa"/>
            <w:tcBorders>
              <w:top w:val="single" w:sz="4" w:space="0" w:color="000000"/>
              <w:bottom w:val="single" w:sz="4" w:space="0" w:color="000000"/>
            </w:tcBorders>
            <w:tcMar>
              <w:top w:w="0" w:type="dxa"/>
              <w:left w:w="108" w:type="dxa"/>
              <w:bottom w:w="0" w:type="dxa"/>
              <w:right w:w="108" w:type="dxa"/>
            </w:tcMar>
          </w:tcPr>
          <w:p w:rsidR="00017990" w:rsidRDefault="00017990" w:rsidP="00722277">
            <w:pPr>
              <w:pStyle w:val="covertext"/>
              <w:snapToGrid w:val="0"/>
            </w:pPr>
            <w:r>
              <w:t>Release</w:t>
            </w:r>
          </w:p>
        </w:tc>
        <w:tc>
          <w:tcPr>
            <w:tcW w:w="8190" w:type="dxa"/>
            <w:gridSpan w:val="2"/>
            <w:tcBorders>
              <w:top w:val="single" w:sz="4" w:space="0" w:color="000000"/>
              <w:bottom w:val="single" w:sz="4" w:space="0" w:color="000000"/>
            </w:tcBorders>
            <w:tcMar>
              <w:top w:w="0" w:type="dxa"/>
              <w:left w:w="108" w:type="dxa"/>
              <w:bottom w:w="0" w:type="dxa"/>
              <w:right w:w="108" w:type="dxa"/>
            </w:tcMar>
          </w:tcPr>
          <w:p w:rsidR="00017990" w:rsidRDefault="00017990" w:rsidP="00722277">
            <w:pPr>
              <w:pStyle w:val="covertext"/>
              <w:snapToGrid w:val="0"/>
            </w:pPr>
            <w:r>
              <w:t>The contributor acknowledges and accepts that this contribution becomes the property of IEEE and may be made publicly available by P802.15.</w:t>
            </w:r>
          </w:p>
        </w:tc>
      </w:tr>
    </w:tbl>
    <w:p w:rsidR="00017990" w:rsidRDefault="00017990" w:rsidP="00637189">
      <w:pPr>
        <w:pStyle w:val="Title"/>
      </w:pPr>
    </w:p>
    <w:p w:rsidR="00017990" w:rsidRDefault="00017990" w:rsidP="00017990">
      <w:pPr>
        <w:rPr>
          <w:rFonts w:asciiTheme="majorHAnsi" w:eastAsiaTheme="majorEastAsia" w:hAnsiTheme="majorHAnsi" w:cstheme="majorBidi"/>
          <w:color w:val="17365D" w:themeColor="text2" w:themeShade="BF"/>
          <w:spacing w:val="5"/>
          <w:kern w:val="28"/>
          <w:sz w:val="44"/>
          <w:szCs w:val="52"/>
        </w:rPr>
      </w:pPr>
      <w:r>
        <w:br w:type="page"/>
      </w:r>
    </w:p>
    <w:p w:rsidR="00C3769C" w:rsidRDefault="00637189" w:rsidP="00637189">
      <w:pPr>
        <w:pStyle w:val="Title"/>
      </w:pPr>
      <w:r w:rsidRPr="00637189">
        <w:lastRenderedPageBreak/>
        <w:t>TG4g January 2011Ad-hoc</w:t>
      </w:r>
      <w:r>
        <w:t xml:space="preserve"> </w:t>
      </w:r>
      <w:r w:rsidRPr="00637189">
        <w:t>Meeting Minutes</w:t>
      </w:r>
      <w:r>
        <w:t xml:space="preserve"> </w:t>
      </w:r>
    </w:p>
    <w:p w:rsidR="00637189" w:rsidRDefault="00637189" w:rsidP="00E27562">
      <w:pPr>
        <w:pStyle w:val="Subtitle"/>
      </w:pPr>
      <w:r>
        <w:t>January 13, 14 2011</w:t>
      </w:r>
    </w:p>
    <w:p w:rsidR="00464B52" w:rsidRDefault="00464B52" w:rsidP="00464B52">
      <w:pPr>
        <w:pStyle w:val="Heading1"/>
      </w:pPr>
      <w:r>
        <w:t>Attendance</w:t>
      </w:r>
    </w:p>
    <w:p w:rsidR="00E27562" w:rsidRDefault="00E27562" w:rsidP="00E27562">
      <w:pPr>
        <w:pStyle w:val="NoSpacing"/>
      </w:pPr>
      <w:r>
        <w:t>Chair: Phil Beecher</w:t>
      </w:r>
    </w:p>
    <w:p w:rsidR="00E27562" w:rsidRDefault="00E27562" w:rsidP="00E27562">
      <w:pPr>
        <w:pStyle w:val="NoSpacing"/>
      </w:pPr>
      <w:r>
        <w:t xml:space="preserve">Vice </w:t>
      </w:r>
      <w:r w:rsidR="00E8427E">
        <w:t>Chairs</w:t>
      </w:r>
      <w:r>
        <w:t>: Clint Powell, Hiroshi Harada</w:t>
      </w:r>
    </w:p>
    <w:p w:rsidR="00E27562" w:rsidRDefault="00E27562" w:rsidP="00E27562">
      <w:pPr>
        <w:pStyle w:val="NoSpacing"/>
      </w:pPr>
      <w:r>
        <w:t>Recoding secretary: Ben Rolfe</w:t>
      </w:r>
    </w:p>
    <w:p w:rsidR="00E27562" w:rsidRDefault="00E27562">
      <w:r>
        <w:t>Attendees:</w:t>
      </w:r>
    </w:p>
    <w:tbl>
      <w:tblPr>
        <w:tblStyle w:val="TableGrid"/>
        <w:tblW w:w="0" w:type="auto"/>
        <w:tblLook w:val="04A0"/>
      </w:tblPr>
      <w:tblGrid>
        <w:gridCol w:w="4788"/>
        <w:gridCol w:w="4788"/>
      </w:tblGrid>
      <w:tr w:rsidR="00E27562" w:rsidTr="00464B52">
        <w:tc>
          <w:tcPr>
            <w:tcW w:w="4788" w:type="dxa"/>
            <w:tcBorders>
              <w:bottom w:val="double" w:sz="4" w:space="0" w:color="auto"/>
            </w:tcBorders>
          </w:tcPr>
          <w:p w:rsidR="00E27562" w:rsidRPr="00E27562" w:rsidRDefault="00E27562">
            <w:pPr>
              <w:rPr>
                <w:b/>
              </w:rPr>
            </w:pPr>
            <w:r w:rsidRPr="00E27562">
              <w:rPr>
                <w:b/>
              </w:rPr>
              <w:t>Name</w:t>
            </w:r>
          </w:p>
        </w:tc>
        <w:tc>
          <w:tcPr>
            <w:tcW w:w="4788" w:type="dxa"/>
            <w:tcBorders>
              <w:bottom w:val="double" w:sz="4" w:space="0" w:color="auto"/>
            </w:tcBorders>
          </w:tcPr>
          <w:p w:rsidR="00E27562" w:rsidRPr="00E27562" w:rsidRDefault="00E27562">
            <w:pPr>
              <w:rPr>
                <w:b/>
              </w:rPr>
            </w:pPr>
            <w:r w:rsidRPr="00E27562">
              <w:rPr>
                <w:b/>
              </w:rPr>
              <w:t>Affiliation</w:t>
            </w:r>
          </w:p>
        </w:tc>
      </w:tr>
      <w:tr w:rsidR="00E27562" w:rsidTr="00464B52">
        <w:tc>
          <w:tcPr>
            <w:tcW w:w="4788" w:type="dxa"/>
            <w:tcBorders>
              <w:top w:val="double" w:sz="4" w:space="0" w:color="auto"/>
              <w:bottom w:val="single" w:sz="4" w:space="0" w:color="D9D9D9" w:themeColor="background1" w:themeShade="D9"/>
              <w:right w:val="single" w:sz="4" w:space="0" w:color="D9D9D9" w:themeColor="background1" w:themeShade="D9"/>
            </w:tcBorders>
          </w:tcPr>
          <w:p w:rsidR="00E27562" w:rsidRDefault="00464B52">
            <w:r>
              <w:t>Phil Beecher</w:t>
            </w:r>
          </w:p>
        </w:tc>
        <w:tc>
          <w:tcPr>
            <w:tcW w:w="4788" w:type="dxa"/>
            <w:tcBorders>
              <w:top w:val="double" w:sz="4" w:space="0" w:color="auto"/>
              <w:left w:val="single" w:sz="4" w:space="0" w:color="D9D9D9" w:themeColor="background1" w:themeShade="D9"/>
              <w:bottom w:val="single" w:sz="4" w:space="0" w:color="D9D9D9" w:themeColor="background1" w:themeShade="D9"/>
            </w:tcBorders>
          </w:tcPr>
          <w:p w:rsidR="00E27562" w:rsidRPr="0068353E" w:rsidRDefault="00464B52" w:rsidP="0068353E">
            <w:r w:rsidRPr="0068353E">
              <w:t>PG&amp;E</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r>
              <w:t>Clint Powell</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SCE / PWC LLC</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r>
              <w:t>Hiroshi Harada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proofErr w:type="spellStart"/>
            <w:r>
              <w:t>Kuor-Hsin</w:t>
            </w:r>
            <w:proofErr w:type="spellEnd"/>
            <w:r>
              <w:t xml:space="preserve"> Chang</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proofErr w:type="spellStart"/>
            <w:r w:rsidRPr="0068353E">
              <w:t>Elster</w:t>
            </w:r>
            <w:proofErr w:type="spellEnd"/>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Default="00464B52">
            <w:proofErr w:type="spellStart"/>
            <w:r w:rsidRPr="00464B52">
              <w:t>Alina</w:t>
            </w:r>
            <w:proofErr w:type="spellEnd"/>
            <w:r w:rsidRPr="00464B52">
              <w:t xml:space="preserve"> Lu </w:t>
            </w:r>
            <w:proofErr w:type="spellStart"/>
            <w:r w:rsidRPr="00464B52">
              <w:t>Liru</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464B52">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Pr="00464B52" w:rsidRDefault="00464B52">
            <w:proofErr w:type="spellStart"/>
            <w:r w:rsidRPr="00464B52">
              <w:t>Fumihide</w:t>
            </w:r>
            <w:proofErr w:type="spellEnd"/>
            <w:r w:rsidRPr="00464B52">
              <w:t xml:space="preserve"> Kojima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464B52" w:rsidP="0068353E">
            <w:r w:rsidRPr="0068353E">
              <w:t>NICT</w:t>
            </w:r>
          </w:p>
        </w:tc>
      </w:tr>
      <w:tr w:rsidR="00464B52"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464B52" w:rsidRPr="00464B52" w:rsidRDefault="00464B52" w:rsidP="001C766B">
            <w:r>
              <w:t xml:space="preserve">Hartman </w:t>
            </w:r>
            <w:r w:rsidR="001C766B">
              <w:t xml:space="preserve">Van </w:t>
            </w:r>
            <w:proofErr w:type="spellStart"/>
            <w:r w:rsidR="001C766B">
              <w:t>Wyk</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464B52" w:rsidRPr="0068353E" w:rsidRDefault="00E8427E" w:rsidP="0068353E">
            <w:proofErr w:type="spellStart"/>
            <w:r w:rsidRPr="0068353E">
              <w:t>Itron</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 xml:space="preserve">Daniel </w:t>
            </w:r>
            <w:proofErr w:type="spellStart"/>
            <w:r>
              <w:t>Popa</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Itron</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Cristina Seibert</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SSN</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 xml:space="preserve">Matt </w:t>
            </w:r>
            <w:proofErr w:type="spellStart"/>
            <w:r>
              <w:t>Boyt</w:t>
            </w:r>
            <w:r w:rsidR="0050310E">
              <w:t>im</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Sensus</w:t>
            </w:r>
            <w:proofErr w:type="spellEnd"/>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Tim</w:t>
            </w:r>
            <w:r w:rsidR="0050310E">
              <w:t xml:space="preserve"> </w:t>
            </w:r>
            <w:proofErr w:type="spellStart"/>
            <w:r w:rsidR="0050310E">
              <w:rPr>
                <w:rFonts w:ascii="Calibri" w:hAnsi="Calibri" w:cs="Calibri"/>
                <w:color w:val="000000"/>
              </w:rPr>
              <w:t>Schmidl</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TI</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proofErr w:type="spellStart"/>
            <w:r>
              <w:t>Khanh</w:t>
            </w:r>
            <w:proofErr w:type="spellEnd"/>
            <w:r w:rsidR="0050310E">
              <w:t xml:space="preserve"> Tuan Le</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r w:rsidRPr="0068353E">
              <w:t>TI</w:t>
            </w:r>
          </w:p>
        </w:tc>
      </w:tr>
      <w:tr w:rsidR="00E8427E" w:rsidTr="00E8427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E8427E">
            <w:r>
              <w:t>Mark Wilbur</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E8427E" w:rsidP="0068353E">
            <w:proofErr w:type="spellStart"/>
            <w:r w:rsidRPr="0068353E">
              <w:t>Aclara</w:t>
            </w:r>
            <w:proofErr w:type="spellEnd"/>
          </w:p>
        </w:tc>
      </w:tr>
      <w:tr w:rsidR="00E8427E" w:rsidTr="001C766B">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427E" w:rsidRDefault="0050310E">
            <w:proofErr w:type="spellStart"/>
            <w:r w:rsidRPr="0050310E">
              <w:t>Bhupender</w:t>
            </w:r>
            <w:proofErr w:type="spellEnd"/>
            <w:r w:rsidRPr="0050310E">
              <w:t xml:space="preserve"> </w:t>
            </w:r>
            <w:proofErr w:type="spellStart"/>
            <w:r w:rsidRPr="0050310E">
              <w:t>Virk</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427E" w:rsidRPr="0068353E" w:rsidRDefault="0068353E" w:rsidP="0068353E">
            <w:proofErr w:type="spellStart"/>
            <w:r w:rsidRPr="0068353E">
              <w:t>PROcubed</w:t>
            </w:r>
            <w:proofErr w:type="spellEnd"/>
            <w:r w:rsidRPr="0068353E">
              <w:t xml:space="preserve"> Inc.</w:t>
            </w:r>
            <w:r w:rsidRPr="0068353E">
              <w:rPr>
                <w:rFonts w:ascii="MS Gothic" w:eastAsia="MS Gothic" w:hAnsi="MS Gothic" w:cs="MS Gothic" w:hint="eastAsia"/>
              </w:rPr>
              <w:t xml:space="preserve">　</w:t>
            </w:r>
          </w:p>
        </w:tc>
      </w:tr>
      <w:tr w:rsidR="001C766B" w:rsidTr="0050310E">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1C766B" w:rsidRDefault="0050310E">
            <w:proofErr w:type="spellStart"/>
            <w:r w:rsidRPr="0050310E">
              <w:t>CheolHo</w:t>
            </w:r>
            <w:proofErr w:type="spellEnd"/>
            <w:r w:rsidRPr="0050310E">
              <w:t xml:space="preserve"> SHIN</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1C766B" w:rsidRPr="0068353E" w:rsidRDefault="0050310E" w:rsidP="0068353E">
            <w:r w:rsidRPr="0068353E">
              <w:t>ETRI</w:t>
            </w:r>
          </w:p>
        </w:tc>
      </w:tr>
      <w:tr w:rsidR="0050310E" w:rsidTr="00E82313">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50310E" w:rsidRPr="0050310E" w:rsidRDefault="0050310E">
            <w:r>
              <w:t>Ed Callaway</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50310E" w:rsidRPr="0068353E" w:rsidRDefault="0050310E" w:rsidP="0068353E">
            <w:r w:rsidRPr="0068353E">
              <w:t>Sunrise Micro</w:t>
            </w:r>
          </w:p>
        </w:tc>
      </w:tr>
      <w:tr w:rsidR="00E82313" w:rsidTr="00E82313">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2313" w:rsidRDefault="00E82313" w:rsidP="00E82313">
            <w:r w:rsidRPr="00E82313">
              <w:t>Ryoichi Higash</w:t>
            </w:r>
            <w:r>
              <w:t>i</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E82313" w:rsidRPr="0068353E" w:rsidRDefault="00E82313" w:rsidP="0068353E">
            <w:r w:rsidRPr="0068353E">
              <w:t>Fuji Electric</w:t>
            </w:r>
          </w:p>
        </w:tc>
      </w:tr>
      <w:tr w:rsidR="00E82313"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E82313" w:rsidRPr="00E82313" w:rsidRDefault="00E82313" w:rsidP="00E82313">
            <w:r w:rsidRPr="00E82313">
              <w:t xml:space="preserve">Emmanuel </w:t>
            </w:r>
            <w:proofErr w:type="spellStart"/>
            <w:r w:rsidRPr="00E82313">
              <w:t>Riou</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68353E" w:rsidP="0068353E">
            <w:r w:rsidRPr="0068353E">
              <w:t xml:space="preserve">ACCENT </w:t>
            </w:r>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Pr="00E82313" w:rsidRDefault="00F26AC9" w:rsidP="00E82313">
            <w:r>
              <w:t xml:space="preserve">Emmanuel </w:t>
            </w:r>
            <w:proofErr w:type="spellStart"/>
            <w:r>
              <w:t>M</w:t>
            </w:r>
            <w:r w:rsidRPr="0068353E">
              <w:t>onnerie</w:t>
            </w:r>
            <w:proofErr w:type="spellEnd"/>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F26AC9" w:rsidP="0068353E">
            <w:proofErr w:type="spellStart"/>
            <w:r w:rsidRPr="0068353E">
              <w:t>Landis+Gyr</w:t>
            </w:r>
            <w:proofErr w:type="spellEnd"/>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Default="00F26AC9" w:rsidP="00E82313">
            <w:r>
              <w:t>Bob Mason</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68353E" w:rsidRDefault="00F26AC9" w:rsidP="0068353E">
            <w:proofErr w:type="spellStart"/>
            <w:r>
              <w:t>Elster</w:t>
            </w:r>
            <w:proofErr w:type="spellEnd"/>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Default="00F26AC9" w:rsidP="00E82313">
            <w:r w:rsidRPr="00F26AC9">
              <w:t>Kazuyuki Yasukawa</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Default="00F26AC9" w:rsidP="0068353E">
            <w:r w:rsidRPr="00F26AC9">
              <w:t>Fuji Electric</w:t>
            </w:r>
          </w:p>
        </w:tc>
      </w:tr>
      <w:tr w:rsidR="00F26AC9" w:rsidTr="00F26AC9">
        <w:tc>
          <w:tcPr>
            <w:tcW w:w="478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F26AC9" w:rsidRPr="00F26AC9" w:rsidRDefault="00F26AC9" w:rsidP="00E82313">
            <w:r>
              <w:t>Steve Shearer</w:t>
            </w:r>
          </w:p>
        </w:tc>
        <w:tc>
          <w:tcPr>
            <w:tcW w:w="478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F26AC9" w:rsidRPr="00F26AC9" w:rsidRDefault="00F26AC9" w:rsidP="0068353E">
            <w:r>
              <w:t>SSN</w:t>
            </w:r>
          </w:p>
        </w:tc>
      </w:tr>
      <w:tr w:rsidR="00F26AC9" w:rsidTr="00464B52">
        <w:tc>
          <w:tcPr>
            <w:tcW w:w="4788" w:type="dxa"/>
            <w:tcBorders>
              <w:top w:val="single" w:sz="4" w:space="0" w:color="D9D9D9" w:themeColor="background1" w:themeShade="D9"/>
              <w:right w:val="single" w:sz="4" w:space="0" w:color="D9D9D9" w:themeColor="background1" w:themeShade="D9"/>
            </w:tcBorders>
          </w:tcPr>
          <w:p w:rsidR="00F26AC9" w:rsidRDefault="00F26AC9" w:rsidP="00E82313">
            <w:r>
              <w:t>Ben Rolfe</w:t>
            </w:r>
          </w:p>
        </w:tc>
        <w:tc>
          <w:tcPr>
            <w:tcW w:w="4788" w:type="dxa"/>
            <w:tcBorders>
              <w:top w:val="single" w:sz="4" w:space="0" w:color="D9D9D9" w:themeColor="background1" w:themeShade="D9"/>
              <w:left w:val="single" w:sz="4" w:space="0" w:color="D9D9D9" w:themeColor="background1" w:themeShade="D9"/>
            </w:tcBorders>
          </w:tcPr>
          <w:p w:rsidR="00F26AC9" w:rsidRDefault="00F26AC9" w:rsidP="0068353E">
            <w:r>
              <w:t>BCA, SSN</w:t>
            </w:r>
          </w:p>
        </w:tc>
      </w:tr>
    </w:tbl>
    <w:p w:rsidR="00E27562" w:rsidRDefault="00E27562"/>
    <w:p w:rsidR="005834F4" w:rsidRDefault="005834F4" w:rsidP="00F3065E">
      <w:pPr>
        <w:pStyle w:val="Heading1"/>
      </w:pPr>
      <w:r>
        <w:t>AM1 January 13th</w:t>
      </w:r>
    </w:p>
    <w:p w:rsidR="005834F4" w:rsidRDefault="005834F4">
      <w:r>
        <w:t>AM1 Session commences at 08:00</w:t>
      </w:r>
      <w:r w:rsidR="00136276">
        <w:rPr>
          <w:rStyle w:val="FootnoteReference"/>
        </w:rPr>
        <w:footnoteReference w:id="1"/>
      </w:r>
      <w:r>
        <w:t xml:space="preserve"> January 13</w:t>
      </w:r>
      <w:r w:rsidRPr="00BC7ABB">
        <w:rPr>
          <w:vertAlign w:val="superscript"/>
        </w:rPr>
        <w:t>th</w:t>
      </w:r>
      <w:r w:rsidR="00BC7ABB">
        <w:t>.</w:t>
      </w:r>
      <w:r w:rsidR="00136276">
        <w:t xml:space="preserve"> </w:t>
      </w:r>
    </w:p>
    <w:p w:rsidR="00464B52" w:rsidRDefault="00464B52" w:rsidP="00F3065E">
      <w:pPr>
        <w:pStyle w:val="Heading2"/>
      </w:pPr>
      <w:r>
        <w:lastRenderedPageBreak/>
        <w:t>Meeting Preamble</w:t>
      </w:r>
    </w:p>
    <w:p w:rsidR="00637189" w:rsidRDefault="00637189">
      <w:r>
        <w:t>IEEE Policy and Procedure Notice:  Chair (Phil Beecher) reminds the group that this meeting is covered by the IEEE 802 policy and procedures, and that the IEEE patent policy applies.  Chair advices that anyone aware of essential IP not covered by an existing LOA should speak now, or inform the chairs otherwise, or provide/cause to be provided an LOA to IEEE.   No disclosures heard.</w:t>
      </w:r>
    </w:p>
    <w:p w:rsidR="00637189" w:rsidRDefault="00464B52" w:rsidP="00F3065E">
      <w:pPr>
        <w:pStyle w:val="Heading2"/>
      </w:pPr>
      <w:r>
        <w:t>Review and Approve Agenda</w:t>
      </w:r>
    </w:p>
    <w:p w:rsidR="00637189" w:rsidRDefault="00637189" w:rsidP="00637189">
      <w:r>
        <w:t>Agenda:  Chair reviews the agenda (10-953r0</w:t>
      </w:r>
      <w:r w:rsidR="00136276">
        <w:t>)</w:t>
      </w:r>
      <w:r>
        <w:t>. No objections to the agenda heard.</w:t>
      </w:r>
    </w:p>
    <w:p w:rsidR="00464B52" w:rsidRDefault="00464B52" w:rsidP="00F3065E">
      <w:pPr>
        <w:pStyle w:val="Heading2"/>
      </w:pPr>
      <w:r>
        <w:t>Editors and Sub-group Report</w:t>
      </w:r>
    </w:p>
    <w:p w:rsidR="00805750" w:rsidRDefault="00805750" w:rsidP="00805750">
      <w:r>
        <w:t>Working draft: Pre-draft is posted in the private area as of yesterday.</w:t>
      </w:r>
    </w:p>
    <w:p w:rsidR="00D706C9" w:rsidRDefault="00805750" w:rsidP="00D706C9">
      <w:proofErr w:type="spellStart"/>
      <w:r>
        <w:t>Kuor-Hsin</w:t>
      </w:r>
      <w:proofErr w:type="spellEnd"/>
      <w:r>
        <w:t xml:space="preserve"> Chang reviews current version of the comment resolution</w:t>
      </w:r>
      <w:r w:rsidR="00637189">
        <w:t xml:space="preserve"> spreadsheet</w:t>
      </w:r>
      <w:r>
        <w:t xml:space="preserve"> (</w:t>
      </w:r>
      <w:r w:rsidR="00637189">
        <w:t>doc #10-0852r7</w:t>
      </w:r>
      <w:r>
        <w:t>)</w:t>
      </w:r>
      <w:r w:rsidR="00637189">
        <w:t>.</w:t>
      </w:r>
      <w:r w:rsidR="00D706C9">
        <w:t xml:space="preserve">  </w:t>
      </w:r>
    </w:p>
    <w:p w:rsidR="00D706C9" w:rsidRDefault="00D706C9" w:rsidP="00D706C9">
      <w:r>
        <w:t xml:space="preserve">MAC related comments: Ben reports:  In the November meeting and proposed changes have been </w:t>
      </w:r>
      <w:proofErr w:type="spellStart"/>
      <w:r>
        <w:t>prepeared</w:t>
      </w:r>
      <w:proofErr w:type="spellEnd"/>
      <w:r>
        <w:t xml:space="preserve"> for the next TG4e draft to provide the MAC mechanisms needed to resolve comments from the 4g ballot. </w:t>
      </w:r>
    </w:p>
    <w:p w:rsidR="00637189" w:rsidRDefault="00D706C9" w:rsidP="00637189">
      <w:proofErr w:type="spellStart"/>
      <w:r>
        <w:t>Alina</w:t>
      </w:r>
      <w:proofErr w:type="spellEnd"/>
      <w:r>
        <w:t xml:space="preserve"> presents doc #</w:t>
      </w:r>
      <w:r w:rsidR="00E27562">
        <w:t>11-0003r0: Summary of MPM/CSM comment resolution teleconferences between November and January meetings.  5 teleconferences held; 118 comments discussed; proposed resolutions for 110 comments (documents 10-872r6, 10-954r2; The 8 remaining comments require further discussion in this ad-hoc.</w:t>
      </w:r>
    </w:p>
    <w:p w:rsidR="00637189" w:rsidRDefault="00464B52" w:rsidP="00F3065E">
      <w:pPr>
        <w:pStyle w:val="Heading2"/>
      </w:pPr>
      <w:r>
        <w:t>Comment Discussions</w:t>
      </w:r>
    </w:p>
    <w:p w:rsidR="00464B52" w:rsidRDefault="00464B52" w:rsidP="00F3065E">
      <w:pPr>
        <w:pStyle w:val="Heading3"/>
      </w:pPr>
      <w:r>
        <w:t>PHY Primitives Comments</w:t>
      </w:r>
    </w:p>
    <w:p w:rsidR="00464B52" w:rsidRDefault="00464B52" w:rsidP="00464B52">
      <w:r>
        <w:t>Discussion of comments affected by removal of th</w:t>
      </w:r>
      <w:r w:rsidR="0032484E">
        <w:t>e PHY Primitives in 15.4-2011 to identify which comments are resolved by removal of the sub-clause and which might require changes in the MCPS and MLME primitives.   Specific comments:</w:t>
      </w:r>
    </w:p>
    <w:p w:rsidR="0032484E" w:rsidRDefault="0032484E" w:rsidP="00464B52">
      <w:r>
        <w:t># 351: Suggest AIP, inconsistency resolved by removing PD-Data; Ben and Hartman will examine MLME to assure no further ripple is required and report back to the group.</w:t>
      </w:r>
    </w:p>
    <w:p w:rsidR="0032484E" w:rsidRDefault="0032484E" w:rsidP="00464B52">
      <w:r>
        <w:t xml:space="preserve"># 540: Suggest AIP, that inconsistency is resolved; Ben and </w:t>
      </w:r>
      <w:proofErr w:type="spellStart"/>
      <w:r>
        <w:t>Khahn</w:t>
      </w:r>
      <w:proofErr w:type="spellEnd"/>
      <w:r>
        <w:t xml:space="preserve"> will verify </w:t>
      </w:r>
      <w:r w:rsidR="00B413D6">
        <w:t>MLME definition is sufficient and report back to the group;</w:t>
      </w:r>
    </w:p>
    <w:p w:rsidR="00B413D6" w:rsidRDefault="00B413D6" w:rsidP="00464B52">
      <w:r>
        <w:t xml:space="preserve"># 202:  </w:t>
      </w:r>
      <w:r w:rsidR="00445E0A">
        <w:t xml:space="preserve">AIP: the proposed resolution to remove the </w:t>
      </w:r>
      <w:proofErr w:type="spellStart"/>
      <w:r w:rsidR="00445E0A">
        <w:t>TxChannel</w:t>
      </w:r>
      <w:proofErr w:type="spellEnd"/>
      <w:r w:rsidR="00445E0A">
        <w:t xml:space="preserve"> parameter is accepted</w:t>
      </w:r>
      <w:r w:rsidR="00BF5486">
        <w:t>, the parameter and references to it are removed with the PD-Data subclause in 802.15.4-2011</w:t>
      </w:r>
      <w:proofErr w:type="gramStart"/>
      <w:r w:rsidR="00445E0A">
        <w:t>;  It</w:t>
      </w:r>
      <w:proofErr w:type="gramEnd"/>
      <w:r w:rsidR="00445E0A">
        <w:t xml:space="preserve"> is also noted that the same parameter should be removed from MCPS-Data parameters (Table 77).  There is no objection to removing </w:t>
      </w:r>
      <w:proofErr w:type="spellStart"/>
      <w:r w:rsidR="00445E0A">
        <w:t>TxChannel</w:t>
      </w:r>
      <w:proofErr w:type="spellEnd"/>
      <w:r w:rsidR="00445E0A">
        <w:t xml:space="preserve"> parameter from table 77. </w:t>
      </w:r>
      <w:r w:rsidR="00CB3FDC">
        <w:t xml:space="preserve"> Removing </w:t>
      </w:r>
      <w:proofErr w:type="spellStart"/>
      <w:r w:rsidR="00CB3FDC">
        <w:t>TxChannel</w:t>
      </w:r>
      <w:proofErr w:type="spellEnd"/>
      <w:r w:rsidR="00CB3FDC">
        <w:t xml:space="preserve"> </w:t>
      </w:r>
      <w:r w:rsidR="002E1898">
        <w:t>from table 77</w:t>
      </w:r>
      <w:r w:rsidR="00BF5486">
        <w:t xml:space="preserve"> </w:t>
      </w:r>
      <w:r w:rsidR="00CB3FDC">
        <w:t>also resolves 788, 494, 281</w:t>
      </w:r>
      <w:r w:rsidR="005834F4">
        <w:t xml:space="preserve">, </w:t>
      </w:r>
      <w:proofErr w:type="gramStart"/>
      <w:r w:rsidR="005834F4">
        <w:t>688</w:t>
      </w:r>
      <w:proofErr w:type="gramEnd"/>
      <w:r w:rsidR="00CB3FDC">
        <w:t xml:space="preserve">. </w:t>
      </w:r>
    </w:p>
    <w:p w:rsidR="007D161C" w:rsidRDefault="00445E0A" w:rsidP="00464B52">
      <w:r>
        <w:t xml:space="preserve">#203:  AIP: the </w:t>
      </w:r>
      <w:r w:rsidR="00CB3FDC">
        <w:t xml:space="preserve">parameter </w:t>
      </w:r>
      <w:proofErr w:type="spellStart"/>
      <w:r w:rsidR="00CB3FDC">
        <w:t>PPDUCoding</w:t>
      </w:r>
      <w:proofErr w:type="spellEnd"/>
      <w:r w:rsidR="00CB3FDC">
        <w:t xml:space="preserve"> was intended to specify the FEC mode selected: the parameter is removed with the sub-clause, so ambiguity is resolved; </w:t>
      </w:r>
    </w:p>
    <w:p w:rsidR="00CB3FDC" w:rsidRDefault="007D161C" w:rsidP="00464B52">
      <w:r>
        <w:lastRenderedPageBreak/>
        <w:t>Discussion follows about the parameters in the MCPS-Data primitive. See also following discussion section AM2. It is agreed a</w:t>
      </w:r>
      <w:r w:rsidR="00CB3FDC">
        <w:t xml:space="preserve">lso remove </w:t>
      </w:r>
      <w:proofErr w:type="spellStart"/>
      <w:r w:rsidR="00CB3FDC">
        <w:t>PPDUCoding</w:t>
      </w:r>
      <w:proofErr w:type="spellEnd"/>
      <w:r w:rsidR="00CB3FDC">
        <w:t xml:space="preserve"> from MCPS-Data (Table 77) as the FEC mode is described </w:t>
      </w:r>
      <w:r w:rsidR="007F2706">
        <w:t>in Table 31 (</w:t>
      </w:r>
      <w:proofErr w:type="spellStart"/>
      <w:r w:rsidR="007F2706" w:rsidRPr="007F2706">
        <w:rPr>
          <w:i/>
        </w:rPr>
        <w:t>phyFSKFECScheme</w:t>
      </w:r>
      <w:proofErr w:type="spellEnd"/>
      <w:r w:rsidR="00CB3FDC">
        <w:t>)</w:t>
      </w:r>
      <w:r w:rsidR="00370CEF">
        <w:t xml:space="preserve"> </w:t>
      </w:r>
      <w:r w:rsidR="00CB3FDC">
        <w:t xml:space="preserve">less ambiguously.  </w:t>
      </w:r>
      <w:r w:rsidR="007F2706">
        <w:t xml:space="preserve"> It is noted that </w:t>
      </w:r>
      <w:r w:rsidR="00370CEF">
        <w:t xml:space="preserve">we need </w:t>
      </w:r>
      <w:r w:rsidR="00CF7112">
        <w:t xml:space="preserve">add </w:t>
      </w:r>
      <w:r w:rsidR="00370CEF">
        <w:t>an attribute in the PIB “</w:t>
      </w:r>
      <w:proofErr w:type="spellStart"/>
      <w:r w:rsidR="00370CEF" w:rsidRPr="00370CEF">
        <w:rPr>
          <w:i/>
        </w:rPr>
        <w:t>phyFSKFECenabled</w:t>
      </w:r>
      <w:proofErr w:type="spellEnd"/>
      <w:r w:rsidR="00370CEF">
        <w:t>” to turn on or off FEC</w:t>
      </w:r>
      <w:r w:rsidR="007F2706">
        <w:t xml:space="preserve">. </w:t>
      </w:r>
      <w:r>
        <w:t xml:space="preserve"> </w:t>
      </w:r>
    </w:p>
    <w:p w:rsidR="00445E0A" w:rsidRDefault="00CF7112" w:rsidP="00464B52">
      <w:r>
        <w:t xml:space="preserve"># </w:t>
      </w:r>
      <w:r w:rsidR="0038598C">
        <w:t>427:  AIP: same resolution s #203.</w:t>
      </w:r>
    </w:p>
    <w:p w:rsidR="005834F4" w:rsidRDefault="002E1898" w:rsidP="00464B52">
      <w:r>
        <w:t xml:space="preserve">Chair recesses at 10:00 for break for 30 minutes. </w:t>
      </w:r>
    </w:p>
    <w:p w:rsidR="005834F4" w:rsidRDefault="005834F4" w:rsidP="00F3065E">
      <w:pPr>
        <w:pStyle w:val="Heading1"/>
      </w:pPr>
      <w:r>
        <w:t>AM2 January 13, 2011</w:t>
      </w:r>
    </w:p>
    <w:p w:rsidR="002E1898" w:rsidRDefault="002E1898" w:rsidP="00464B52">
      <w:r>
        <w:t>Chair calls meeting to order at 10:30</w:t>
      </w:r>
    </w:p>
    <w:p w:rsidR="00E8427E" w:rsidRDefault="00E8427E" w:rsidP="00464B52"/>
    <w:p w:rsidR="00F3065E" w:rsidRDefault="00F3065E" w:rsidP="00F3065E">
      <w:pPr>
        <w:pStyle w:val="Heading2"/>
      </w:pPr>
      <w:r>
        <w:t>More comment Discussions</w:t>
      </w:r>
    </w:p>
    <w:p w:rsidR="00F3065E" w:rsidRDefault="00F3065E" w:rsidP="00F3065E">
      <w:pPr>
        <w:pStyle w:val="Heading3"/>
      </w:pPr>
      <w:r>
        <w:t>PHY Primitives Comments</w:t>
      </w:r>
    </w:p>
    <w:p w:rsidR="0038598C" w:rsidRDefault="005834F4" w:rsidP="00464B52">
      <w:r>
        <w:t>#689: Resolved by removal of the subclause.</w:t>
      </w:r>
    </w:p>
    <w:p w:rsidR="005834F4" w:rsidRDefault="005834F4" w:rsidP="00464B52">
      <w:r>
        <w:t># 690: AIP, r</w:t>
      </w:r>
      <w:r w:rsidR="005C23F7">
        <w:t xml:space="preserve">esolved by removing parameter from Table 77. </w:t>
      </w:r>
    </w:p>
    <w:p w:rsidR="00F3065E" w:rsidRDefault="00F3065E" w:rsidP="00F3065E">
      <w:pPr>
        <w:pStyle w:val="Heading3"/>
      </w:pPr>
      <w:r>
        <w:t>Extended Discussion MCPS-</w:t>
      </w:r>
      <w:proofErr w:type="spellStart"/>
      <w:r>
        <w:t>Paramters</w:t>
      </w:r>
      <w:proofErr w:type="spellEnd"/>
      <w:r>
        <w:t xml:space="preserve"> or PIB attribute</w:t>
      </w:r>
    </w:p>
    <w:p w:rsidR="007D161C" w:rsidRPr="007D161C" w:rsidRDefault="007D161C" w:rsidP="007D161C">
      <w:r>
        <w:t>Further discussion on what should be MCPS-</w:t>
      </w:r>
      <w:proofErr w:type="spellStart"/>
      <w:r>
        <w:t>Data.request</w:t>
      </w:r>
      <w:proofErr w:type="spellEnd"/>
      <w:r>
        <w:t xml:space="preserve"> parameters and what should be controlled by PIB </w:t>
      </w:r>
      <w:proofErr w:type="gramStart"/>
      <w:r>
        <w:t xml:space="preserve">attributes, </w:t>
      </w:r>
      <w:proofErr w:type="spellStart"/>
      <w:r>
        <w:t>i.e</w:t>
      </w:r>
      <w:proofErr w:type="spellEnd"/>
      <w:r>
        <w:t xml:space="preserve"> what should be ‘per MSDU’ and what should be ‘global’ (apply until changed)</w:t>
      </w:r>
      <w:proofErr w:type="gramEnd"/>
      <w:r>
        <w:t xml:space="preserve">. </w:t>
      </w:r>
    </w:p>
    <w:p w:rsidR="007D0D23" w:rsidRDefault="005C23F7" w:rsidP="00464B52">
      <w:r>
        <w:t xml:space="preserve">Matt has proposed that if information is carried in the SHR + PHR directly then the parameters will be specified in the MCPS-DATA.   Specifically:  </w:t>
      </w:r>
      <w:proofErr w:type="spellStart"/>
      <w:r>
        <w:t>PPDUCoding</w:t>
      </w:r>
      <w:proofErr w:type="spellEnd"/>
      <w:r>
        <w:t xml:space="preserve"> becomes </w:t>
      </w:r>
      <w:proofErr w:type="spellStart"/>
      <w:r>
        <w:t>FECenabled</w:t>
      </w:r>
      <w:proofErr w:type="spellEnd"/>
      <w:r>
        <w:t xml:space="preserve">; keep </w:t>
      </w:r>
      <w:proofErr w:type="spellStart"/>
      <w:r>
        <w:t>FCSlength</w:t>
      </w:r>
      <w:proofErr w:type="spellEnd"/>
      <w:r>
        <w:t xml:space="preserve"> in MCPS-DATA and remove from the PIB; Mode switch parameters remain in MCPS-Data. Need to add </w:t>
      </w:r>
      <w:proofErr w:type="spellStart"/>
      <w:r>
        <w:t>FSKScrambling</w:t>
      </w:r>
      <w:proofErr w:type="spellEnd"/>
      <w:r>
        <w:t xml:space="preserve"> parameter to specify whitening on/off</w:t>
      </w:r>
      <w:r w:rsidR="007D0D23">
        <w:t xml:space="preserve"> and remove corresponding attributes from PIB</w:t>
      </w:r>
    </w:p>
    <w:p w:rsidR="005C23F7" w:rsidRDefault="007D0D23" w:rsidP="00464B52">
      <w:r>
        <w:t xml:space="preserve">It is </w:t>
      </w:r>
      <w:r w:rsidR="00F26AC9">
        <w:t xml:space="preserve">discussed if </w:t>
      </w:r>
      <w:r>
        <w:t>this logic should be applied to the parameters controlling the OFDM PHY also</w:t>
      </w:r>
      <w:r w:rsidR="005C23F7">
        <w:t>.</w:t>
      </w:r>
      <w:r>
        <w:t xml:space="preserve"> </w:t>
      </w:r>
      <w:proofErr w:type="spellStart"/>
      <w:r>
        <w:t>Khanh</w:t>
      </w:r>
      <w:proofErr w:type="spellEnd"/>
      <w:r>
        <w:t xml:space="preserve"> volunteers to define the parameters for MCPS-Data related to OFDM consistent with the same reasoning. </w:t>
      </w:r>
      <w:r w:rsidR="005C23F7">
        <w:t xml:space="preserve"> </w:t>
      </w:r>
      <w:r>
        <w:t xml:space="preserve"> Also note same applies to MR-OQPSK PHY parameters: Phil volunteers Michael. </w:t>
      </w:r>
    </w:p>
    <w:p w:rsidR="007D0D23" w:rsidRDefault="007D0D23" w:rsidP="00464B52">
      <w:proofErr w:type="spellStart"/>
      <w:r>
        <w:t>Kuor-Hsin</w:t>
      </w:r>
      <w:proofErr w:type="spellEnd"/>
      <w:r>
        <w:t xml:space="preserve"> will identify the CIDs resolved by this action.</w:t>
      </w:r>
    </w:p>
    <w:p w:rsidR="00F3065E" w:rsidRDefault="00F3065E" w:rsidP="00464B52">
      <w:r>
        <w:t>Upon following discussion the above rule may not be suitable.  The suggested resolution is revert back to removing MCPS-DATA parameters EXCEPT for mode switch (per above resolution for #2</w:t>
      </w:r>
      <w:r w:rsidR="007D161C">
        <w:t>81</w:t>
      </w:r>
      <w:r>
        <w:t xml:space="preserve">): </w:t>
      </w:r>
      <w:proofErr w:type="spellStart"/>
      <w:r>
        <w:t>TxData</w:t>
      </w:r>
      <w:proofErr w:type="spellEnd"/>
      <w:r>
        <w:t xml:space="preserve">, </w:t>
      </w:r>
      <w:proofErr w:type="spellStart"/>
      <w:r>
        <w:t>PPDUCoding</w:t>
      </w:r>
      <w:proofErr w:type="spellEnd"/>
      <w:r>
        <w:t xml:space="preserve"> and FCS length deleted from MCPS-Data (table 77 and associated text); Add PIB </w:t>
      </w:r>
      <w:proofErr w:type="gramStart"/>
      <w:r>
        <w:t>attribute</w:t>
      </w:r>
      <w:proofErr w:type="gramEnd"/>
      <w:r>
        <w:t xml:space="preserve"> </w:t>
      </w:r>
      <w:proofErr w:type="spellStart"/>
      <w:r>
        <w:t>phyFSKFECenabled</w:t>
      </w:r>
      <w:proofErr w:type="spellEnd"/>
      <w:r>
        <w:t xml:space="preserve">; </w:t>
      </w:r>
    </w:p>
    <w:p w:rsidR="005834F4" w:rsidRDefault="00E8427E" w:rsidP="00464B52">
      <w:r>
        <w:t>Break for lunch at 12:35</w:t>
      </w:r>
    </w:p>
    <w:p w:rsidR="00E8427E" w:rsidRDefault="00E8427E" w:rsidP="00E8427E">
      <w:pPr>
        <w:pStyle w:val="Heading1"/>
      </w:pPr>
      <w:r>
        <w:lastRenderedPageBreak/>
        <w:t>PM1 January 13, 2011</w:t>
      </w:r>
    </w:p>
    <w:p w:rsidR="001C766B" w:rsidRDefault="001C766B" w:rsidP="00464B52">
      <w:r>
        <w:t>Resum</w:t>
      </w:r>
      <w:r w:rsidR="00E8427E">
        <w:t>e from break at 13:38</w:t>
      </w:r>
      <w:r>
        <w:t>.</w:t>
      </w:r>
    </w:p>
    <w:p w:rsidR="001C766B" w:rsidRDefault="001C766B" w:rsidP="001C766B">
      <w:pPr>
        <w:pStyle w:val="Heading2"/>
      </w:pPr>
      <w:r>
        <w:t>More comment Discussions</w:t>
      </w:r>
    </w:p>
    <w:p w:rsidR="001C766B" w:rsidRDefault="001C766B" w:rsidP="001C766B">
      <w:pPr>
        <w:pStyle w:val="Heading3"/>
      </w:pPr>
      <w:r>
        <w:t xml:space="preserve">Miscellaneous “easy” comments </w:t>
      </w:r>
    </w:p>
    <w:p w:rsidR="001C766B" w:rsidRDefault="001C766B" w:rsidP="00464B52">
      <w:r>
        <w:t xml:space="preserve">#665, 741: Combine the proposed resolutions by deleting the bullet item about data rates line (pre-D3 page 7, line 9). </w:t>
      </w:r>
    </w:p>
    <w:p w:rsidR="001C766B" w:rsidRDefault="001C766B" w:rsidP="00464B52">
      <w:r>
        <w:t xml:space="preserve">#342:  AIP, remove “WPAN for” from the title of 5.1a. </w:t>
      </w:r>
    </w:p>
    <w:p w:rsidR="001C766B" w:rsidRDefault="004B3670" w:rsidP="00464B52">
      <w:r>
        <w:t xml:space="preserve">#742: AIP, </w:t>
      </w:r>
      <w:r w:rsidR="00844284">
        <w:t xml:space="preserve">change “smart grid” to “SUN”. </w:t>
      </w:r>
    </w:p>
    <w:p w:rsidR="00217A21" w:rsidRDefault="00FA17AB" w:rsidP="00464B52">
      <w:r>
        <w:t xml:space="preserve">#766: </w:t>
      </w:r>
      <w:proofErr w:type="spellStart"/>
      <w:r>
        <w:t>Kuor-Hsin</w:t>
      </w:r>
      <w:proofErr w:type="spellEnd"/>
      <w:r>
        <w:t xml:space="preserve"> to provide proposed resolution on Monday.</w:t>
      </w:r>
    </w:p>
    <w:p w:rsidR="00217A21" w:rsidRDefault="00217A21" w:rsidP="00464B52">
      <w:r>
        <w:t>#523:  Accept.</w:t>
      </w:r>
    </w:p>
    <w:p w:rsidR="00FA17AB" w:rsidRDefault="00217A21" w:rsidP="00464B52">
      <w:r>
        <w:t xml:space="preserve">#635: </w:t>
      </w:r>
      <w:r w:rsidR="005D2A12">
        <w:t xml:space="preserve">AIP subclause to be clarified to reflect that it applies to FSK PHY only.  </w:t>
      </w:r>
    </w:p>
    <w:p w:rsidR="005D2A12" w:rsidRDefault="005D2A12" w:rsidP="00464B52">
      <w:r>
        <w:t>#</w:t>
      </w:r>
      <w:r w:rsidR="004845CD">
        <w:t>967, 968:  Move last sentence (“The bit to symbol…”) to a new paragraph following the bullet list and replace “follows SUN PHY conventions” with reference to “bit-to-symbol mapping” subclasue (</w:t>
      </w:r>
      <w:r w:rsidR="004845CD" w:rsidRPr="004845CD">
        <w:t>6.12a.1.2</w:t>
      </w:r>
      <w:r w:rsidR="00F56ECB">
        <w:t xml:space="preserve"> in d2</w:t>
      </w:r>
      <w:r w:rsidR="004845CD">
        <w:t>)</w:t>
      </w:r>
      <w:r w:rsidR="00F56ECB">
        <w:t>.</w:t>
      </w:r>
    </w:p>
    <w:p w:rsidR="00F56ECB" w:rsidRDefault="00F56ECB" w:rsidP="00464B52">
      <w:r>
        <w:t xml:space="preserve">#421: Accept. </w:t>
      </w:r>
    </w:p>
    <w:p w:rsidR="00F56ECB" w:rsidRDefault="00F56ECB" w:rsidP="00464B52">
      <w:r>
        <w:t>#209: AIP, corrections will be applied to the next draft. The next draft is based on the 15.4-2011 revision.</w:t>
      </w:r>
    </w:p>
    <w:p w:rsidR="006D6704" w:rsidRDefault="006C3B62" w:rsidP="006D6704">
      <w:r>
        <w:t xml:space="preserve">#431: </w:t>
      </w:r>
      <w:r w:rsidR="006D6704">
        <w:t xml:space="preserve">Accept in Principle. We have verified that the fields under our control will not have long strings of zeros. No change required. </w:t>
      </w:r>
    </w:p>
    <w:p w:rsidR="006C3B62" w:rsidRDefault="006D6704" w:rsidP="00464B52">
      <w:r>
        <w:t xml:space="preserve">#432: AIP: Editors will use representation as used 950MHz FSK PHY in 802.15.4-2011. </w:t>
      </w:r>
    </w:p>
    <w:p w:rsidR="006D6704" w:rsidRDefault="00172B68" w:rsidP="00464B52">
      <w:r>
        <w:t>#210:  AIP: resolved by the roll-up.</w:t>
      </w:r>
    </w:p>
    <w:p w:rsidR="00172B68" w:rsidRDefault="00172B68" w:rsidP="00464B52">
      <w:r>
        <w:t>#433:  AIP: resolved by the roll-up.</w:t>
      </w:r>
    </w:p>
    <w:p w:rsidR="00172B68" w:rsidRDefault="00172B68" w:rsidP="00464B52">
      <w:r>
        <w:t>#435: AIP: make consistent with 802.15.4-2011; Note commenter will submit comment in to 802.15.4-2011 sponsor ballot to improve subclasue titles.</w:t>
      </w:r>
    </w:p>
    <w:p w:rsidR="00172B68" w:rsidRDefault="00281EE9" w:rsidP="00464B52">
      <w:r>
        <w:t xml:space="preserve">#444: Comment withdrawn based on the chair’s influence. </w:t>
      </w:r>
    </w:p>
    <w:p w:rsidR="00281EE9" w:rsidRDefault="00281EE9" w:rsidP="00464B52">
      <w:r>
        <w:t>PM1 recessed for 30 minute break</w:t>
      </w:r>
      <w:r w:rsidR="000F51E2">
        <w:t xml:space="preserve"> at 13:40</w:t>
      </w:r>
      <w:r>
        <w:t>.</w:t>
      </w:r>
    </w:p>
    <w:p w:rsidR="00281EE9" w:rsidRDefault="00281EE9" w:rsidP="00281EE9">
      <w:pPr>
        <w:pStyle w:val="Heading1"/>
      </w:pPr>
      <w:r>
        <w:t>PM2 January 13 2011</w:t>
      </w:r>
    </w:p>
    <w:p w:rsidR="00281EE9" w:rsidRDefault="000F51E2" w:rsidP="00281EE9">
      <w:r>
        <w:t>Meeting called to order at 16:21.</w:t>
      </w:r>
    </w:p>
    <w:p w:rsidR="00551281" w:rsidRDefault="00551281" w:rsidP="00551281">
      <w:pPr>
        <w:pStyle w:val="Heading2"/>
      </w:pPr>
      <w:r>
        <w:lastRenderedPageBreak/>
        <w:t>Continued comment discussions</w:t>
      </w:r>
      <w:r w:rsidR="00557A2D">
        <w:t>: miscellaneous comments</w:t>
      </w:r>
    </w:p>
    <w:p w:rsidR="00551281" w:rsidRDefault="00551281" w:rsidP="00281EE9"/>
    <w:p w:rsidR="000F51E2" w:rsidRDefault="000F51E2" w:rsidP="00281EE9">
      <w:r>
        <w:t xml:space="preserve">#982: Recommend reject: in this case GFSK was called out explicitly for a specific band (950MHz) per document 10-0331r8. </w:t>
      </w:r>
    </w:p>
    <w:p w:rsidR="000F51E2" w:rsidRDefault="000F51E2" w:rsidP="00281EE9">
      <w:r>
        <w:t xml:space="preserve">#612: </w:t>
      </w:r>
      <w:r w:rsidR="00B279A8">
        <w:t xml:space="preserve"> AIP</w:t>
      </w:r>
      <w:r w:rsidR="00F362AD">
        <w:t xml:space="preserve"> </w:t>
      </w:r>
      <w:r w:rsidR="00B279A8">
        <w:t>Add new</w:t>
      </w:r>
      <w:r w:rsidR="00F362AD">
        <w:t xml:space="preserve"> </w:t>
      </w:r>
      <w:r w:rsidR="00B279A8">
        <w:t>[</w:t>
      </w:r>
      <w:proofErr w:type="spellStart"/>
      <w:r w:rsidR="00B279A8">
        <w:t>ro</w:t>
      </w:r>
      <w:proofErr w:type="spellEnd"/>
      <w:proofErr w:type="gramStart"/>
      <w:r w:rsidR="00B279A8">
        <w:t>]  PIB</w:t>
      </w:r>
      <w:proofErr w:type="gramEnd"/>
      <w:r w:rsidR="00B279A8">
        <w:t xml:space="preserve"> attribute </w:t>
      </w:r>
      <w:proofErr w:type="spellStart"/>
      <w:r w:rsidR="00B279A8">
        <w:t>phyNum</w:t>
      </w:r>
      <w:r w:rsidR="00B279A8" w:rsidRPr="00B279A8">
        <w:t>ModeSwitchParameterEntries</w:t>
      </w:r>
      <w:proofErr w:type="spellEnd"/>
      <w:r w:rsidR="00B279A8">
        <w:t xml:space="preserve">, range = 0 to 4, description is “number of current entries in </w:t>
      </w:r>
      <w:proofErr w:type="spellStart"/>
      <w:r w:rsidR="00B279A8">
        <w:t>phy</w:t>
      </w:r>
      <w:r w:rsidR="00B279A8" w:rsidRPr="00B279A8">
        <w:t>ModeSwitchParameterEntries</w:t>
      </w:r>
      <w:proofErr w:type="spellEnd"/>
      <w:r w:rsidR="00B279A8">
        <w:t xml:space="preserve">”. </w:t>
      </w:r>
    </w:p>
    <w:p w:rsidR="00B279A8" w:rsidRDefault="00B279A8" w:rsidP="00281EE9">
      <w:r>
        <w:t xml:space="preserve">#239: AIP, resolution the same as CID#829. </w:t>
      </w:r>
    </w:p>
    <w:p w:rsidR="00B279A8" w:rsidRDefault="00B279A8" w:rsidP="00281EE9">
      <w:r>
        <w:t>#</w:t>
      </w:r>
      <w:r w:rsidR="00EA1757">
        <w:t>448: AIP, Group has evaluated “</w:t>
      </w:r>
      <w:proofErr w:type="spellStart"/>
      <w:r w:rsidR="00EA1757">
        <w:t>shalls</w:t>
      </w:r>
      <w:proofErr w:type="spellEnd"/>
      <w:r w:rsidR="00EA1757">
        <w:t xml:space="preserve">” and agreed they are correct in the current draft.  Editors will deal with the table/text placement. </w:t>
      </w:r>
    </w:p>
    <w:p w:rsidR="00EA1757" w:rsidRDefault="00EA1757" w:rsidP="00281EE9">
      <w:r>
        <w:t xml:space="preserve">#830: Resolved by comment 448. </w:t>
      </w:r>
    </w:p>
    <w:p w:rsidR="00EA1757" w:rsidRDefault="00EA1757" w:rsidP="00281EE9">
      <w:r>
        <w:t>#840: Accept.</w:t>
      </w:r>
    </w:p>
    <w:p w:rsidR="00EA1757" w:rsidRDefault="00EA1757" w:rsidP="00281EE9">
      <w:r>
        <w:t>#594:  AIP: merge sub</w:t>
      </w:r>
      <w:r w:rsidR="00551281">
        <w:t>-</w:t>
      </w:r>
      <w:r>
        <w:t xml:space="preserve">clauses into 6.13.4. </w:t>
      </w:r>
    </w:p>
    <w:p w:rsidR="009A7AC3" w:rsidRDefault="00EA1757" w:rsidP="00281EE9">
      <w:r>
        <w:t>#</w:t>
      </w:r>
      <w:r w:rsidR="009A7AC3">
        <w:t xml:space="preserve">909: Accept. </w:t>
      </w:r>
      <w:proofErr w:type="gramStart"/>
      <w:r w:rsidR="009A7AC3">
        <w:t>Editors to be consistent with 4i.</w:t>
      </w:r>
      <w:proofErr w:type="gramEnd"/>
      <w:r w:rsidR="009A7AC3">
        <w:t xml:space="preserve"> </w:t>
      </w:r>
    </w:p>
    <w:p w:rsidR="00EA1757" w:rsidRDefault="005A4958" w:rsidP="00281EE9">
      <w:r>
        <w:t xml:space="preserve">#876: </w:t>
      </w:r>
      <w:r w:rsidR="00EA1757">
        <w:t xml:space="preserve"> </w:t>
      </w:r>
      <w:r>
        <w:t>AIP: editors will coordinate with 4e.</w:t>
      </w:r>
    </w:p>
    <w:p w:rsidR="005A1F21" w:rsidRDefault="005A4958" w:rsidP="00281EE9">
      <w:r>
        <w:t xml:space="preserve">#302: </w:t>
      </w:r>
      <w:r w:rsidR="005A1F21">
        <w:t>Withdrawn</w:t>
      </w:r>
    </w:p>
    <w:p w:rsidR="005A4958" w:rsidRDefault="005A1F21" w:rsidP="00281EE9">
      <w:r>
        <w:t xml:space="preserve"> #890:  AIP</w:t>
      </w:r>
      <w:r w:rsidR="00524C01">
        <w:t>: will be made consistent with the roll-up.</w:t>
      </w:r>
    </w:p>
    <w:p w:rsidR="00524C01" w:rsidRDefault="008E41DC" w:rsidP="00281EE9">
      <w:r>
        <w:t xml:space="preserve">PM2 recessed at </w:t>
      </w:r>
      <w:r w:rsidR="00BC7ABB">
        <w:t>18:01</w:t>
      </w:r>
      <w:r w:rsidR="00136276">
        <w:t>.</w:t>
      </w:r>
    </w:p>
    <w:p w:rsidR="00557A2D" w:rsidRPr="00557A2D" w:rsidRDefault="00551281" w:rsidP="00557A2D">
      <w:pPr>
        <w:pStyle w:val="Heading1"/>
      </w:pPr>
      <w:r>
        <w:t>AM1 January 14</w:t>
      </w:r>
      <w:r w:rsidRPr="00551281">
        <w:rPr>
          <w:vertAlign w:val="superscript"/>
        </w:rPr>
        <w:t>th</w:t>
      </w:r>
      <w:r>
        <w:t xml:space="preserve"> 2011</w:t>
      </w:r>
    </w:p>
    <w:p w:rsidR="00551281" w:rsidRDefault="00136276" w:rsidP="00551281">
      <w:r>
        <w:t>Chair calls the meeting to order at 08:01. Presents revised agenda (10-953r1). Change of plan – divide into sub-groups and review comments by grouping. Report back AM2.</w:t>
      </w:r>
    </w:p>
    <w:p w:rsidR="007D161C" w:rsidRDefault="007D161C" w:rsidP="007D161C">
      <w:pPr>
        <w:pStyle w:val="Heading1"/>
      </w:pPr>
      <w:r>
        <w:t>AM2 January 14</w:t>
      </w:r>
      <w:r w:rsidRPr="00551281">
        <w:rPr>
          <w:vertAlign w:val="superscript"/>
        </w:rPr>
        <w:t>th</w:t>
      </w:r>
      <w:r>
        <w:t xml:space="preserve"> 2011</w:t>
      </w:r>
    </w:p>
    <w:p w:rsidR="005D05B3" w:rsidRDefault="007D161C" w:rsidP="005D05B3">
      <w:r>
        <w:t>Reports from AM1</w:t>
      </w:r>
      <w:r w:rsidR="005D05B3">
        <w:t xml:space="preserve">: The assignee for each group provides a summary status, identifies where the proposed resolution of already agreed upon comments can be applied to others, and some new proposed resolutions are discussed. Clint captures proposed resolutions in Doc 10-0852.  </w:t>
      </w:r>
    </w:p>
    <w:p w:rsidR="00160433" w:rsidRDefault="007D161C" w:rsidP="00F26AC9">
      <w:pPr>
        <w:pStyle w:val="NoSpacing"/>
      </w:pPr>
      <w:r>
        <w:t xml:space="preserve">Ben </w:t>
      </w:r>
      <w:r w:rsidR="005D05B3">
        <w:t>reports for</w:t>
      </w:r>
      <w:r>
        <w:t xml:space="preserve"> MAC group of comments; </w:t>
      </w:r>
    </w:p>
    <w:p w:rsidR="00160433" w:rsidRDefault="007D161C" w:rsidP="00F26AC9">
      <w:pPr>
        <w:pStyle w:val="NoSpacing"/>
      </w:pPr>
      <w:r>
        <w:t>Larry</w:t>
      </w:r>
      <w:r w:rsidR="005D05B3">
        <w:t xml:space="preserve"> presents for “IE” group; </w:t>
      </w:r>
    </w:p>
    <w:p w:rsidR="00160433" w:rsidRDefault="005D05B3" w:rsidP="00F26AC9">
      <w:pPr>
        <w:pStyle w:val="NoSpacing"/>
      </w:pPr>
      <w:r>
        <w:t xml:space="preserve">Mark Wilbur reports for “Easy” group; </w:t>
      </w:r>
    </w:p>
    <w:p w:rsidR="007D161C" w:rsidRDefault="005D05B3" w:rsidP="00F26AC9">
      <w:pPr>
        <w:pStyle w:val="NoSpacing"/>
      </w:pPr>
      <w:r>
        <w:t xml:space="preserve">Emmanuel </w:t>
      </w:r>
      <w:proofErr w:type="spellStart"/>
      <w:r w:rsidR="00160433">
        <w:t>Monrie</w:t>
      </w:r>
      <w:proofErr w:type="spellEnd"/>
      <w:r w:rsidR="00160433">
        <w:t xml:space="preserve"> </w:t>
      </w:r>
      <w:r>
        <w:t>reports for OFDM group.</w:t>
      </w:r>
    </w:p>
    <w:p w:rsidR="007D161C" w:rsidRDefault="00557A2D" w:rsidP="00557A2D">
      <w:pPr>
        <w:pStyle w:val="Heading1"/>
      </w:pPr>
      <w:r>
        <w:lastRenderedPageBreak/>
        <w:t>PM1 January 14</w:t>
      </w:r>
      <w:r w:rsidRPr="00557A2D">
        <w:rPr>
          <w:vertAlign w:val="superscript"/>
        </w:rPr>
        <w:t>th</w:t>
      </w:r>
      <w:r>
        <w:t xml:space="preserve"> 2011</w:t>
      </w:r>
    </w:p>
    <w:p w:rsidR="00557A2D" w:rsidRDefault="00557A2D" w:rsidP="00557A2D">
      <w:r>
        <w:t>Called to order at 13:38.</w:t>
      </w:r>
    </w:p>
    <w:p w:rsidR="00557A2D" w:rsidRDefault="00557A2D" w:rsidP="00557A2D">
      <w:pPr>
        <w:pStyle w:val="Heading2"/>
      </w:pPr>
      <w:r>
        <w:t>FEC Comments</w:t>
      </w:r>
    </w:p>
    <w:p w:rsidR="00557A2D" w:rsidRDefault="00557A2D" w:rsidP="00557A2D">
      <w:proofErr w:type="spellStart"/>
      <w:r>
        <w:t>Alina</w:t>
      </w:r>
      <w:proofErr w:type="spellEnd"/>
      <w:r>
        <w:t xml:space="preserve"> presents 11-0019r0 with proposed resolutions for FEC group of comments.</w:t>
      </w:r>
      <w:r w:rsidR="00F22B2A">
        <w:t xml:space="preserve"> </w:t>
      </w:r>
      <w:proofErr w:type="gramStart"/>
      <w:r w:rsidR="00F22B2A">
        <w:t>[704, 462, 1092, 1093].</w:t>
      </w:r>
      <w:proofErr w:type="gramEnd"/>
      <w:r w:rsidR="00F22B2A">
        <w:t xml:space="preserve"> No objections heard to presenting these proposed resolutions to the full TG. </w:t>
      </w:r>
    </w:p>
    <w:p w:rsidR="00F22B2A" w:rsidRDefault="00F22B2A" w:rsidP="00F22B2A">
      <w:pPr>
        <w:pStyle w:val="Heading2"/>
      </w:pPr>
      <w:r>
        <w:t>Generic PHY</w:t>
      </w:r>
    </w:p>
    <w:p w:rsidR="004E20C1" w:rsidRDefault="004E20C1" w:rsidP="004E20C1">
      <w:proofErr w:type="spellStart"/>
      <w:r>
        <w:t>Kuor-Hsin</w:t>
      </w:r>
      <w:proofErr w:type="spellEnd"/>
      <w:r>
        <w:t xml:space="preserve"> reviews proposed resolutions for generic PHY comments. </w:t>
      </w:r>
    </w:p>
    <w:p w:rsidR="004E20C1" w:rsidRDefault="004E20C1" w:rsidP="004E20C1">
      <w:pPr>
        <w:pStyle w:val="Heading2"/>
      </w:pPr>
      <w:r>
        <w:t>FSK comments</w:t>
      </w:r>
    </w:p>
    <w:p w:rsidR="004E20C1" w:rsidRDefault="005C725B" w:rsidP="004E20C1">
      <w:proofErr w:type="spellStart"/>
      <w:r>
        <w:t>Kuor-Hsin</w:t>
      </w:r>
      <w:proofErr w:type="spellEnd"/>
      <w:r>
        <w:t xml:space="preserve"> leads discussion of FSK comment proposed resolutions. </w:t>
      </w:r>
      <w:r w:rsidR="005E4AF3">
        <w:t xml:space="preserve"> The proposed resolution to CID# 1025 is still under discussion.  </w:t>
      </w:r>
    </w:p>
    <w:p w:rsidR="00160433" w:rsidRDefault="00160433" w:rsidP="00160433">
      <w:pPr>
        <w:pStyle w:val="Heading2"/>
      </w:pPr>
      <w:r>
        <w:t>MR-OQPSK Comments</w:t>
      </w:r>
    </w:p>
    <w:p w:rsidR="009C1C4F" w:rsidRDefault="009C1C4F" w:rsidP="009C1C4F">
      <w:r>
        <w:t xml:space="preserve">10-0005r1 presented by Michael Schmidt. </w:t>
      </w:r>
      <w:r w:rsidR="000A0095">
        <w:t xml:space="preserve">  It is noted that the proposed resolution to CID#205 in this presentation is not correct for CID 205 which is on the PD-Data </w:t>
      </w:r>
      <w:r w:rsidR="00F26AC9">
        <w:t>which</w:t>
      </w:r>
      <w:r w:rsidR="000A0095">
        <w:t xml:space="preserve"> is resolved by the observation that the PD-Data primitives have been removed.   The MR-OQPSK subgroup is not yet ready to present</w:t>
      </w:r>
      <w:r w:rsidR="00F26AC9">
        <w:t xml:space="preserve"> </w:t>
      </w:r>
      <w:r w:rsidR="000A0095">
        <w:t xml:space="preserve">to the TG for vote. Michael expects it will be ready for TG vote by midweek. </w:t>
      </w:r>
    </w:p>
    <w:p w:rsidR="000A0095" w:rsidRDefault="000A0095" w:rsidP="009C1C4F">
      <w:r>
        <w:t>Vice-ch</w:t>
      </w:r>
      <w:r w:rsidR="00F52101">
        <w:t>air recesses at 15:35 until 16:3</w:t>
      </w:r>
      <w:r>
        <w:t>0.</w:t>
      </w:r>
    </w:p>
    <w:p w:rsidR="002177D4" w:rsidRDefault="002177D4" w:rsidP="002177D4">
      <w:pPr>
        <w:pStyle w:val="Heading1"/>
      </w:pPr>
      <w:r>
        <w:t>PM2 January 14</w:t>
      </w:r>
      <w:r w:rsidRPr="00557A2D">
        <w:rPr>
          <w:vertAlign w:val="superscript"/>
        </w:rPr>
        <w:t>th</w:t>
      </w:r>
      <w:r>
        <w:t xml:space="preserve"> 2011</w:t>
      </w:r>
    </w:p>
    <w:p w:rsidR="002177D4" w:rsidRDefault="002177D4" w:rsidP="002177D4">
      <w:r>
        <w:t>Chair calls meeting to order at 16:35.</w:t>
      </w:r>
    </w:p>
    <w:p w:rsidR="002177D4" w:rsidRDefault="002177D4" w:rsidP="002177D4">
      <w:pPr>
        <w:pStyle w:val="Heading2"/>
      </w:pPr>
      <w:r>
        <w:t>Mode switch comments</w:t>
      </w:r>
    </w:p>
    <w:p w:rsidR="002177D4" w:rsidRDefault="002177D4" w:rsidP="002177D4">
      <w:proofErr w:type="spellStart"/>
      <w:r>
        <w:t>Kuor-Hsin</w:t>
      </w:r>
      <w:proofErr w:type="spellEnd"/>
      <w:r>
        <w:t xml:space="preserve"> presents mode sw</w:t>
      </w:r>
      <w:r w:rsidR="00F26AC9">
        <w:t>itch comments</w:t>
      </w:r>
      <w:r>
        <w:t>.</w:t>
      </w:r>
    </w:p>
    <w:p w:rsidR="002177D4" w:rsidRDefault="007164FF" w:rsidP="002177D4">
      <w:r>
        <w:t xml:space="preserve">Larry Taylor disagrees with the statement that the presentation reflects proposed </w:t>
      </w:r>
      <w:r w:rsidR="006A3713">
        <w:t>resolutions</w:t>
      </w:r>
      <w:r>
        <w:t xml:space="preserve"> generated by consensus of participants</w:t>
      </w:r>
      <w:r w:rsidR="00EC3392">
        <w:t xml:space="preserve"> on the teleconferences</w:t>
      </w:r>
      <w:r>
        <w:t>. Some discussion</w:t>
      </w:r>
      <w:r w:rsidR="00EC3392">
        <w:t xml:space="preserve"> follows</w:t>
      </w:r>
      <w:r>
        <w:t>.</w:t>
      </w:r>
    </w:p>
    <w:p w:rsidR="00EC3392" w:rsidRDefault="00EC3392" w:rsidP="002177D4">
      <w:r>
        <w:t>Specific comments:</w:t>
      </w:r>
    </w:p>
    <w:p w:rsidR="007164FF" w:rsidRDefault="007164FF" w:rsidP="002177D4">
      <w:r>
        <w:t>221: Suggest it is ready to present to TG</w:t>
      </w:r>
    </w:p>
    <w:p w:rsidR="007164FF" w:rsidRDefault="007164FF" w:rsidP="002177D4">
      <w:r>
        <w:t xml:space="preserve">587: </w:t>
      </w:r>
      <w:r w:rsidR="00AF22D8">
        <w:t>The commenter withdraws the comment.</w:t>
      </w:r>
    </w:p>
    <w:p w:rsidR="00AF22D8" w:rsidRDefault="009529D5" w:rsidP="002177D4">
      <w:r>
        <w:t>593</w:t>
      </w:r>
      <w:r w:rsidR="00AF22D8">
        <w:t>:  for 593 add explanation “as the commenter points out the PHY mode of the ACK is not specified in the draft”, resolution is AP, add text to draft</w:t>
      </w:r>
      <w:r w:rsidR="00EC3392">
        <w:t xml:space="preserve"> clarifying text, to be provided by </w:t>
      </w:r>
      <w:proofErr w:type="spellStart"/>
      <w:r w:rsidR="00EC3392">
        <w:t>Kuor-Hsin</w:t>
      </w:r>
      <w:proofErr w:type="spellEnd"/>
      <w:r w:rsidR="00AF22D8">
        <w:t>.</w:t>
      </w:r>
    </w:p>
    <w:p w:rsidR="009529D5" w:rsidRDefault="009529D5" w:rsidP="002177D4">
      <w:r>
        <w:t xml:space="preserve">841: proposed resolved proposed resolution to 593.  Disagreement on this resolution: resolution is achieved by adding text to clause 5 describing the purpose of the </w:t>
      </w:r>
      <w:r w:rsidR="00EC3392">
        <w:t xml:space="preserve">mode switch from document to be </w:t>
      </w:r>
      <w:proofErr w:type="spellStart"/>
      <w:r w:rsidR="00EC3392">
        <w:t>postd</w:t>
      </w:r>
      <w:proofErr w:type="spellEnd"/>
      <w:r w:rsidR="00EC3392">
        <w:t xml:space="preserve"> by </w:t>
      </w:r>
      <w:proofErr w:type="spellStart"/>
      <w:r w:rsidR="00EC3392">
        <w:t>Kuor-Hsin</w:t>
      </w:r>
      <w:proofErr w:type="spellEnd"/>
      <w:r>
        <w:t xml:space="preserve">. </w:t>
      </w:r>
    </w:p>
    <w:p w:rsidR="002E70A1" w:rsidRDefault="002E70A1" w:rsidP="002177D4">
      <w:r>
        <w:lastRenderedPageBreak/>
        <w:t xml:space="preserve">213, 190, </w:t>
      </w:r>
      <w:proofErr w:type="gramStart"/>
      <w:r>
        <w:t>702 :</w:t>
      </w:r>
      <w:proofErr w:type="gramEnd"/>
      <w:r>
        <w:t xml:space="preserve"> AP, covered by resolution to 593.</w:t>
      </w:r>
    </w:p>
    <w:p w:rsidR="002E70A1" w:rsidRDefault="002E70A1" w:rsidP="002177D4">
      <w:r>
        <w:t xml:space="preserve">211: </w:t>
      </w:r>
      <w:r w:rsidR="00E13406">
        <w:t xml:space="preserve">Accept in principle: change “can” to “may” in commenter’s proposed resolution. </w:t>
      </w:r>
    </w:p>
    <w:p w:rsidR="00E13406" w:rsidRDefault="00E13406" w:rsidP="002177D4">
      <w:r>
        <w:t>614:  Resolution to 211 covers this.</w:t>
      </w:r>
    </w:p>
    <w:p w:rsidR="00E13406" w:rsidRDefault="00E13406" w:rsidP="002177D4">
      <w:r>
        <w:t>842: Accept; editorial convention.</w:t>
      </w:r>
    </w:p>
    <w:p w:rsidR="00E13406" w:rsidRDefault="00E13406" w:rsidP="002177D4">
      <w:r>
        <w:t xml:space="preserve">463: Suggested that the resolution to 593 also covers this comment also. </w:t>
      </w:r>
      <w:proofErr w:type="gramStart"/>
      <w:r>
        <w:t>Commenter to review and report back.</w:t>
      </w:r>
      <w:proofErr w:type="gramEnd"/>
      <w:r>
        <w:t xml:space="preserve"> </w:t>
      </w:r>
    </w:p>
    <w:p w:rsidR="00E13406" w:rsidRDefault="00E13406" w:rsidP="002177D4">
      <w:r>
        <w:t xml:space="preserve">727:  </w:t>
      </w:r>
      <w:r w:rsidR="00AA01B1">
        <w:t>AP clarification to be added (see also doc 11-0022 presented in AM2).</w:t>
      </w:r>
      <w:r>
        <w:t xml:space="preserve"> </w:t>
      </w:r>
    </w:p>
    <w:p w:rsidR="00E13406" w:rsidRDefault="00E13406" w:rsidP="002177D4">
      <w:r>
        <w:t>429: AP Figure 23 moved (resolution to 790</w:t>
      </w:r>
      <w:proofErr w:type="gramStart"/>
      <w:r>
        <w:t xml:space="preserve">) </w:t>
      </w:r>
      <w:r w:rsidR="00AA01B1">
        <w:t>.</w:t>
      </w:r>
      <w:proofErr w:type="gramEnd"/>
    </w:p>
    <w:p w:rsidR="00AA01B1" w:rsidRDefault="00E13406" w:rsidP="002177D4">
      <w:r>
        <w:t xml:space="preserve">191: </w:t>
      </w:r>
      <w:r w:rsidR="00AA01B1">
        <w:t xml:space="preserve">AP resolved by resolution to CID 799 (approved in November). Discussion reveals that this proposed resolution (799) is not complete. Additional work is needed to address 191: </w:t>
      </w:r>
      <w:proofErr w:type="spellStart"/>
      <w:r w:rsidR="00AA01B1">
        <w:t>Kuor-Hsin</w:t>
      </w:r>
      <w:proofErr w:type="spellEnd"/>
      <w:r w:rsidR="00AA01B1">
        <w:t xml:space="preserve"> believes that proposed resolutions to other comments will provide the required </w:t>
      </w:r>
      <w:r w:rsidR="00EC3392">
        <w:t>information;</w:t>
      </w:r>
      <w:r w:rsidR="00AA01B1">
        <w:t xml:space="preserve"> he will identify the additional comments to reference. </w:t>
      </w:r>
    </w:p>
    <w:p w:rsidR="00E13406" w:rsidRDefault="00AA01B1" w:rsidP="00994368">
      <w:pPr>
        <w:pStyle w:val="Heading2"/>
      </w:pPr>
      <w:r>
        <w:t xml:space="preserve"> </w:t>
      </w:r>
      <w:r w:rsidR="00994368">
        <w:t>Comment Roundup</w:t>
      </w:r>
    </w:p>
    <w:p w:rsidR="00994368" w:rsidRDefault="00994368" w:rsidP="00994368">
      <w:r>
        <w:t>Clint leads a roundup of comment resolution status.</w:t>
      </w:r>
    </w:p>
    <w:p w:rsidR="006A3713" w:rsidRDefault="006A3713" w:rsidP="00994368">
      <w:r>
        <w:t xml:space="preserve">Rev 10-0852r9 posted by Clint; Clint reviews the summary numbers. </w:t>
      </w:r>
      <w:r w:rsidR="00EC3392">
        <w:t xml:space="preserve"> Identifies 19 outstanding comments not assigned to someone to be worked.  Clint assigns volunteers </w:t>
      </w:r>
      <w:r>
        <w:t>to work remaining unassigned com</w:t>
      </w:r>
      <w:r w:rsidR="00EC3392">
        <w:t>ments</w:t>
      </w:r>
      <w:r>
        <w:t>:</w:t>
      </w:r>
    </w:p>
    <w:tbl>
      <w:tblPr>
        <w:tblStyle w:val="TableGrid"/>
        <w:tblW w:w="0" w:type="auto"/>
        <w:tblLook w:val="04A0"/>
      </w:tblPr>
      <w:tblGrid>
        <w:gridCol w:w="1528"/>
        <w:gridCol w:w="2180"/>
        <w:gridCol w:w="1260"/>
        <w:gridCol w:w="4608"/>
      </w:tblGrid>
      <w:tr w:rsidR="00EC3392" w:rsidTr="00EC3392">
        <w:tc>
          <w:tcPr>
            <w:tcW w:w="1528" w:type="dxa"/>
          </w:tcPr>
          <w:p w:rsidR="00EC3392" w:rsidRDefault="00EC3392" w:rsidP="00EC3392">
            <w:pPr>
              <w:pStyle w:val="NoSpacing"/>
            </w:pPr>
            <w:r>
              <w:t>Group</w:t>
            </w:r>
          </w:p>
        </w:tc>
        <w:tc>
          <w:tcPr>
            <w:tcW w:w="2180" w:type="dxa"/>
          </w:tcPr>
          <w:p w:rsidR="00EC3392" w:rsidRDefault="00EC3392" w:rsidP="00EC3392">
            <w:pPr>
              <w:pStyle w:val="NoSpacing"/>
            </w:pPr>
            <w:r>
              <w:t>Comment IDs</w:t>
            </w:r>
          </w:p>
        </w:tc>
        <w:tc>
          <w:tcPr>
            <w:tcW w:w="1260" w:type="dxa"/>
          </w:tcPr>
          <w:p w:rsidR="00EC3392" w:rsidRDefault="00EC3392" w:rsidP="00EC3392">
            <w:pPr>
              <w:pStyle w:val="NoSpacing"/>
            </w:pPr>
            <w:r>
              <w:t>Assignee</w:t>
            </w:r>
          </w:p>
        </w:tc>
        <w:tc>
          <w:tcPr>
            <w:tcW w:w="4608" w:type="dxa"/>
          </w:tcPr>
          <w:p w:rsidR="00EC3392" w:rsidRDefault="00EC3392" w:rsidP="00EC3392">
            <w:pPr>
              <w:pStyle w:val="NoSpacing"/>
            </w:pPr>
            <w:r>
              <w:t>Notes</w:t>
            </w:r>
          </w:p>
        </w:tc>
      </w:tr>
      <w:tr w:rsidR="00EC3392" w:rsidTr="00EC3392">
        <w:tc>
          <w:tcPr>
            <w:tcW w:w="1528" w:type="dxa"/>
          </w:tcPr>
          <w:p w:rsidR="00EC3392" w:rsidRDefault="00EC3392" w:rsidP="002A2141">
            <w:pPr>
              <w:pStyle w:val="NoSpacing"/>
            </w:pPr>
            <w:r>
              <w:t>MPM</w:t>
            </w:r>
          </w:p>
        </w:tc>
        <w:tc>
          <w:tcPr>
            <w:tcW w:w="2180" w:type="dxa"/>
          </w:tcPr>
          <w:p w:rsidR="00EC3392" w:rsidRDefault="00EC3392" w:rsidP="002A2141">
            <w:pPr>
              <w:pStyle w:val="NoSpacing"/>
            </w:pPr>
            <w:r>
              <w:t>972</w:t>
            </w:r>
          </w:p>
        </w:tc>
        <w:tc>
          <w:tcPr>
            <w:tcW w:w="1260" w:type="dxa"/>
          </w:tcPr>
          <w:p w:rsidR="00EC3392" w:rsidRDefault="00EC3392" w:rsidP="002A2141">
            <w:pPr>
              <w:pStyle w:val="NoSpacing"/>
            </w:pPr>
            <w:r>
              <w:t>Sum</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 xml:space="preserve">PIB </w:t>
            </w:r>
          </w:p>
        </w:tc>
        <w:tc>
          <w:tcPr>
            <w:tcW w:w="2180" w:type="dxa"/>
          </w:tcPr>
          <w:p w:rsidR="00EC3392" w:rsidRDefault="00EC3392" w:rsidP="002A2141">
            <w:pPr>
              <w:pStyle w:val="NoSpacing"/>
            </w:pP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SFD</w:t>
            </w:r>
          </w:p>
        </w:tc>
        <w:tc>
          <w:tcPr>
            <w:tcW w:w="2180" w:type="dxa"/>
          </w:tcPr>
          <w:p w:rsidR="00EC3392" w:rsidRDefault="00EC3392" w:rsidP="00EC3392">
            <w:pPr>
              <w:pStyle w:val="NoSpacing"/>
            </w:pPr>
            <w:r>
              <w:t xml:space="preserve">544 </w:t>
            </w:r>
          </w:p>
        </w:tc>
        <w:tc>
          <w:tcPr>
            <w:tcW w:w="1260" w:type="dxa"/>
          </w:tcPr>
          <w:p w:rsidR="00EC3392" w:rsidRDefault="00EC3392" w:rsidP="002A2141">
            <w:pPr>
              <w:pStyle w:val="NoSpacing"/>
            </w:pP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MAC</w:t>
            </w:r>
          </w:p>
        </w:tc>
        <w:tc>
          <w:tcPr>
            <w:tcW w:w="2180" w:type="dxa"/>
          </w:tcPr>
          <w:p w:rsidR="00EC3392" w:rsidRDefault="00EC3392" w:rsidP="002A2141">
            <w:pPr>
              <w:pStyle w:val="NoSpacing"/>
            </w:pPr>
            <w:r>
              <w:t>554</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r>
              <w:t>The only change from Nov is change from “accept” to “accept in principle” (correct)</w:t>
            </w:r>
          </w:p>
        </w:tc>
      </w:tr>
      <w:tr w:rsidR="00EC3392" w:rsidTr="00EC3392">
        <w:tc>
          <w:tcPr>
            <w:tcW w:w="1528" w:type="dxa"/>
          </w:tcPr>
          <w:p w:rsidR="00EC3392" w:rsidRDefault="00EC3392" w:rsidP="00EC3392">
            <w:pPr>
              <w:pStyle w:val="NoSpacing"/>
            </w:pPr>
            <w:r>
              <w:t>Freq Band</w:t>
            </w:r>
          </w:p>
        </w:tc>
        <w:tc>
          <w:tcPr>
            <w:tcW w:w="2180" w:type="dxa"/>
          </w:tcPr>
          <w:p w:rsidR="00EC3392" w:rsidRDefault="00EC3392" w:rsidP="002A2141">
            <w:pPr>
              <w:pStyle w:val="NoSpacing"/>
            </w:pPr>
            <w:r>
              <w:t>456 457</w:t>
            </w:r>
          </w:p>
        </w:tc>
        <w:tc>
          <w:tcPr>
            <w:tcW w:w="1260" w:type="dxa"/>
          </w:tcPr>
          <w:p w:rsidR="00EC3392" w:rsidRDefault="00EC3392" w:rsidP="002A2141">
            <w:pPr>
              <w:pStyle w:val="NoSpacing"/>
            </w:pPr>
          </w:p>
        </w:tc>
        <w:tc>
          <w:tcPr>
            <w:tcW w:w="4608" w:type="dxa"/>
          </w:tcPr>
          <w:p w:rsidR="00EC3392" w:rsidRDefault="00EC3392" w:rsidP="002A2141">
            <w:pPr>
              <w:pStyle w:val="NoSpacing"/>
            </w:pPr>
            <w:proofErr w:type="spellStart"/>
            <w:r>
              <w:t>Jerrit</w:t>
            </w:r>
            <w:proofErr w:type="spellEnd"/>
            <w:r>
              <w:t xml:space="preserve"> Kent  </w:t>
            </w:r>
          </w:p>
        </w:tc>
      </w:tr>
      <w:tr w:rsidR="00EC3392" w:rsidTr="00EC3392">
        <w:tc>
          <w:tcPr>
            <w:tcW w:w="1528" w:type="dxa"/>
          </w:tcPr>
          <w:p w:rsidR="00EC3392" w:rsidRDefault="00EC3392" w:rsidP="00EC3392">
            <w:pPr>
              <w:pStyle w:val="NoSpacing"/>
            </w:pPr>
          </w:p>
        </w:tc>
        <w:tc>
          <w:tcPr>
            <w:tcW w:w="2180" w:type="dxa"/>
          </w:tcPr>
          <w:p w:rsidR="00EC3392" w:rsidRDefault="00EC3392" w:rsidP="002A2141">
            <w:pPr>
              <w:pStyle w:val="NoSpacing"/>
            </w:pPr>
            <w:r>
              <w:t>539 547</w:t>
            </w:r>
          </w:p>
        </w:tc>
        <w:tc>
          <w:tcPr>
            <w:tcW w:w="1260" w:type="dxa"/>
          </w:tcPr>
          <w:p w:rsidR="00EC3392" w:rsidRDefault="00EC3392" w:rsidP="002A2141">
            <w:pPr>
              <w:pStyle w:val="NoSpacing"/>
            </w:pPr>
            <w:proofErr w:type="spellStart"/>
            <w:r>
              <w:t>Khanh</w:t>
            </w:r>
            <w:proofErr w:type="spellEnd"/>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Frame Format</w:t>
            </w:r>
          </w:p>
        </w:tc>
        <w:tc>
          <w:tcPr>
            <w:tcW w:w="2180" w:type="dxa"/>
          </w:tcPr>
          <w:p w:rsidR="00EC3392" w:rsidRDefault="00EC3392" w:rsidP="002A2141">
            <w:pPr>
              <w:pStyle w:val="NoSpacing"/>
            </w:pPr>
            <w:r>
              <w:t>70</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FCS</w:t>
            </w:r>
          </w:p>
        </w:tc>
        <w:tc>
          <w:tcPr>
            <w:tcW w:w="2180" w:type="dxa"/>
          </w:tcPr>
          <w:p w:rsidR="00EC3392" w:rsidRDefault="00EC3392" w:rsidP="00EC3392">
            <w:pPr>
              <w:pStyle w:val="NoSpacing"/>
            </w:pPr>
            <w:r>
              <w:t>171 301 436 695 730 1097</w:t>
            </w:r>
          </w:p>
        </w:tc>
        <w:tc>
          <w:tcPr>
            <w:tcW w:w="1260" w:type="dxa"/>
          </w:tcPr>
          <w:p w:rsidR="00EC3392" w:rsidRDefault="00EC3392" w:rsidP="002A2141">
            <w:pPr>
              <w:pStyle w:val="NoSpacing"/>
            </w:pPr>
            <w:r>
              <w:t>Ben</w:t>
            </w:r>
          </w:p>
        </w:tc>
        <w:tc>
          <w:tcPr>
            <w:tcW w:w="4608" w:type="dxa"/>
          </w:tcPr>
          <w:p w:rsidR="00EC3392" w:rsidRDefault="00EC3392" w:rsidP="002A2141">
            <w:pPr>
              <w:pStyle w:val="NoSpacing"/>
            </w:pPr>
          </w:p>
        </w:tc>
      </w:tr>
      <w:tr w:rsidR="00EC3392" w:rsidTr="00EC3392">
        <w:tc>
          <w:tcPr>
            <w:tcW w:w="1528" w:type="dxa"/>
          </w:tcPr>
          <w:p w:rsidR="00EC3392" w:rsidRDefault="00EC3392" w:rsidP="00EC3392">
            <w:pPr>
              <w:pStyle w:val="NoSpacing"/>
            </w:pPr>
            <w:r>
              <w:t>Data Rate</w:t>
            </w:r>
          </w:p>
        </w:tc>
        <w:tc>
          <w:tcPr>
            <w:tcW w:w="2180" w:type="dxa"/>
          </w:tcPr>
          <w:p w:rsidR="00EC3392" w:rsidRDefault="00EC3392" w:rsidP="00EC3392">
            <w:pPr>
              <w:pStyle w:val="NoSpacing"/>
            </w:pPr>
            <w:r>
              <w:t>453</w:t>
            </w:r>
          </w:p>
        </w:tc>
        <w:tc>
          <w:tcPr>
            <w:tcW w:w="1260" w:type="dxa"/>
          </w:tcPr>
          <w:p w:rsidR="00EC3392" w:rsidRDefault="00EC3392" w:rsidP="002A2141">
            <w:pPr>
              <w:pStyle w:val="NoSpacing"/>
            </w:pPr>
            <w:proofErr w:type="spellStart"/>
            <w:r>
              <w:t>Jerrit</w:t>
            </w:r>
            <w:proofErr w:type="spellEnd"/>
            <w:r>
              <w:t xml:space="preserve"> Kent</w:t>
            </w:r>
          </w:p>
        </w:tc>
        <w:tc>
          <w:tcPr>
            <w:tcW w:w="4608" w:type="dxa"/>
          </w:tcPr>
          <w:p w:rsidR="00EC3392" w:rsidRDefault="00EC3392" w:rsidP="002A2141">
            <w:pPr>
              <w:pStyle w:val="NoSpacing"/>
            </w:pPr>
          </w:p>
        </w:tc>
      </w:tr>
    </w:tbl>
    <w:p w:rsidR="00EC3392" w:rsidRDefault="00EC3392" w:rsidP="00EC3392">
      <w:pPr>
        <w:pStyle w:val="NoSpacing"/>
      </w:pPr>
    </w:p>
    <w:p w:rsidR="00D14A8F" w:rsidRDefault="00D14A8F" w:rsidP="00994368">
      <w:r>
        <w:t xml:space="preserve">Every outstanding technical comment has been assigned. </w:t>
      </w:r>
    </w:p>
    <w:p w:rsidR="005C6C61" w:rsidRDefault="00D14A8F" w:rsidP="00D14A8F">
      <w:pPr>
        <w:pStyle w:val="Heading1"/>
      </w:pPr>
      <w:r>
        <w:lastRenderedPageBreak/>
        <w:t>Closing Remarks</w:t>
      </w:r>
    </w:p>
    <w:p w:rsidR="00994368" w:rsidRDefault="00D14A8F" w:rsidP="00994368">
      <w:r>
        <w:t xml:space="preserve">Clint will post XLS. Ready to vote we will assume they are ready to vote Monday PM1 (first session) unless Phil hears otherwise. Everyone who is assigned a comment is asked to announce via the reflector as soon as possible. Assignments will be posted in version 10. </w:t>
      </w:r>
    </w:p>
    <w:p w:rsidR="00D14A8F" w:rsidRDefault="00D14A8F" w:rsidP="00994368">
      <w:r>
        <w:t xml:space="preserve">Comment: we have 400 outstanding technical comments to resolve next week.   That is &gt; 100 per day.  Suggestion is that defer what requires debate until less contentious comments done. </w:t>
      </w:r>
    </w:p>
    <w:p w:rsidR="00D14A8F" w:rsidRDefault="00D14A8F" w:rsidP="00994368">
      <w:r>
        <w:t xml:space="preserve">Phil thanks the attendees for their service. </w:t>
      </w:r>
    </w:p>
    <w:p w:rsidR="00D14A8F" w:rsidRDefault="00D14A8F" w:rsidP="00994368">
      <w:r>
        <w:t>Meeting adjourned at 18:18.</w:t>
      </w:r>
    </w:p>
    <w:p w:rsidR="00D14A8F" w:rsidRPr="00994368" w:rsidRDefault="00D14A8F" w:rsidP="00994368"/>
    <w:p w:rsidR="00AF22D8" w:rsidRPr="002177D4" w:rsidRDefault="00AF22D8" w:rsidP="002177D4"/>
    <w:sectPr w:rsidR="00AF22D8" w:rsidRPr="002177D4" w:rsidSect="00136276">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0F" w:rsidRDefault="0068040F" w:rsidP="00136276">
      <w:pPr>
        <w:spacing w:after="0" w:line="240" w:lineRule="auto"/>
      </w:pPr>
      <w:r>
        <w:separator/>
      </w:r>
    </w:p>
  </w:endnote>
  <w:endnote w:type="continuationSeparator" w:id="0">
    <w:p w:rsidR="0068040F" w:rsidRDefault="0068040F" w:rsidP="00136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36276">
      <w:trPr>
        <w:trHeight w:val="151"/>
      </w:trPr>
      <w:tc>
        <w:tcPr>
          <w:tcW w:w="2250" w:type="pct"/>
          <w:tcBorders>
            <w:bottom w:val="single" w:sz="4" w:space="0" w:color="4F81BD" w:themeColor="accent1"/>
          </w:tcBorders>
        </w:tcPr>
        <w:p w:rsidR="00136276" w:rsidRDefault="00136276">
          <w:pPr>
            <w:pStyle w:val="Header"/>
            <w:rPr>
              <w:rFonts w:asciiTheme="majorHAnsi" w:eastAsiaTheme="majorEastAsia" w:hAnsiTheme="majorHAnsi" w:cstheme="majorBidi"/>
              <w:b/>
              <w:bCs/>
            </w:rPr>
          </w:pPr>
        </w:p>
      </w:tc>
      <w:tc>
        <w:tcPr>
          <w:tcW w:w="500" w:type="pct"/>
          <w:vMerge w:val="restart"/>
          <w:noWrap/>
          <w:vAlign w:val="center"/>
        </w:tcPr>
        <w:p w:rsidR="00136276" w:rsidRDefault="00136276">
          <w:pPr>
            <w:pStyle w:val="NoSpacing"/>
            <w:rPr>
              <w:rFonts w:asciiTheme="majorHAnsi" w:hAnsiTheme="majorHAnsi"/>
            </w:rPr>
          </w:pPr>
          <w:r>
            <w:rPr>
              <w:rFonts w:asciiTheme="majorHAnsi" w:hAnsiTheme="majorHAnsi"/>
              <w:b/>
            </w:rPr>
            <w:t xml:space="preserve">Page </w:t>
          </w:r>
          <w:fldSimple w:instr=" PAGE  \* MERGEFORMAT ">
            <w:r w:rsidR="00391612" w:rsidRPr="00391612">
              <w:rPr>
                <w:rFonts w:asciiTheme="majorHAnsi" w:hAnsiTheme="majorHAnsi"/>
                <w:b/>
                <w:noProof/>
              </w:rPr>
              <w:t>7</w:t>
            </w:r>
          </w:fldSimple>
        </w:p>
      </w:tc>
      <w:tc>
        <w:tcPr>
          <w:tcW w:w="2250" w:type="pct"/>
          <w:tcBorders>
            <w:bottom w:val="single" w:sz="4" w:space="0" w:color="4F81BD" w:themeColor="accent1"/>
          </w:tcBorders>
        </w:tcPr>
        <w:p w:rsidR="00136276" w:rsidRDefault="00136276">
          <w:pPr>
            <w:pStyle w:val="Header"/>
            <w:rPr>
              <w:rFonts w:asciiTheme="majorHAnsi" w:eastAsiaTheme="majorEastAsia" w:hAnsiTheme="majorHAnsi" w:cstheme="majorBidi"/>
              <w:b/>
              <w:bCs/>
            </w:rPr>
          </w:pPr>
        </w:p>
      </w:tc>
    </w:tr>
    <w:tr w:rsidR="00136276">
      <w:trPr>
        <w:trHeight w:val="150"/>
      </w:trPr>
      <w:tc>
        <w:tcPr>
          <w:tcW w:w="2250" w:type="pct"/>
          <w:tcBorders>
            <w:top w:val="single" w:sz="4" w:space="0" w:color="4F81BD" w:themeColor="accent1"/>
          </w:tcBorders>
        </w:tcPr>
        <w:p w:rsidR="00136276" w:rsidRDefault="00391612">
          <w:pPr>
            <w:pStyle w:val="Header"/>
            <w:rPr>
              <w:rFonts w:asciiTheme="majorHAnsi" w:eastAsiaTheme="majorEastAsia" w:hAnsiTheme="majorHAnsi" w:cstheme="majorBidi"/>
              <w:b/>
              <w:bCs/>
            </w:rPr>
          </w:pPr>
          <w:r>
            <w:rPr>
              <w:rFonts w:asciiTheme="majorHAnsi" w:eastAsiaTheme="majorEastAsia" w:hAnsiTheme="majorHAnsi" w:cstheme="majorBidi"/>
              <w:b/>
              <w:bCs/>
            </w:rPr>
            <w:t xml:space="preserve">Submission </w:t>
          </w:r>
        </w:p>
      </w:tc>
      <w:tc>
        <w:tcPr>
          <w:tcW w:w="500" w:type="pct"/>
          <w:vMerge/>
        </w:tcPr>
        <w:p w:rsidR="00136276" w:rsidRDefault="0013627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36276" w:rsidRDefault="00391612" w:rsidP="00391612">
          <w:pPr>
            <w:pStyle w:val="Header"/>
            <w:jc w:val="right"/>
            <w:rPr>
              <w:rFonts w:asciiTheme="majorHAnsi" w:eastAsiaTheme="majorEastAsia" w:hAnsiTheme="majorHAnsi" w:cstheme="majorBidi"/>
              <w:b/>
              <w:bCs/>
            </w:rPr>
          </w:pPr>
          <w:r>
            <w:rPr>
              <w:rFonts w:asciiTheme="majorHAnsi" w:eastAsiaTheme="majorEastAsia" w:hAnsiTheme="majorHAnsi" w:cstheme="majorBidi"/>
              <w:b/>
              <w:bCs/>
            </w:rPr>
            <w:t>Benjamin A. Rolfe</w:t>
          </w:r>
        </w:p>
      </w:tc>
    </w:tr>
  </w:tbl>
  <w:p w:rsidR="00136276" w:rsidRDefault="00136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0F" w:rsidRDefault="0068040F" w:rsidP="00136276">
      <w:pPr>
        <w:spacing w:after="0" w:line="240" w:lineRule="auto"/>
      </w:pPr>
      <w:r>
        <w:separator/>
      </w:r>
    </w:p>
  </w:footnote>
  <w:footnote w:type="continuationSeparator" w:id="0">
    <w:p w:rsidR="0068040F" w:rsidRDefault="0068040F" w:rsidP="00136276">
      <w:pPr>
        <w:spacing w:after="0" w:line="240" w:lineRule="auto"/>
      </w:pPr>
      <w:r>
        <w:continuationSeparator/>
      </w:r>
    </w:p>
  </w:footnote>
  <w:footnote w:id="1">
    <w:p w:rsidR="00136276" w:rsidRDefault="00136276">
      <w:pPr>
        <w:pStyle w:val="FootnoteText"/>
      </w:pPr>
      <w:r>
        <w:rPr>
          <w:rStyle w:val="FootnoteReference"/>
        </w:rPr>
        <w:footnoteRef/>
      </w:r>
      <w:r>
        <w:t xml:space="preserve"> </w:t>
      </w:r>
      <w:proofErr w:type="gramStart"/>
      <w:r>
        <w:t>All times given in Pacific Standard Time.</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2455"/>
      <w:gridCol w:w="3510"/>
      <w:gridCol w:w="3625"/>
    </w:tblGrid>
    <w:tr w:rsidR="00017990" w:rsidTr="00017990">
      <w:trPr>
        <w:trHeight w:val="288"/>
      </w:trPr>
      <w:sdt>
        <w:sdtPr>
          <w:rPr>
            <w:rFonts w:asciiTheme="majorHAnsi" w:eastAsiaTheme="majorEastAsia" w:hAnsiTheme="majorHAnsi" w:cstheme="majorBidi"/>
            <w:sz w:val="24"/>
            <w:szCs w:val="24"/>
          </w:rPr>
          <w:alias w:val="Title"/>
          <w:id w:val="77761602"/>
          <w:placeholder>
            <w:docPart w:val="930D939E9217486EAEB04D4F1C6348FC"/>
          </w:placeholder>
          <w:dataBinding w:prefixMappings="xmlns:ns0='http://schemas.openxmlformats.org/package/2006/metadata/core-properties' xmlns:ns1='http://purl.org/dc/elements/1.1/'" w:xpath="/ns0:coreProperties[1]/ns1:title[1]" w:storeItemID="{6C3C8BC8-F283-45AE-878A-BAB7291924A1}"/>
          <w:text/>
        </w:sdtPr>
        <w:sdtContent>
          <w:tc>
            <w:tcPr>
              <w:tcW w:w="2455" w:type="dxa"/>
            </w:tcPr>
            <w:p w:rsidR="00017990" w:rsidRPr="00136276" w:rsidRDefault="00B268FC" w:rsidP="00017990">
              <w:pPr>
                <w:pStyle w:val="Header"/>
                <w:rPr>
                  <w:rFonts w:asciiTheme="majorHAnsi" w:eastAsiaTheme="majorEastAsia" w:hAnsiTheme="majorHAnsi" w:cstheme="majorBidi"/>
                  <w:sz w:val="24"/>
                  <w:szCs w:val="24"/>
                </w:rPr>
              </w:pPr>
              <w:r>
                <w:rPr>
                  <w:rFonts w:asciiTheme="majorHAnsi" w:eastAsiaTheme="majorEastAsia" w:hAnsiTheme="majorHAnsi" w:cstheme="majorBidi"/>
                  <w:sz w:val="24"/>
                  <w:szCs w:val="24"/>
                </w:rPr>
                <w:t>January 13,14 2011</w:t>
              </w:r>
            </w:p>
          </w:tc>
        </w:sdtContent>
      </w:sdt>
      <w:tc>
        <w:tcPr>
          <w:tcW w:w="3510" w:type="dxa"/>
        </w:tcPr>
        <w:p w:rsidR="00017990" w:rsidRPr="00136276" w:rsidRDefault="00017990" w:rsidP="00136276">
          <w:pPr>
            <w:pStyle w:val="Header"/>
            <w:rPr>
              <w:rFonts w:asciiTheme="majorHAnsi" w:eastAsiaTheme="majorEastAsia" w:hAnsiTheme="majorHAnsi" w:cstheme="majorBidi"/>
              <w:sz w:val="24"/>
              <w:szCs w:val="24"/>
            </w:rPr>
          </w:pPr>
          <w:r w:rsidRPr="00136276">
            <w:rPr>
              <w:rFonts w:asciiTheme="majorHAnsi" w:eastAsiaTheme="majorEastAsia" w:hAnsiTheme="majorHAnsi" w:cstheme="majorBidi"/>
              <w:sz w:val="24"/>
              <w:szCs w:val="24"/>
            </w:rPr>
            <w:t>TG4g January 2011Ad-hoc Meeting Minutes</w:t>
          </w:r>
        </w:p>
      </w:tc>
      <w:tc>
        <w:tcPr>
          <w:tcW w:w="3625" w:type="dxa"/>
        </w:tcPr>
        <w:p w:rsidR="00017990" w:rsidRPr="00017990" w:rsidRDefault="00017990" w:rsidP="00B268FC">
          <w:pPr>
            <w:pStyle w:val="Header"/>
            <w:jc w:val="right"/>
            <w:rPr>
              <w:rFonts w:asciiTheme="majorHAnsi" w:eastAsiaTheme="majorEastAsia" w:hAnsiTheme="majorHAnsi" w:cstheme="majorBidi"/>
              <w:b/>
              <w:bCs/>
              <w:color w:val="4F81BD" w:themeColor="accent1"/>
            </w:rPr>
          </w:pPr>
          <w:r w:rsidRPr="00017990">
            <w:rPr>
              <w:rFonts w:asciiTheme="majorHAnsi" w:eastAsiaTheme="majorEastAsia" w:hAnsiTheme="majorHAnsi" w:cstheme="majorBidi"/>
              <w:b/>
              <w:bCs/>
              <w:color w:val="4F81BD" w:themeColor="accent1"/>
            </w:rPr>
            <w:t>Doc # P802.</w:t>
          </w:r>
          <w:r w:rsidRPr="00017990">
            <w:t xml:space="preserve"> </w:t>
          </w:r>
          <w:r w:rsidRPr="00017990">
            <w:rPr>
              <w:rFonts w:asciiTheme="majorHAnsi" w:eastAsiaTheme="majorEastAsia" w:hAnsiTheme="majorHAnsi" w:cstheme="majorBidi"/>
              <w:b/>
              <w:bCs/>
              <w:color w:val="4F81BD" w:themeColor="accent1"/>
            </w:rPr>
            <w:t>15-11-0049-0</w:t>
          </w:r>
          <w:r w:rsidR="00B268FC">
            <w:rPr>
              <w:rFonts w:asciiTheme="majorHAnsi" w:eastAsiaTheme="majorEastAsia" w:hAnsiTheme="majorHAnsi" w:cstheme="majorBidi"/>
              <w:b/>
              <w:bCs/>
              <w:color w:val="4F81BD" w:themeColor="accent1"/>
            </w:rPr>
            <w:t>1</w:t>
          </w:r>
          <w:r w:rsidRPr="00017990">
            <w:rPr>
              <w:rFonts w:asciiTheme="majorHAnsi" w:eastAsiaTheme="majorEastAsia" w:hAnsiTheme="majorHAnsi" w:cstheme="majorBidi"/>
              <w:b/>
              <w:bCs/>
              <w:color w:val="4F81BD" w:themeColor="accent1"/>
            </w:rPr>
            <w:t>-004g</w:t>
          </w:r>
        </w:p>
      </w:tc>
    </w:tr>
  </w:tbl>
  <w:p w:rsidR="00136276" w:rsidRDefault="00136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E21"/>
    <w:multiLevelType w:val="hybridMultilevel"/>
    <w:tmpl w:val="766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B54CA"/>
    <w:multiLevelType w:val="hybridMultilevel"/>
    <w:tmpl w:val="13701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637189"/>
    <w:rsid w:val="00017990"/>
    <w:rsid w:val="000A0095"/>
    <w:rsid w:val="000F51E2"/>
    <w:rsid w:val="00136276"/>
    <w:rsid w:val="00160433"/>
    <w:rsid w:val="00172B68"/>
    <w:rsid w:val="001C766B"/>
    <w:rsid w:val="002177D4"/>
    <w:rsid w:val="00217A21"/>
    <w:rsid w:val="00281EE9"/>
    <w:rsid w:val="002E1898"/>
    <w:rsid w:val="002E70A1"/>
    <w:rsid w:val="0032484E"/>
    <w:rsid w:val="00370CEF"/>
    <w:rsid w:val="0038598C"/>
    <w:rsid w:val="00391612"/>
    <w:rsid w:val="00404A1D"/>
    <w:rsid w:val="00445E0A"/>
    <w:rsid w:val="00464B52"/>
    <w:rsid w:val="004845CD"/>
    <w:rsid w:val="004B3670"/>
    <w:rsid w:val="004E20C1"/>
    <w:rsid w:val="0050310E"/>
    <w:rsid w:val="00524C01"/>
    <w:rsid w:val="00551281"/>
    <w:rsid w:val="00557A2D"/>
    <w:rsid w:val="005834F4"/>
    <w:rsid w:val="005A1F21"/>
    <w:rsid w:val="005A4958"/>
    <w:rsid w:val="005C23F7"/>
    <w:rsid w:val="005C6C61"/>
    <w:rsid w:val="005C725B"/>
    <w:rsid w:val="005D05B3"/>
    <w:rsid w:val="005D2A12"/>
    <w:rsid w:val="005E4AF3"/>
    <w:rsid w:val="00637189"/>
    <w:rsid w:val="0068040F"/>
    <w:rsid w:val="0068353E"/>
    <w:rsid w:val="006A3713"/>
    <w:rsid w:val="006C3B62"/>
    <w:rsid w:val="006D6704"/>
    <w:rsid w:val="007164FF"/>
    <w:rsid w:val="007D0D23"/>
    <w:rsid w:val="007D161C"/>
    <w:rsid w:val="007F2706"/>
    <w:rsid w:val="00805750"/>
    <w:rsid w:val="00844284"/>
    <w:rsid w:val="008E41DC"/>
    <w:rsid w:val="00914CD6"/>
    <w:rsid w:val="009529D5"/>
    <w:rsid w:val="00994368"/>
    <w:rsid w:val="009A7AC3"/>
    <w:rsid w:val="009C1C4F"/>
    <w:rsid w:val="00A45FBF"/>
    <w:rsid w:val="00AA01B1"/>
    <w:rsid w:val="00AF22D8"/>
    <w:rsid w:val="00B268FC"/>
    <w:rsid w:val="00B279A8"/>
    <w:rsid w:val="00B413D6"/>
    <w:rsid w:val="00BC7ABB"/>
    <w:rsid w:val="00BF5486"/>
    <w:rsid w:val="00C3769C"/>
    <w:rsid w:val="00C502CF"/>
    <w:rsid w:val="00CB3FDC"/>
    <w:rsid w:val="00CF7112"/>
    <w:rsid w:val="00D14A8F"/>
    <w:rsid w:val="00D348EE"/>
    <w:rsid w:val="00D706C9"/>
    <w:rsid w:val="00DF08E6"/>
    <w:rsid w:val="00E13406"/>
    <w:rsid w:val="00E27562"/>
    <w:rsid w:val="00E44D9D"/>
    <w:rsid w:val="00E82313"/>
    <w:rsid w:val="00E8427E"/>
    <w:rsid w:val="00EA1757"/>
    <w:rsid w:val="00EC3392"/>
    <w:rsid w:val="00F078D4"/>
    <w:rsid w:val="00F22B2A"/>
    <w:rsid w:val="00F26AC9"/>
    <w:rsid w:val="00F3065E"/>
    <w:rsid w:val="00F362AD"/>
    <w:rsid w:val="00F52101"/>
    <w:rsid w:val="00F56ECB"/>
    <w:rsid w:val="00FA17AB"/>
    <w:rsid w:val="00FC196B"/>
    <w:rsid w:val="00FD0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style>
  <w:style w:type="paragraph" w:styleId="Heading1">
    <w:name w:val="heading 1"/>
    <w:basedOn w:val="Normal"/>
    <w:next w:val="Normal"/>
    <w:link w:val="Heading1Char"/>
    <w:uiPriority w:val="9"/>
    <w:qFormat/>
    <w:rsid w:val="00464B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4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06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371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37189"/>
    <w:rPr>
      <w:rFonts w:asciiTheme="majorHAnsi" w:eastAsiaTheme="majorEastAsia" w:hAnsiTheme="majorHAnsi" w:cstheme="majorBidi"/>
      <w:color w:val="17365D" w:themeColor="text2" w:themeShade="BF"/>
      <w:spacing w:val="5"/>
      <w:kern w:val="28"/>
      <w:sz w:val="44"/>
      <w:szCs w:val="52"/>
    </w:rPr>
  </w:style>
  <w:style w:type="paragraph" w:styleId="ListParagraph">
    <w:name w:val="List Paragraph"/>
    <w:basedOn w:val="Normal"/>
    <w:uiPriority w:val="34"/>
    <w:qFormat/>
    <w:rsid w:val="00637189"/>
    <w:pPr>
      <w:ind w:left="720"/>
      <w:contextualSpacing/>
    </w:pPr>
  </w:style>
  <w:style w:type="paragraph" w:styleId="NoSpacing">
    <w:name w:val="No Spacing"/>
    <w:link w:val="NoSpacingChar"/>
    <w:uiPriority w:val="1"/>
    <w:qFormat/>
    <w:rsid w:val="00E27562"/>
    <w:pPr>
      <w:spacing w:after="0" w:line="240" w:lineRule="auto"/>
    </w:pPr>
  </w:style>
  <w:style w:type="paragraph" w:styleId="Subtitle">
    <w:name w:val="Subtitle"/>
    <w:basedOn w:val="Normal"/>
    <w:next w:val="Normal"/>
    <w:link w:val="SubtitleChar"/>
    <w:uiPriority w:val="11"/>
    <w:qFormat/>
    <w:rsid w:val="00E275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756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E27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4B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4B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065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36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276"/>
    <w:rPr>
      <w:sz w:val="20"/>
      <w:szCs w:val="20"/>
    </w:rPr>
  </w:style>
  <w:style w:type="character" w:styleId="FootnoteReference">
    <w:name w:val="footnote reference"/>
    <w:basedOn w:val="DefaultParagraphFont"/>
    <w:uiPriority w:val="99"/>
    <w:semiHidden/>
    <w:unhideWhenUsed/>
    <w:rsid w:val="00136276"/>
    <w:rPr>
      <w:vertAlign w:val="superscript"/>
    </w:rPr>
  </w:style>
  <w:style w:type="paragraph" w:styleId="Header">
    <w:name w:val="header"/>
    <w:basedOn w:val="Normal"/>
    <w:link w:val="HeaderChar"/>
    <w:uiPriority w:val="99"/>
    <w:unhideWhenUsed/>
    <w:rsid w:val="0013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76"/>
  </w:style>
  <w:style w:type="paragraph" w:styleId="Footer">
    <w:name w:val="footer"/>
    <w:basedOn w:val="Normal"/>
    <w:link w:val="FooterChar"/>
    <w:unhideWhenUsed/>
    <w:rsid w:val="001362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276"/>
  </w:style>
  <w:style w:type="paragraph" w:styleId="BalloonText">
    <w:name w:val="Balloon Text"/>
    <w:basedOn w:val="Normal"/>
    <w:link w:val="BalloonTextChar"/>
    <w:uiPriority w:val="99"/>
    <w:semiHidden/>
    <w:unhideWhenUsed/>
    <w:rsid w:val="00136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76"/>
    <w:rPr>
      <w:rFonts w:ascii="Tahoma" w:hAnsi="Tahoma" w:cs="Tahoma"/>
      <w:sz w:val="16"/>
      <w:szCs w:val="16"/>
    </w:rPr>
  </w:style>
  <w:style w:type="character" w:customStyle="1" w:styleId="NoSpacingChar">
    <w:name w:val="No Spacing Char"/>
    <w:basedOn w:val="DefaultParagraphFont"/>
    <w:link w:val="NoSpacing"/>
    <w:uiPriority w:val="1"/>
    <w:rsid w:val="00136276"/>
  </w:style>
  <w:style w:type="paragraph" w:styleId="HTMLPreformatted">
    <w:name w:val="HTML Preformatted"/>
    <w:basedOn w:val="Normal"/>
    <w:link w:val="HTMLPreformattedChar"/>
    <w:uiPriority w:val="99"/>
    <w:semiHidden/>
    <w:unhideWhenUsed/>
    <w:rsid w:val="00E8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2313"/>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F26AC9"/>
    <w:pPr>
      <w:outlineLvl w:val="9"/>
    </w:pPr>
  </w:style>
  <w:style w:type="paragraph" w:styleId="TOC2">
    <w:name w:val="toc 2"/>
    <w:basedOn w:val="Normal"/>
    <w:next w:val="Normal"/>
    <w:autoRedefine/>
    <w:uiPriority w:val="39"/>
    <w:unhideWhenUsed/>
    <w:qFormat/>
    <w:rsid w:val="00F26AC9"/>
    <w:pPr>
      <w:spacing w:after="100"/>
      <w:ind w:left="220"/>
    </w:pPr>
    <w:rPr>
      <w:rFonts w:eastAsiaTheme="minorEastAsia"/>
    </w:rPr>
  </w:style>
  <w:style w:type="paragraph" w:styleId="TOC1">
    <w:name w:val="toc 1"/>
    <w:basedOn w:val="Normal"/>
    <w:next w:val="Normal"/>
    <w:autoRedefine/>
    <w:uiPriority w:val="39"/>
    <w:unhideWhenUsed/>
    <w:qFormat/>
    <w:rsid w:val="00F26AC9"/>
    <w:pPr>
      <w:spacing w:after="100"/>
    </w:pPr>
    <w:rPr>
      <w:rFonts w:eastAsiaTheme="minorEastAsia"/>
    </w:rPr>
  </w:style>
  <w:style w:type="paragraph" w:styleId="TOC3">
    <w:name w:val="toc 3"/>
    <w:basedOn w:val="Normal"/>
    <w:next w:val="Normal"/>
    <w:autoRedefine/>
    <w:uiPriority w:val="39"/>
    <w:unhideWhenUsed/>
    <w:qFormat/>
    <w:rsid w:val="00F26AC9"/>
    <w:pPr>
      <w:spacing w:after="100"/>
      <w:ind w:left="440"/>
    </w:pPr>
    <w:rPr>
      <w:rFonts w:eastAsiaTheme="minorEastAsia"/>
    </w:rPr>
  </w:style>
  <w:style w:type="character" w:styleId="Hyperlink">
    <w:name w:val="Hyperlink"/>
    <w:basedOn w:val="DefaultParagraphFont"/>
    <w:uiPriority w:val="99"/>
    <w:unhideWhenUsed/>
    <w:rsid w:val="00F26AC9"/>
    <w:rPr>
      <w:color w:val="0000FF" w:themeColor="hyperlink"/>
      <w:u w:val="single"/>
    </w:rPr>
  </w:style>
  <w:style w:type="paragraph" w:customStyle="1" w:styleId="Standard">
    <w:name w:val="Standard"/>
    <w:rsid w:val="00017990"/>
    <w:pPr>
      <w:widowControl w:val="0"/>
      <w:suppressAutoHyphens/>
      <w:autoSpaceDN w:val="0"/>
      <w:spacing w:after="0" w:line="240" w:lineRule="auto"/>
      <w:textAlignment w:val="baseline"/>
    </w:pPr>
    <w:rPr>
      <w:rFonts w:ascii="Times New Roman" w:eastAsia="Times New Roman" w:hAnsi="Times New Roman" w:cs="New York"/>
      <w:kern w:val="3"/>
      <w:sz w:val="24"/>
      <w:szCs w:val="20"/>
      <w:lang w:eastAsia="zh-CN" w:bidi="hi-IN"/>
    </w:rPr>
  </w:style>
  <w:style w:type="paragraph" w:customStyle="1" w:styleId="covertext">
    <w:name w:val="cover text"/>
    <w:basedOn w:val="Standard"/>
    <w:rsid w:val="00017990"/>
    <w:pPr>
      <w:spacing w:before="120" w:after="120"/>
    </w:pPr>
  </w:style>
</w:styles>
</file>

<file path=word/webSettings.xml><?xml version="1.0" encoding="utf-8"?>
<w:webSettings xmlns:r="http://schemas.openxmlformats.org/officeDocument/2006/relationships" xmlns:w="http://schemas.openxmlformats.org/wordprocessingml/2006/main">
  <w:divs>
    <w:div w:id="6562289">
      <w:bodyDiv w:val="1"/>
      <w:marLeft w:val="0"/>
      <w:marRight w:val="0"/>
      <w:marTop w:val="0"/>
      <w:marBottom w:val="0"/>
      <w:divBdr>
        <w:top w:val="none" w:sz="0" w:space="0" w:color="auto"/>
        <w:left w:val="none" w:sz="0" w:space="0" w:color="auto"/>
        <w:bottom w:val="none" w:sz="0" w:space="0" w:color="auto"/>
        <w:right w:val="none" w:sz="0" w:space="0" w:color="auto"/>
      </w:divBdr>
    </w:div>
    <w:div w:id="963149786">
      <w:bodyDiv w:val="1"/>
      <w:marLeft w:val="0"/>
      <w:marRight w:val="0"/>
      <w:marTop w:val="0"/>
      <w:marBottom w:val="0"/>
      <w:divBdr>
        <w:top w:val="none" w:sz="0" w:space="0" w:color="auto"/>
        <w:left w:val="none" w:sz="0" w:space="0" w:color="auto"/>
        <w:bottom w:val="none" w:sz="0" w:space="0" w:color="auto"/>
        <w:right w:val="none" w:sz="0" w:space="0" w:color="auto"/>
      </w:divBdr>
    </w:div>
    <w:div w:id="1415014058">
      <w:bodyDiv w:val="1"/>
      <w:marLeft w:val="0"/>
      <w:marRight w:val="0"/>
      <w:marTop w:val="0"/>
      <w:marBottom w:val="0"/>
      <w:divBdr>
        <w:top w:val="none" w:sz="0" w:space="0" w:color="auto"/>
        <w:left w:val="none" w:sz="0" w:space="0" w:color="auto"/>
        <w:bottom w:val="none" w:sz="0" w:space="0" w:color="auto"/>
        <w:right w:val="none" w:sz="0" w:space="0" w:color="auto"/>
      </w:divBdr>
    </w:div>
    <w:div w:id="16588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0D939E9217486EAEB04D4F1C6348FC"/>
        <w:category>
          <w:name w:val="General"/>
          <w:gallery w:val="placeholder"/>
        </w:category>
        <w:types>
          <w:type w:val="bbPlcHdr"/>
        </w:types>
        <w:behaviors>
          <w:behavior w:val="content"/>
        </w:behaviors>
        <w:guid w:val="{517B702E-0A46-4F69-9BC0-D2F4B9DAAA87}"/>
      </w:docPartPr>
      <w:docPartBody>
        <w:p w:rsidR="00000000" w:rsidRDefault="00640599" w:rsidP="00640599">
          <w:pPr>
            <w:pStyle w:val="930D939E9217486EAEB04D4F1C6348FC"/>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3851"/>
    <w:rsid w:val="000A2F5D"/>
    <w:rsid w:val="000E55BB"/>
    <w:rsid w:val="00640599"/>
    <w:rsid w:val="00B63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BAEC867104B3BAA62FE912DA44ED7">
    <w:name w:val="B84BAEC867104B3BAA62FE912DA44ED7"/>
    <w:rsid w:val="00B63851"/>
  </w:style>
  <w:style w:type="paragraph" w:customStyle="1" w:styleId="B92C5E0FCE5949AEAC76769CE1EB5A3B">
    <w:name w:val="B92C5E0FCE5949AEAC76769CE1EB5A3B"/>
    <w:rsid w:val="00B63851"/>
  </w:style>
  <w:style w:type="paragraph" w:customStyle="1" w:styleId="DD95E198964A488DAC88CD931215C414">
    <w:name w:val="DD95E198964A488DAC88CD931215C414"/>
    <w:rsid w:val="000A2F5D"/>
  </w:style>
  <w:style w:type="paragraph" w:customStyle="1" w:styleId="7AF0F99437F24006B55B78B4E0B862B6">
    <w:name w:val="7AF0F99437F24006B55B78B4E0B862B6"/>
    <w:rsid w:val="000A2F5D"/>
  </w:style>
  <w:style w:type="paragraph" w:customStyle="1" w:styleId="901F35E72CE04FEC87C54F93E13A027D">
    <w:name w:val="901F35E72CE04FEC87C54F93E13A027D"/>
    <w:rsid w:val="000A2F5D"/>
  </w:style>
  <w:style w:type="paragraph" w:customStyle="1" w:styleId="55A6E9D402D340CEAA029B5AF2853272">
    <w:name w:val="55A6E9D402D340CEAA029B5AF2853272"/>
    <w:rsid w:val="000A2F5D"/>
  </w:style>
  <w:style w:type="paragraph" w:customStyle="1" w:styleId="C6B4E924CAAF4BC1AD7590DC55768991">
    <w:name w:val="C6B4E924CAAF4BC1AD7590DC55768991"/>
    <w:rsid w:val="000A2F5D"/>
  </w:style>
  <w:style w:type="paragraph" w:customStyle="1" w:styleId="83DDD80913E9441D86ADA2CFD35B00CC">
    <w:name w:val="83DDD80913E9441D86ADA2CFD35B00CC"/>
    <w:rsid w:val="000A2F5D"/>
  </w:style>
  <w:style w:type="paragraph" w:customStyle="1" w:styleId="930D939E9217486EAEB04D4F1C6348FC">
    <w:name w:val="930D939E9217486EAEB04D4F1C6348FC"/>
    <w:rsid w:val="006405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575450-C6D7-4C31-BBCC-39647E46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TG4g January 2011Ad-hoc Meeting Minutes</vt:lpstr>
    </vt:vector>
  </TitlesOfParts>
  <Company>Hewlett-Packard</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13,14 2011</dc:title>
  <dc:creator>Ben</dc:creator>
  <cp:lastModifiedBy>Ben</cp:lastModifiedBy>
  <cp:revision>4</cp:revision>
  <dcterms:created xsi:type="dcterms:W3CDTF">2011-01-17T22:14:00Z</dcterms:created>
  <dcterms:modified xsi:type="dcterms:W3CDTF">2011-01-17T22:19:00Z</dcterms:modified>
</cp:coreProperties>
</file>