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66" w:rsidRPr="00652360" w:rsidRDefault="00874B66">
      <w:pPr>
        <w:pStyle w:val="Title"/>
        <w:rPr>
          <w:color w:val="000000"/>
        </w:rPr>
      </w:pPr>
      <w:r w:rsidRPr="00652360">
        <w:rPr>
          <w:color w:val="000000"/>
        </w:rPr>
        <w:t>IEEE P802.15</w:t>
      </w:r>
    </w:p>
    <w:p w:rsidR="00874B66" w:rsidRPr="00652360" w:rsidRDefault="00874B66">
      <w:pPr>
        <w:jc w:val="center"/>
        <w:rPr>
          <w:b/>
          <w:color w:val="000000"/>
          <w:sz w:val="28"/>
        </w:rPr>
      </w:pPr>
      <w:r w:rsidRPr="00652360">
        <w:rPr>
          <w:b/>
          <w:color w:val="000000"/>
          <w:sz w:val="28"/>
        </w:rPr>
        <w:t>Wireless Personal Area Networks</w:t>
      </w:r>
    </w:p>
    <w:p w:rsidR="00874B66" w:rsidRPr="00652360" w:rsidRDefault="00874B66">
      <w:pPr>
        <w:jc w:val="center"/>
        <w:rPr>
          <w:b/>
          <w:color w:val="000000"/>
          <w:sz w:val="28"/>
        </w:rPr>
      </w:pPr>
    </w:p>
    <w:tbl>
      <w:tblPr>
        <w:tblW w:w="0" w:type="auto"/>
        <w:tblInd w:w="108" w:type="dxa"/>
        <w:tblLayout w:type="fixed"/>
        <w:tblLook w:val="0000"/>
      </w:tblPr>
      <w:tblGrid>
        <w:gridCol w:w="1260"/>
        <w:gridCol w:w="3510"/>
        <w:gridCol w:w="4680"/>
      </w:tblGrid>
      <w:tr w:rsidR="00874B66" w:rsidRPr="00652360">
        <w:tblPrEx>
          <w:tblCellMar>
            <w:top w:w="0" w:type="dxa"/>
            <w:bottom w:w="0" w:type="dxa"/>
          </w:tblCellMar>
        </w:tblPrEx>
        <w:tc>
          <w:tcPr>
            <w:tcW w:w="1260" w:type="dxa"/>
            <w:tcBorders>
              <w:top w:val="single" w:sz="6" w:space="0" w:color="auto"/>
            </w:tcBorders>
          </w:tcPr>
          <w:p w:rsidR="00874B66" w:rsidRPr="00652360" w:rsidRDefault="00874B66">
            <w:pPr>
              <w:pStyle w:val="covertext"/>
              <w:rPr>
                <w:color w:val="000000"/>
              </w:rPr>
            </w:pPr>
            <w:r w:rsidRPr="00652360">
              <w:rPr>
                <w:color w:val="000000"/>
              </w:rPr>
              <w:t>Project</w:t>
            </w:r>
          </w:p>
        </w:tc>
        <w:tc>
          <w:tcPr>
            <w:tcW w:w="8190" w:type="dxa"/>
            <w:gridSpan w:val="2"/>
            <w:tcBorders>
              <w:top w:val="single" w:sz="6" w:space="0" w:color="auto"/>
            </w:tcBorders>
          </w:tcPr>
          <w:p w:rsidR="00874B66" w:rsidRPr="00652360" w:rsidRDefault="00874B66">
            <w:pPr>
              <w:pStyle w:val="covertext"/>
              <w:rPr>
                <w:color w:val="000000"/>
              </w:rPr>
            </w:pPr>
            <w:r w:rsidRPr="00652360">
              <w:rPr>
                <w:color w:val="000000"/>
              </w:rPr>
              <w:t>IEEE P802.15 Working Group for Wireless Personal Area Networks (WPANs)</w:t>
            </w:r>
          </w:p>
        </w:tc>
      </w:tr>
      <w:tr w:rsidR="00874B66" w:rsidRPr="00652360">
        <w:tblPrEx>
          <w:tblCellMar>
            <w:top w:w="0" w:type="dxa"/>
            <w:bottom w:w="0" w:type="dxa"/>
          </w:tblCellMar>
        </w:tblPrEx>
        <w:tc>
          <w:tcPr>
            <w:tcW w:w="1260" w:type="dxa"/>
            <w:tcBorders>
              <w:top w:val="single" w:sz="6" w:space="0" w:color="auto"/>
            </w:tcBorders>
          </w:tcPr>
          <w:p w:rsidR="00874B66" w:rsidRPr="00652360" w:rsidRDefault="00874B66">
            <w:pPr>
              <w:pStyle w:val="covertext"/>
              <w:rPr>
                <w:color w:val="000000"/>
              </w:rPr>
            </w:pPr>
            <w:r w:rsidRPr="00652360">
              <w:rPr>
                <w:color w:val="000000"/>
              </w:rPr>
              <w:t>Title</w:t>
            </w:r>
          </w:p>
        </w:tc>
        <w:tc>
          <w:tcPr>
            <w:tcW w:w="8190" w:type="dxa"/>
            <w:gridSpan w:val="2"/>
            <w:tcBorders>
              <w:top w:val="single" w:sz="6" w:space="0" w:color="auto"/>
            </w:tcBorders>
          </w:tcPr>
          <w:p w:rsidR="00874B66" w:rsidRPr="00652360" w:rsidRDefault="00256230">
            <w:pPr>
              <w:pStyle w:val="covertext"/>
              <w:rPr>
                <w:color w:val="000000"/>
              </w:rPr>
            </w:pPr>
            <w:r>
              <w:rPr>
                <w:b/>
                <w:color w:val="000000"/>
                <w:sz w:val="28"/>
              </w:rPr>
              <w:t>Corrigendum</w:t>
            </w:r>
            <w:r w:rsidR="00874B66">
              <w:rPr>
                <w:b/>
                <w:color w:val="000000"/>
                <w:sz w:val="28"/>
              </w:rPr>
              <w:t xml:space="preserve"> Worksheet</w:t>
            </w:r>
          </w:p>
        </w:tc>
      </w:tr>
      <w:tr w:rsidR="00874B66" w:rsidRPr="00652360">
        <w:tblPrEx>
          <w:tblCellMar>
            <w:top w:w="0" w:type="dxa"/>
            <w:bottom w:w="0" w:type="dxa"/>
          </w:tblCellMar>
        </w:tblPrEx>
        <w:tc>
          <w:tcPr>
            <w:tcW w:w="1260" w:type="dxa"/>
            <w:tcBorders>
              <w:top w:val="single" w:sz="6" w:space="0" w:color="auto"/>
            </w:tcBorders>
          </w:tcPr>
          <w:p w:rsidR="00874B66" w:rsidRPr="00652360" w:rsidRDefault="00874B66">
            <w:pPr>
              <w:pStyle w:val="covertext"/>
              <w:rPr>
                <w:color w:val="000000"/>
              </w:rPr>
            </w:pPr>
            <w:r w:rsidRPr="00652360">
              <w:rPr>
                <w:color w:val="000000"/>
              </w:rPr>
              <w:t>Date Submitted</w:t>
            </w:r>
          </w:p>
        </w:tc>
        <w:tc>
          <w:tcPr>
            <w:tcW w:w="8190" w:type="dxa"/>
            <w:gridSpan w:val="2"/>
            <w:tcBorders>
              <w:top w:val="single" w:sz="6" w:space="0" w:color="auto"/>
            </w:tcBorders>
          </w:tcPr>
          <w:p w:rsidR="00874B66" w:rsidRPr="00652360" w:rsidRDefault="00256230" w:rsidP="00256230">
            <w:pPr>
              <w:pStyle w:val="covertext"/>
              <w:rPr>
                <w:color w:val="000000"/>
              </w:rPr>
            </w:pPr>
            <w:r>
              <w:rPr>
                <w:color w:val="000000"/>
              </w:rPr>
              <w:t>18</w:t>
            </w:r>
            <w:r w:rsidR="00874B66" w:rsidRPr="00652360">
              <w:rPr>
                <w:color w:val="000000"/>
              </w:rPr>
              <w:t xml:space="preserve"> </w:t>
            </w:r>
            <w:r>
              <w:rPr>
                <w:color w:val="000000"/>
              </w:rPr>
              <w:t>November</w:t>
            </w:r>
            <w:r w:rsidR="00874B66" w:rsidRPr="00652360">
              <w:rPr>
                <w:color w:val="000000"/>
              </w:rPr>
              <w:t>, 200</w:t>
            </w:r>
            <w:r>
              <w:rPr>
                <w:color w:val="000000"/>
              </w:rPr>
              <w:t>9</w:t>
            </w:r>
          </w:p>
        </w:tc>
      </w:tr>
      <w:tr w:rsidR="00874B66" w:rsidRPr="00652360">
        <w:tblPrEx>
          <w:tblCellMar>
            <w:top w:w="0" w:type="dxa"/>
            <w:bottom w:w="0" w:type="dxa"/>
          </w:tblCellMar>
        </w:tblPrEx>
        <w:trPr>
          <w:trHeight w:val="998"/>
        </w:trPr>
        <w:tc>
          <w:tcPr>
            <w:tcW w:w="1260" w:type="dxa"/>
            <w:tcBorders>
              <w:top w:val="single" w:sz="4" w:space="0" w:color="auto"/>
              <w:bottom w:val="single" w:sz="4" w:space="0" w:color="auto"/>
            </w:tcBorders>
          </w:tcPr>
          <w:p w:rsidR="00874B66" w:rsidRPr="00652360" w:rsidRDefault="00874B66">
            <w:pPr>
              <w:pStyle w:val="covertext"/>
              <w:rPr>
                <w:color w:val="000000"/>
              </w:rPr>
            </w:pPr>
            <w:r w:rsidRPr="00652360">
              <w:rPr>
                <w:color w:val="000000"/>
              </w:rPr>
              <w:t>Source</w:t>
            </w:r>
          </w:p>
        </w:tc>
        <w:tc>
          <w:tcPr>
            <w:tcW w:w="3510" w:type="dxa"/>
            <w:tcBorders>
              <w:top w:val="single" w:sz="4" w:space="0" w:color="auto"/>
              <w:bottom w:val="single" w:sz="4" w:space="0" w:color="auto"/>
            </w:tcBorders>
          </w:tcPr>
          <w:p w:rsidR="00874B66" w:rsidRPr="00652360" w:rsidRDefault="00874B66">
            <w:pPr>
              <w:pStyle w:val="covertext"/>
              <w:spacing w:before="0" w:after="0"/>
              <w:rPr>
                <w:color w:val="000000"/>
                <w:lang w:val="fr-FR"/>
              </w:rPr>
            </w:pPr>
            <w:r w:rsidRPr="00652360">
              <w:rPr>
                <w:color w:val="000000"/>
              </w:rPr>
              <w:t>[Pat Kinney]</w:t>
            </w:r>
            <w:r w:rsidRPr="00652360">
              <w:rPr>
                <w:color w:val="000000"/>
              </w:rPr>
              <w:br/>
              <w:t>[Kinney Consulting LLC]</w:t>
            </w:r>
            <w:r w:rsidRPr="00652360">
              <w:rPr>
                <w:color w:val="000000"/>
              </w:rPr>
              <w:br/>
              <w:t>[</w:t>
            </w:r>
            <w:r>
              <w:rPr>
                <w:color w:val="000000"/>
              </w:rPr>
              <w:t>Lake Zurich</w:t>
            </w:r>
            <w:r w:rsidRPr="00652360">
              <w:rPr>
                <w:color w:val="000000"/>
              </w:rPr>
              <w:t>, IL]</w:t>
            </w:r>
          </w:p>
        </w:tc>
        <w:tc>
          <w:tcPr>
            <w:tcW w:w="4680" w:type="dxa"/>
            <w:tcBorders>
              <w:top w:val="single" w:sz="4" w:space="0" w:color="auto"/>
              <w:bottom w:val="single" w:sz="4" w:space="0" w:color="auto"/>
            </w:tcBorders>
          </w:tcPr>
          <w:p w:rsidR="00874B66" w:rsidRPr="00652360" w:rsidRDefault="00874B66">
            <w:pPr>
              <w:pStyle w:val="covertext"/>
              <w:tabs>
                <w:tab w:val="left" w:pos="1152"/>
              </w:tabs>
              <w:spacing w:before="0" w:after="0"/>
              <w:rPr>
                <w:color w:val="000000"/>
                <w:lang w:val="fr-FR"/>
              </w:rPr>
            </w:pPr>
            <w:r w:rsidRPr="00652360">
              <w:rPr>
                <w:color w:val="000000"/>
                <w:lang w:val="fr-FR"/>
              </w:rPr>
              <w:t>Voice:</w:t>
            </w:r>
            <w:r w:rsidRPr="00652360">
              <w:rPr>
                <w:color w:val="000000"/>
                <w:lang w:val="fr-FR"/>
              </w:rPr>
              <w:tab/>
              <w:t>[+1 847 960 3715</w:t>
            </w:r>
            <w:proofErr w:type="gramStart"/>
            <w:r w:rsidRPr="00652360">
              <w:rPr>
                <w:color w:val="000000"/>
                <w:lang w:val="fr-FR"/>
              </w:rPr>
              <w:t>]</w:t>
            </w:r>
            <w:proofErr w:type="gramEnd"/>
            <w:r w:rsidRPr="00652360">
              <w:rPr>
                <w:color w:val="000000"/>
                <w:lang w:val="fr-FR"/>
              </w:rPr>
              <w:br/>
              <w:t xml:space="preserve">E-mail:       </w:t>
            </w:r>
            <w:r w:rsidRPr="00652360">
              <w:rPr>
                <w:color w:val="000000"/>
                <w:sz w:val="8"/>
                <w:lang w:val="fr-FR"/>
              </w:rPr>
              <w:t xml:space="preserve"> </w:t>
            </w:r>
            <w:r w:rsidRPr="00652360">
              <w:rPr>
                <w:color w:val="000000"/>
                <w:lang w:val="fr-FR"/>
              </w:rPr>
              <w:t>[pat.kinney@ieee.org]</w:t>
            </w:r>
          </w:p>
          <w:p w:rsidR="00874B66" w:rsidRPr="00652360" w:rsidRDefault="00874B66">
            <w:pPr>
              <w:pStyle w:val="covertext"/>
              <w:tabs>
                <w:tab w:val="left" w:pos="1152"/>
              </w:tabs>
              <w:spacing w:before="0" w:after="0"/>
              <w:rPr>
                <w:color w:val="000000"/>
                <w:lang w:val="fr-FR"/>
              </w:rPr>
            </w:pPr>
          </w:p>
          <w:p w:rsidR="00874B66" w:rsidRPr="00652360" w:rsidRDefault="00874B66">
            <w:pPr>
              <w:pStyle w:val="covertext"/>
              <w:tabs>
                <w:tab w:val="left" w:pos="1152"/>
              </w:tabs>
              <w:spacing w:before="0" w:after="0"/>
              <w:rPr>
                <w:color w:val="000000"/>
                <w:sz w:val="18"/>
                <w:lang w:val="fr-FR"/>
              </w:rPr>
            </w:pPr>
          </w:p>
        </w:tc>
      </w:tr>
      <w:tr w:rsidR="00874B66" w:rsidRPr="00652360">
        <w:tblPrEx>
          <w:tblCellMar>
            <w:top w:w="0" w:type="dxa"/>
            <w:bottom w:w="0" w:type="dxa"/>
          </w:tblCellMar>
        </w:tblPrEx>
        <w:tc>
          <w:tcPr>
            <w:tcW w:w="1260" w:type="dxa"/>
            <w:tcBorders>
              <w:top w:val="single" w:sz="6" w:space="0" w:color="auto"/>
            </w:tcBorders>
          </w:tcPr>
          <w:p w:rsidR="00874B66" w:rsidRPr="00652360" w:rsidRDefault="00874B66">
            <w:pPr>
              <w:pStyle w:val="covertext"/>
              <w:rPr>
                <w:color w:val="000000"/>
              </w:rPr>
            </w:pPr>
            <w:r w:rsidRPr="00652360">
              <w:rPr>
                <w:color w:val="000000"/>
              </w:rPr>
              <w:t>Re:</w:t>
            </w:r>
          </w:p>
        </w:tc>
        <w:tc>
          <w:tcPr>
            <w:tcW w:w="8190" w:type="dxa"/>
            <w:gridSpan w:val="2"/>
            <w:tcBorders>
              <w:top w:val="single" w:sz="6" w:space="0" w:color="auto"/>
            </w:tcBorders>
          </w:tcPr>
          <w:p w:rsidR="00874B66" w:rsidRPr="00652360" w:rsidRDefault="00874B66" w:rsidP="00256230">
            <w:pPr>
              <w:pStyle w:val="covertext"/>
              <w:rPr>
                <w:color w:val="000000"/>
              </w:rPr>
            </w:pPr>
            <w:r w:rsidRPr="00652360">
              <w:rPr>
                <w:color w:val="000000"/>
              </w:rPr>
              <w:t>[</w:t>
            </w:r>
            <w:r>
              <w:rPr>
                <w:color w:val="000000"/>
              </w:rPr>
              <w:t>A committee has been formed, headed</w:t>
            </w:r>
            <w:r w:rsidR="00256230">
              <w:rPr>
                <w:color w:val="000000"/>
              </w:rPr>
              <w:t xml:space="preserve"> by Pat Kinney, vice chair of 8</w:t>
            </w:r>
            <w:r>
              <w:rPr>
                <w:color w:val="000000"/>
              </w:rPr>
              <w:t xml:space="preserve">02.15, to </w:t>
            </w:r>
            <w:r w:rsidR="00256230">
              <w:rPr>
                <w:color w:val="000000"/>
              </w:rPr>
              <w:t>address the need to correct existing standards</w:t>
            </w:r>
            <w:r>
              <w:rPr>
                <w:color w:val="000000"/>
              </w:rPr>
              <w:t xml:space="preserve"> as per IEEE rules</w:t>
            </w:r>
            <w:r w:rsidRPr="00652360">
              <w:rPr>
                <w:color w:val="000000"/>
              </w:rPr>
              <w:t>.]</w:t>
            </w:r>
          </w:p>
        </w:tc>
      </w:tr>
      <w:tr w:rsidR="00874B66" w:rsidRPr="00652360">
        <w:tblPrEx>
          <w:tblCellMar>
            <w:top w:w="0" w:type="dxa"/>
            <w:bottom w:w="0" w:type="dxa"/>
          </w:tblCellMar>
        </w:tblPrEx>
        <w:tc>
          <w:tcPr>
            <w:tcW w:w="1260" w:type="dxa"/>
            <w:tcBorders>
              <w:top w:val="single" w:sz="6" w:space="0" w:color="auto"/>
            </w:tcBorders>
          </w:tcPr>
          <w:p w:rsidR="00874B66" w:rsidRPr="00652360" w:rsidRDefault="00874B66">
            <w:pPr>
              <w:pStyle w:val="covertext"/>
              <w:rPr>
                <w:color w:val="000000"/>
              </w:rPr>
            </w:pPr>
            <w:r w:rsidRPr="00652360">
              <w:rPr>
                <w:color w:val="000000"/>
              </w:rPr>
              <w:t>Abstract</w:t>
            </w:r>
          </w:p>
        </w:tc>
        <w:tc>
          <w:tcPr>
            <w:tcW w:w="8190" w:type="dxa"/>
            <w:gridSpan w:val="2"/>
            <w:tcBorders>
              <w:top w:val="single" w:sz="6" w:space="0" w:color="auto"/>
            </w:tcBorders>
          </w:tcPr>
          <w:p w:rsidR="00874B66" w:rsidRPr="00652360" w:rsidRDefault="00874B66">
            <w:pPr>
              <w:pStyle w:val="covertext"/>
              <w:rPr>
                <w:color w:val="000000"/>
              </w:rPr>
            </w:pPr>
            <w:r w:rsidRPr="00652360">
              <w:rPr>
                <w:color w:val="000000"/>
              </w:rPr>
              <w:t>[The following submission is a call for participation, applications and proposals from the IEEE, Industry, and Academia.]</w:t>
            </w:r>
          </w:p>
        </w:tc>
      </w:tr>
      <w:tr w:rsidR="00874B66" w:rsidRPr="00652360">
        <w:tblPrEx>
          <w:tblCellMar>
            <w:top w:w="0" w:type="dxa"/>
            <w:bottom w:w="0" w:type="dxa"/>
          </w:tblCellMar>
        </w:tblPrEx>
        <w:tc>
          <w:tcPr>
            <w:tcW w:w="1260" w:type="dxa"/>
            <w:tcBorders>
              <w:top w:val="single" w:sz="6" w:space="0" w:color="auto"/>
            </w:tcBorders>
          </w:tcPr>
          <w:p w:rsidR="00874B66" w:rsidRPr="00652360" w:rsidRDefault="00874B66">
            <w:pPr>
              <w:pStyle w:val="covertext"/>
              <w:rPr>
                <w:color w:val="000000"/>
              </w:rPr>
            </w:pPr>
            <w:r w:rsidRPr="00652360">
              <w:rPr>
                <w:color w:val="000000"/>
              </w:rPr>
              <w:t>Purpose</w:t>
            </w:r>
          </w:p>
        </w:tc>
        <w:tc>
          <w:tcPr>
            <w:tcW w:w="8190" w:type="dxa"/>
            <w:gridSpan w:val="2"/>
            <w:tcBorders>
              <w:top w:val="single" w:sz="6" w:space="0" w:color="auto"/>
            </w:tcBorders>
          </w:tcPr>
          <w:p w:rsidR="00874B66" w:rsidRPr="00652360" w:rsidRDefault="00874B66" w:rsidP="00256230">
            <w:pPr>
              <w:pStyle w:val="covertext"/>
              <w:rPr>
                <w:color w:val="000000"/>
              </w:rPr>
            </w:pPr>
            <w:r w:rsidRPr="00652360">
              <w:rPr>
                <w:color w:val="000000"/>
              </w:rPr>
              <w:t xml:space="preserve">[Request for </w:t>
            </w:r>
            <w:r w:rsidR="00256230">
              <w:rPr>
                <w:color w:val="000000"/>
              </w:rPr>
              <w:t>corrigendum</w:t>
            </w:r>
            <w:r>
              <w:rPr>
                <w:color w:val="000000"/>
              </w:rPr>
              <w:t xml:space="preserve"> of </w:t>
            </w:r>
            <w:r w:rsidRPr="00652360">
              <w:rPr>
                <w:color w:val="000000"/>
              </w:rPr>
              <w:t xml:space="preserve"> the </w:t>
            </w:r>
            <w:r>
              <w:rPr>
                <w:color w:val="000000"/>
              </w:rPr>
              <w:t>IEEE 802.15.4-2006 standard</w:t>
            </w:r>
            <w:r w:rsidR="00256230">
              <w:rPr>
                <w:color w:val="000000"/>
              </w:rPr>
              <w:t xml:space="preserve"> and 802.15.4a-2007</w:t>
            </w:r>
            <w:r w:rsidRPr="00652360">
              <w:rPr>
                <w:color w:val="000000"/>
              </w:rPr>
              <w:t>]</w:t>
            </w:r>
          </w:p>
        </w:tc>
      </w:tr>
      <w:tr w:rsidR="00874B66" w:rsidRPr="00652360">
        <w:tblPrEx>
          <w:tblCellMar>
            <w:top w:w="0" w:type="dxa"/>
            <w:bottom w:w="0" w:type="dxa"/>
          </w:tblCellMar>
        </w:tblPrEx>
        <w:tc>
          <w:tcPr>
            <w:tcW w:w="1260" w:type="dxa"/>
            <w:tcBorders>
              <w:top w:val="single" w:sz="6" w:space="0" w:color="auto"/>
              <w:bottom w:val="single" w:sz="6" w:space="0" w:color="auto"/>
            </w:tcBorders>
          </w:tcPr>
          <w:p w:rsidR="00874B66" w:rsidRPr="00652360" w:rsidRDefault="00874B66">
            <w:pPr>
              <w:pStyle w:val="covertext"/>
              <w:rPr>
                <w:color w:val="000000"/>
              </w:rPr>
            </w:pPr>
            <w:r w:rsidRPr="00652360">
              <w:rPr>
                <w:color w:val="000000"/>
              </w:rPr>
              <w:t>Notice</w:t>
            </w:r>
          </w:p>
        </w:tc>
        <w:tc>
          <w:tcPr>
            <w:tcW w:w="8190" w:type="dxa"/>
            <w:gridSpan w:val="2"/>
            <w:tcBorders>
              <w:top w:val="single" w:sz="6" w:space="0" w:color="auto"/>
              <w:bottom w:val="single" w:sz="6" w:space="0" w:color="auto"/>
            </w:tcBorders>
          </w:tcPr>
          <w:p w:rsidR="00874B66" w:rsidRPr="00652360" w:rsidRDefault="00874B66">
            <w:pPr>
              <w:pStyle w:val="covertext"/>
              <w:rPr>
                <w:color w:val="000000"/>
              </w:rPr>
            </w:pPr>
            <w:r w:rsidRPr="00652360">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74B66" w:rsidRPr="00652360">
        <w:tblPrEx>
          <w:tblCellMar>
            <w:top w:w="0" w:type="dxa"/>
            <w:bottom w:w="0" w:type="dxa"/>
          </w:tblCellMar>
        </w:tblPrEx>
        <w:tc>
          <w:tcPr>
            <w:tcW w:w="1260" w:type="dxa"/>
            <w:tcBorders>
              <w:top w:val="single" w:sz="6" w:space="0" w:color="auto"/>
              <w:bottom w:val="single" w:sz="6" w:space="0" w:color="auto"/>
            </w:tcBorders>
          </w:tcPr>
          <w:p w:rsidR="00874B66" w:rsidRPr="00652360" w:rsidRDefault="00874B66">
            <w:pPr>
              <w:pStyle w:val="covertext"/>
              <w:rPr>
                <w:color w:val="000000"/>
              </w:rPr>
            </w:pPr>
            <w:r w:rsidRPr="00652360">
              <w:rPr>
                <w:color w:val="000000"/>
              </w:rPr>
              <w:t>Release</w:t>
            </w:r>
          </w:p>
        </w:tc>
        <w:tc>
          <w:tcPr>
            <w:tcW w:w="8190" w:type="dxa"/>
            <w:gridSpan w:val="2"/>
            <w:tcBorders>
              <w:top w:val="single" w:sz="6" w:space="0" w:color="auto"/>
              <w:bottom w:val="single" w:sz="6" w:space="0" w:color="auto"/>
            </w:tcBorders>
          </w:tcPr>
          <w:p w:rsidR="00874B66" w:rsidRPr="00652360" w:rsidRDefault="00874B66">
            <w:pPr>
              <w:pStyle w:val="covertext"/>
              <w:rPr>
                <w:color w:val="000000"/>
              </w:rPr>
            </w:pPr>
            <w:r w:rsidRPr="00652360">
              <w:rPr>
                <w:color w:val="000000"/>
              </w:rPr>
              <w:t>The contributor acknowledges and accepts that this contribution becomes the property of IEEE and may be made publicly available by P802.15.</w:t>
            </w:r>
          </w:p>
        </w:tc>
      </w:tr>
    </w:tbl>
    <w:p w:rsidR="00256230" w:rsidRPr="00255B82" w:rsidRDefault="00874B66" w:rsidP="00674DC5">
      <w:pPr>
        <w:tabs>
          <w:tab w:val="num" w:pos="360"/>
        </w:tabs>
        <w:rPr>
          <w:b/>
          <w:u w:val="single"/>
        </w:rPr>
      </w:pPr>
      <w:r w:rsidRPr="00652360">
        <w:rPr>
          <w:b/>
          <w:color w:val="000000"/>
          <w:u w:val="single"/>
        </w:rPr>
        <w:br w:type="page"/>
      </w:r>
      <w:r w:rsidR="00256230" w:rsidRPr="00255B82">
        <w:rPr>
          <w:b/>
          <w:u w:val="single"/>
        </w:rPr>
        <w:lastRenderedPageBreak/>
        <w:t>C</w:t>
      </w:r>
      <w:r w:rsidR="00674DC5" w:rsidRPr="00255B82">
        <w:rPr>
          <w:b/>
          <w:u w:val="single"/>
        </w:rPr>
        <w:t>orrigenda c</w:t>
      </w:r>
      <w:r w:rsidR="00256230" w:rsidRPr="00255B82">
        <w:rPr>
          <w:b/>
          <w:u w:val="single"/>
        </w:rPr>
        <w:t>ommittee members:</w:t>
      </w:r>
    </w:p>
    <w:p w:rsidR="00256230" w:rsidRPr="00647D0E" w:rsidRDefault="00256230" w:rsidP="00256230">
      <w:pPr>
        <w:numPr>
          <w:ilvl w:val="0"/>
          <w:numId w:val="12"/>
        </w:numPr>
        <w:rPr>
          <w:rFonts w:ascii="Arial" w:hAnsi="Arial"/>
          <w:sz w:val="22"/>
        </w:rPr>
      </w:pPr>
      <w:r w:rsidRPr="00647D0E">
        <w:rPr>
          <w:rFonts w:ascii="Arial" w:hAnsi="Arial"/>
          <w:sz w:val="22"/>
        </w:rPr>
        <w:t>Patrick Kinney (Kinney Consulting LLC)</w:t>
      </w:r>
    </w:p>
    <w:p w:rsidR="00256230" w:rsidRPr="00647D0E" w:rsidRDefault="00256230" w:rsidP="00256230">
      <w:pPr>
        <w:numPr>
          <w:ilvl w:val="0"/>
          <w:numId w:val="12"/>
        </w:numPr>
        <w:rPr>
          <w:rFonts w:ascii="Arial" w:hAnsi="Arial"/>
          <w:sz w:val="22"/>
        </w:rPr>
      </w:pPr>
      <w:r w:rsidRPr="00647D0E">
        <w:rPr>
          <w:rFonts w:ascii="Arial" w:hAnsi="Arial"/>
          <w:sz w:val="22"/>
        </w:rPr>
        <w:t>Phil Beecher (</w:t>
      </w:r>
      <w:r>
        <w:rPr>
          <w:rFonts w:ascii="Arial" w:hAnsi="Arial"/>
          <w:sz w:val="22"/>
        </w:rPr>
        <w:t>PB Consulting</w:t>
      </w:r>
      <w:r w:rsidRPr="00647D0E">
        <w:rPr>
          <w:rFonts w:ascii="Arial" w:hAnsi="Arial"/>
          <w:sz w:val="22"/>
        </w:rPr>
        <w:t>)</w:t>
      </w:r>
    </w:p>
    <w:p w:rsidR="00256230" w:rsidRDefault="00256230" w:rsidP="00256230">
      <w:pPr>
        <w:numPr>
          <w:ilvl w:val="0"/>
          <w:numId w:val="12"/>
        </w:numPr>
        <w:rPr>
          <w:rFonts w:ascii="Arial" w:hAnsi="Arial"/>
          <w:sz w:val="22"/>
        </w:rPr>
      </w:pPr>
      <w:r>
        <w:rPr>
          <w:rFonts w:ascii="Arial" w:hAnsi="Arial"/>
          <w:sz w:val="22"/>
        </w:rPr>
        <w:t xml:space="preserve">James </w:t>
      </w:r>
      <w:proofErr w:type="spellStart"/>
      <w:r>
        <w:rPr>
          <w:rFonts w:ascii="Arial" w:hAnsi="Arial"/>
          <w:sz w:val="22"/>
        </w:rPr>
        <w:t>Gilb</w:t>
      </w:r>
      <w:proofErr w:type="spellEnd"/>
      <w:r>
        <w:rPr>
          <w:rFonts w:ascii="Arial" w:hAnsi="Arial"/>
          <w:sz w:val="22"/>
        </w:rPr>
        <w:t xml:space="preserve"> (</w:t>
      </w:r>
      <w:proofErr w:type="spellStart"/>
      <w:r>
        <w:rPr>
          <w:rFonts w:ascii="Arial" w:hAnsi="Arial"/>
          <w:sz w:val="22"/>
        </w:rPr>
        <w:t>SiBeam</w:t>
      </w:r>
      <w:proofErr w:type="spellEnd"/>
      <w:r>
        <w:rPr>
          <w:rFonts w:ascii="Arial" w:hAnsi="Arial"/>
          <w:sz w:val="22"/>
        </w:rPr>
        <w:t>)</w:t>
      </w:r>
    </w:p>
    <w:p w:rsidR="00256230" w:rsidRPr="00647D0E" w:rsidRDefault="00256230" w:rsidP="00256230">
      <w:pPr>
        <w:numPr>
          <w:ilvl w:val="0"/>
          <w:numId w:val="12"/>
        </w:numPr>
        <w:rPr>
          <w:rFonts w:ascii="Arial" w:hAnsi="Arial"/>
          <w:sz w:val="22"/>
        </w:rPr>
      </w:pPr>
      <w:r>
        <w:rPr>
          <w:rFonts w:ascii="Arial" w:hAnsi="Arial"/>
          <w:sz w:val="22"/>
        </w:rPr>
        <w:t>Jay Bain (</w:t>
      </w:r>
      <w:proofErr w:type="spellStart"/>
      <w:r>
        <w:rPr>
          <w:rFonts w:ascii="Arial" w:hAnsi="Arial"/>
          <w:sz w:val="22"/>
        </w:rPr>
        <w:t>Fearn</w:t>
      </w:r>
      <w:proofErr w:type="spellEnd"/>
      <w:r>
        <w:rPr>
          <w:rFonts w:ascii="Arial" w:hAnsi="Arial"/>
          <w:sz w:val="22"/>
        </w:rPr>
        <w:t xml:space="preserve"> Consulting)</w:t>
      </w:r>
    </w:p>
    <w:p w:rsidR="00256230" w:rsidRPr="00647D0E" w:rsidRDefault="00256230" w:rsidP="00256230">
      <w:pPr>
        <w:pStyle w:val="PlainText"/>
        <w:rPr>
          <w:rFonts w:ascii="Arial" w:hAnsi="Arial"/>
          <w:sz w:val="22"/>
        </w:rPr>
      </w:pPr>
    </w:p>
    <w:p w:rsidR="00874B66" w:rsidRDefault="00874B66">
      <w:pPr>
        <w:rPr>
          <w:b/>
          <w:color w:val="000000"/>
          <w:u w:val="single"/>
        </w:rPr>
      </w:pPr>
      <w:r>
        <w:rPr>
          <w:b/>
          <w:color w:val="000000"/>
          <w:u w:val="single"/>
        </w:rPr>
        <w:t xml:space="preserve">Request for </w:t>
      </w:r>
      <w:r w:rsidR="00256230">
        <w:rPr>
          <w:b/>
          <w:color w:val="000000"/>
          <w:u w:val="single"/>
        </w:rPr>
        <w:t>Corrigenda</w:t>
      </w:r>
      <w:r>
        <w:rPr>
          <w:b/>
          <w:color w:val="000000"/>
          <w:u w:val="single"/>
        </w:rPr>
        <w:t>:</w:t>
      </w:r>
    </w:p>
    <w:p w:rsidR="00874B66" w:rsidRDefault="00874B66" w:rsidP="00874B66">
      <w:pPr>
        <w:ind w:left="360"/>
      </w:pPr>
    </w:p>
    <w:p w:rsidR="00874B66" w:rsidRDefault="00874B66" w:rsidP="009235B4">
      <w:pPr>
        <w:numPr>
          <w:ilvl w:val="0"/>
          <w:numId w:val="11"/>
        </w:numPr>
      </w:pPr>
      <w:r>
        <w:t>Submitted by Phil Beecher, Integration UK Ltd; 12 November 2007</w:t>
      </w:r>
    </w:p>
    <w:p w:rsidR="00874B66" w:rsidRDefault="00874B66" w:rsidP="00874B66">
      <w:pPr>
        <w:ind w:left="360"/>
      </w:pPr>
      <w:r>
        <w:t>Section 7.5.8.2.3 Incoming security processing. Sections c) and f) appear to be contradictory. How should the receiver behave when a frame is received with Security Enabled field set to 1 but when the security level in the frame is set to 0? Is this covered in c)? If so, what does f) refer to?</w:t>
      </w:r>
    </w:p>
    <w:p w:rsidR="00874B66" w:rsidRDefault="00874B66" w:rsidP="00874B66"/>
    <w:p w:rsidR="00874B66" w:rsidRDefault="00874B66" w:rsidP="009235B4">
      <w:pPr>
        <w:numPr>
          <w:ilvl w:val="0"/>
          <w:numId w:val="11"/>
        </w:numPr>
      </w:pPr>
      <w:r>
        <w:t>Submitted by Phil Beecher, Integration UK Ltd; 12 November 2007</w:t>
      </w:r>
    </w:p>
    <w:p w:rsidR="00874B66" w:rsidRDefault="00874B66" w:rsidP="00874B66">
      <w:pPr>
        <w:ind w:left="360"/>
      </w:pPr>
      <w:r>
        <w:t xml:space="preserve">We have been looking at the PHY section of 15.4-2006.  Section 6.1.2.2 Channel pages references </w:t>
      </w:r>
      <w:proofErr w:type="spellStart"/>
      <w:r>
        <w:t>phyPagesSupported</w:t>
      </w:r>
      <w:proofErr w:type="spellEnd"/>
      <w:r>
        <w:t xml:space="preserve"> in the PHY PIB, but I cannot find it in the PIB. Was this an omission? Did it ever get given an attribute ID value? </w:t>
      </w:r>
    </w:p>
    <w:p w:rsidR="00874B66" w:rsidRDefault="00874B66">
      <w:pPr>
        <w:pStyle w:val="PlainText"/>
      </w:pPr>
    </w:p>
    <w:p w:rsidR="00874B66" w:rsidRDefault="00874B66" w:rsidP="009235B4">
      <w:pPr>
        <w:numPr>
          <w:ilvl w:val="0"/>
          <w:numId w:val="11"/>
        </w:numPr>
      </w:pPr>
      <w:r>
        <w:t>Submitted by Phil Beecher, Integration UK Ltd; 8 January 2008</w:t>
      </w:r>
    </w:p>
    <w:p w:rsidR="00874B66" w:rsidRDefault="00874B66" w:rsidP="00874B66">
      <w:pPr>
        <w:tabs>
          <w:tab w:val="num" w:pos="360"/>
        </w:tabs>
        <w:ind w:left="360"/>
      </w:pPr>
      <w:r>
        <w:t xml:space="preserve">I think there is another problem with 15.4-2006, this time concerning association.  The spec describes the </w:t>
      </w:r>
      <w:proofErr w:type="spellStart"/>
      <w:r>
        <w:t>behaviour</w:t>
      </w:r>
      <w:proofErr w:type="spellEnd"/>
      <w:r>
        <w:t xml:space="preserve"> when a device disassociates, also when the coordinator refuses the association request, but it does not describe what should happen if a communication error occurs during the association process, causing the process to fail. I believe this was an oversight in the spec and that the </w:t>
      </w:r>
      <w:proofErr w:type="spellStart"/>
      <w:r>
        <w:t>behaviour</w:t>
      </w:r>
      <w:proofErr w:type="spellEnd"/>
      <w:r>
        <w:t xml:space="preserve"> should be described.</w:t>
      </w:r>
    </w:p>
    <w:p w:rsidR="00874B66" w:rsidRDefault="00874B66" w:rsidP="00874B66">
      <w:pPr>
        <w:tabs>
          <w:tab w:val="num" w:pos="360"/>
        </w:tabs>
        <w:ind w:left="360"/>
      </w:pPr>
    </w:p>
    <w:p w:rsidR="00874B66" w:rsidRPr="009235B4" w:rsidRDefault="00874B66" w:rsidP="009235B4">
      <w:pPr>
        <w:numPr>
          <w:ilvl w:val="0"/>
          <w:numId w:val="11"/>
        </w:numPr>
        <w:rPr>
          <w:szCs w:val="24"/>
        </w:rPr>
      </w:pPr>
      <w:r w:rsidRPr="009235B4">
        <w:rPr>
          <w:szCs w:val="24"/>
        </w:rPr>
        <w:t>Submitted by Phil Beecher, Integration UK Ltd; 9 April 2008</w:t>
      </w:r>
    </w:p>
    <w:p w:rsidR="00874B66" w:rsidRPr="009235B4" w:rsidRDefault="00874B66" w:rsidP="00874B66">
      <w:pPr>
        <w:widowControl w:val="0"/>
        <w:autoSpaceDE w:val="0"/>
        <w:autoSpaceDN w:val="0"/>
        <w:adjustRightInd w:val="0"/>
        <w:ind w:left="360"/>
        <w:rPr>
          <w:szCs w:val="24"/>
        </w:rPr>
      </w:pPr>
      <w:r w:rsidRPr="009235B4">
        <w:rPr>
          <w:szCs w:val="24"/>
        </w:rPr>
        <w:t xml:space="preserve">Please could you clarify the </w:t>
      </w:r>
      <w:proofErr w:type="spellStart"/>
      <w:r w:rsidRPr="009235B4">
        <w:rPr>
          <w:szCs w:val="24"/>
        </w:rPr>
        <w:t>behaviour</w:t>
      </w:r>
      <w:proofErr w:type="spellEnd"/>
      <w:r w:rsidRPr="009235B4">
        <w:rPr>
          <w:szCs w:val="24"/>
        </w:rPr>
        <w:t xml:space="preserve"> of the MAC in the following situation?</w:t>
      </w:r>
    </w:p>
    <w:p w:rsidR="00874B66" w:rsidRPr="009235B4" w:rsidRDefault="00874B66" w:rsidP="00874B66">
      <w:pPr>
        <w:widowControl w:val="0"/>
        <w:autoSpaceDE w:val="0"/>
        <w:autoSpaceDN w:val="0"/>
        <w:adjustRightInd w:val="0"/>
        <w:ind w:left="720"/>
        <w:rPr>
          <w:szCs w:val="24"/>
        </w:rPr>
      </w:pPr>
      <w:r w:rsidRPr="009235B4">
        <w:rPr>
          <w:szCs w:val="24"/>
        </w:rPr>
        <w:t>A device is participating in a beacon-enabled network, tracking the beacon of its parent and generating its own beacon.  It receives a beacon from its parent in which the Superframe structure is changed in such a way as to cause the device’s outgoing beacon characteristics to knowingly violate the parent Superframe.</w:t>
      </w:r>
    </w:p>
    <w:p w:rsidR="00874B66" w:rsidRDefault="00874B66" w:rsidP="00874B66">
      <w:pPr>
        <w:widowControl w:val="0"/>
        <w:autoSpaceDE w:val="0"/>
        <w:autoSpaceDN w:val="0"/>
        <w:adjustRightInd w:val="0"/>
        <w:rPr>
          <w:rFonts w:ascii="Arial" w:hAnsi="Arial" w:cs="Arial"/>
          <w:sz w:val="28"/>
          <w:szCs w:val="28"/>
        </w:rPr>
      </w:pPr>
      <w:r>
        <w:rPr>
          <w:rFonts w:ascii="Arial" w:hAnsi="Arial" w:cs="Arial"/>
          <w:sz w:val="28"/>
          <w:szCs w:val="28"/>
        </w:rPr>
        <w:t> </w:t>
      </w:r>
    </w:p>
    <w:p w:rsidR="00874B66" w:rsidRDefault="00874B66" w:rsidP="00874B66">
      <w:pPr>
        <w:widowControl w:val="0"/>
        <w:autoSpaceDE w:val="0"/>
        <w:autoSpaceDN w:val="0"/>
        <w:adjustRightInd w:val="0"/>
        <w:ind w:left="720"/>
        <w:rPr>
          <w:rFonts w:ascii="Arial" w:hAnsi="Arial" w:cs="Arial"/>
          <w:sz w:val="28"/>
          <w:szCs w:val="28"/>
        </w:rPr>
      </w:pPr>
      <w:r>
        <w:rPr>
          <w:rFonts w:ascii="Arial" w:hAnsi="Arial" w:cs="Arial"/>
          <w:sz w:val="22"/>
          <w:szCs w:val="22"/>
        </w:rPr>
        <w:t>1) Should the device stop sending its own beacon?</w:t>
      </w:r>
    </w:p>
    <w:p w:rsidR="009235B4" w:rsidRDefault="00874B66" w:rsidP="009235B4">
      <w:pPr>
        <w:widowControl w:val="0"/>
        <w:autoSpaceDE w:val="0"/>
        <w:autoSpaceDN w:val="0"/>
        <w:adjustRightInd w:val="0"/>
        <w:ind w:left="720"/>
        <w:rPr>
          <w:rFonts w:ascii="Arial" w:hAnsi="Arial" w:cs="Arial"/>
          <w:sz w:val="28"/>
          <w:szCs w:val="28"/>
        </w:rPr>
      </w:pPr>
      <w:r>
        <w:rPr>
          <w:rFonts w:ascii="Arial" w:hAnsi="Arial" w:cs="Arial"/>
          <w:sz w:val="22"/>
          <w:szCs w:val="22"/>
        </w:rPr>
        <w:t>2) Inform the next higher layer (NHL) that it has stopped, and if so how?</w:t>
      </w:r>
    </w:p>
    <w:p w:rsidR="009235B4" w:rsidRDefault="009235B4" w:rsidP="009235B4">
      <w:pPr>
        <w:widowControl w:val="0"/>
        <w:autoSpaceDE w:val="0"/>
        <w:autoSpaceDN w:val="0"/>
        <w:adjustRightInd w:val="0"/>
        <w:ind w:left="720"/>
        <w:rPr>
          <w:rFonts w:ascii="Arial" w:hAnsi="Arial" w:cs="Arial"/>
          <w:sz w:val="28"/>
          <w:szCs w:val="28"/>
        </w:rPr>
      </w:pPr>
    </w:p>
    <w:p w:rsidR="00874B66" w:rsidRPr="009235B4" w:rsidRDefault="00874B66" w:rsidP="009235B4">
      <w:pPr>
        <w:widowControl w:val="0"/>
        <w:autoSpaceDE w:val="0"/>
        <w:autoSpaceDN w:val="0"/>
        <w:adjustRightInd w:val="0"/>
        <w:ind w:left="720"/>
        <w:rPr>
          <w:rFonts w:ascii="Arial" w:hAnsi="Arial" w:cs="Arial"/>
          <w:sz w:val="28"/>
          <w:szCs w:val="28"/>
        </w:rPr>
      </w:pPr>
      <w:r>
        <w:rPr>
          <w:rFonts w:ascii="Arial" w:hAnsi="Arial" w:cs="Arial"/>
          <w:sz w:val="22"/>
          <w:szCs w:val="22"/>
        </w:rPr>
        <w:t>I think the answers to both these questions should be "yes", and that the device should inform the NHL by generating an MLME-SYNC-</w:t>
      </w:r>
      <w:proofErr w:type="spellStart"/>
      <w:r>
        <w:rPr>
          <w:rFonts w:ascii="Arial" w:hAnsi="Arial" w:cs="Arial"/>
          <w:sz w:val="22"/>
          <w:szCs w:val="22"/>
        </w:rPr>
        <w:t>LOSS.indication</w:t>
      </w:r>
      <w:proofErr w:type="spellEnd"/>
      <w:r>
        <w:rPr>
          <w:rFonts w:ascii="Arial" w:hAnsi="Arial" w:cs="Arial"/>
          <w:sz w:val="22"/>
          <w:szCs w:val="22"/>
        </w:rPr>
        <w:t xml:space="preserve"> with status of SUPERFRAME_OVERLAP.  This status enumeration was added in 15.4-2006 as a status for the MLME-</w:t>
      </w:r>
      <w:proofErr w:type="spellStart"/>
      <w:r>
        <w:rPr>
          <w:rFonts w:ascii="Arial" w:hAnsi="Arial" w:cs="Arial"/>
          <w:sz w:val="22"/>
          <w:szCs w:val="22"/>
        </w:rPr>
        <w:t>START.confirm</w:t>
      </w:r>
      <w:proofErr w:type="spellEnd"/>
      <w:r>
        <w:rPr>
          <w:rFonts w:ascii="Arial" w:hAnsi="Arial" w:cs="Arial"/>
          <w:sz w:val="22"/>
          <w:szCs w:val="22"/>
        </w:rPr>
        <w:t xml:space="preserve"> message to cover the condition described when it occurs during the MLME-</w:t>
      </w:r>
      <w:proofErr w:type="spellStart"/>
      <w:r>
        <w:rPr>
          <w:rFonts w:ascii="Arial" w:hAnsi="Arial" w:cs="Arial"/>
          <w:sz w:val="22"/>
          <w:szCs w:val="22"/>
        </w:rPr>
        <w:t>START.request</w:t>
      </w:r>
      <w:proofErr w:type="spellEnd"/>
      <w:r>
        <w:rPr>
          <w:rFonts w:ascii="Arial" w:hAnsi="Arial" w:cs="Arial"/>
          <w:sz w:val="22"/>
          <w:szCs w:val="22"/>
        </w:rPr>
        <w:t>.</w:t>
      </w:r>
    </w:p>
    <w:p w:rsidR="00874B66" w:rsidRDefault="00874B66" w:rsidP="00874B66">
      <w:pPr>
        <w:tabs>
          <w:tab w:val="num" w:pos="360"/>
        </w:tabs>
        <w:ind w:left="360"/>
      </w:pPr>
    </w:p>
    <w:p w:rsidR="00674DC5" w:rsidRPr="00255B82" w:rsidRDefault="00674DC5" w:rsidP="00674DC5">
      <w:pPr>
        <w:pStyle w:val="HTMLPreformatted"/>
        <w:numPr>
          <w:ilvl w:val="0"/>
          <w:numId w:val="11"/>
        </w:numPr>
        <w:rPr>
          <w:rFonts w:ascii="Times New Roman" w:hAnsi="Times New Roman" w:cs="Times New Roman"/>
          <w:sz w:val="24"/>
          <w:szCs w:val="24"/>
        </w:rPr>
      </w:pPr>
      <w:r w:rsidRPr="00255B82">
        <w:rPr>
          <w:rFonts w:ascii="Times New Roman" w:hAnsi="Times New Roman" w:cs="Times New Roman"/>
          <w:sz w:val="24"/>
          <w:szCs w:val="24"/>
        </w:rPr>
        <w:t>Submitted</w:t>
      </w:r>
      <w:r w:rsidRPr="00255B82">
        <w:rPr>
          <w:rFonts w:ascii="Times New Roman" w:hAnsi="Times New Roman" w:cs="Times New Roman"/>
          <w:b/>
          <w:sz w:val="24"/>
          <w:szCs w:val="24"/>
        </w:rPr>
        <w:t xml:space="preserve"> </w:t>
      </w:r>
      <w:r w:rsidRPr="00916EF9">
        <w:rPr>
          <w:rFonts w:ascii="Times New Roman" w:hAnsi="Times New Roman" w:cs="Times New Roman"/>
          <w:sz w:val="24"/>
          <w:szCs w:val="24"/>
        </w:rPr>
        <w:t>by</w:t>
      </w:r>
      <w:r w:rsidRPr="00255B82">
        <w:rPr>
          <w:rFonts w:ascii="Times New Roman" w:hAnsi="Times New Roman" w:cs="Times New Roman"/>
          <w:b/>
          <w:sz w:val="24"/>
          <w:szCs w:val="24"/>
        </w:rPr>
        <w:t xml:space="preserve"> </w:t>
      </w:r>
      <w:proofErr w:type="spellStart"/>
      <w:r w:rsidR="00916EF9">
        <w:rPr>
          <w:rFonts w:ascii="Times New Roman" w:hAnsi="Times New Roman" w:cs="Times New Roman"/>
          <w:sz w:val="24"/>
          <w:szCs w:val="24"/>
        </w:rPr>
        <w:t>Dusan</w:t>
      </w:r>
      <w:proofErr w:type="spellEnd"/>
      <w:r w:rsidR="00916EF9">
        <w:rPr>
          <w:rFonts w:ascii="Times New Roman" w:hAnsi="Times New Roman" w:cs="Times New Roman"/>
          <w:sz w:val="24"/>
          <w:szCs w:val="24"/>
        </w:rPr>
        <w:t xml:space="preserve"> </w:t>
      </w:r>
      <w:proofErr w:type="spellStart"/>
      <w:r w:rsidR="00916EF9">
        <w:rPr>
          <w:rFonts w:ascii="Times New Roman" w:hAnsi="Times New Roman" w:cs="Times New Roman"/>
          <w:sz w:val="24"/>
          <w:szCs w:val="24"/>
        </w:rPr>
        <w:t>Radovic</w:t>
      </w:r>
      <w:proofErr w:type="spellEnd"/>
      <w:r w:rsidR="00916EF9">
        <w:rPr>
          <w:rFonts w:ascii="Times New Roman" w:hAnsi="Times New Roman" w:cs="Times New Roman"/>
          <w:sz w:val="24"/>
          <w:szCs w:val="24"/>
        </w:rPr>
        <w:t xml:space="preserve">, </w:t>
      </w:r>
      <w:r w:rsidRPr="00255B82">
        <w:rPr>
          <w:rFonts w:ascii="Times New Roman" w:hAnsi="Times New Roman" w:cs="Times New Roman"/>
          <w:sz w:val="24"/>
          <w:szCs w:val="24"/>
        </w:rPr>
        <w:t>TES Electronic Solutions</w:t>
      </w:r>
      <w:r w:rsidR="00916EF9">
        <w:rPr>
          <w:rFonts w:ascii="Times New Roman" w:hAnsi="Times New Roman" w:cs="Times New Roman"/>
          <w:sz w:val="24"/>
          <w:szCs w:val="24"/>
        </w:rPr>
        <w:t>, 9 February 2007</w:t>
      </w:r>
    </w:p>
    <w:p w:rsidR="006549CD" w:rsidRPr="00255B82" w:rsidRDefault="00674DC5" w:rsidP="006549CD">
      <w:pPr>
        <w:pStyle w:val="HTMLPreformatted"/>
        <w:ind w:left="360"/>
        <w:rPr>
          <w:rFonts w:ascii="Times New Roman" w:hAnsi="Times New Roman" w:cs="Times New Roman"/>
          <w:sz w:val="24"/>
          <w:szCs w:val="24"/>
        </w:rPr>
      </w:pPr>
      <w:r w:rsidRPr="00255B82">
        <w:rPr>
          <w:rFonts w:ascii="Times New Roman" w:hAnsi="Times New Roman" w:cs="Times New Roman"/>
          <w:sz w:val="24"/>
          <w:szCs w:val="24"/>
        </w:rPr>
        <w:t>Regarding section 6.8a.12.1</w:t>
      </w:r>
      <w:r w:rsidR="00916EF9">
        <w:rPr>
          <w:rFonts w:ascii="Times New Roman" w:hAnsi="Times New Roman" w:cs="Times New Roman"/>
          <w:sz w:val="24"/>
          <w:szCs w:val="24"/>
        </w:rPr>
        <w:t xml:space="preserve"> </w:t>
      </w:r>
      <w:r w:rsidRPr="00255B82">
        <w:rPr>
          <w:rFonts w:ascii="Times New Roman" w:hAnsi="Times New Roman" w:cs="Times New Roman"/>
          <w:sz w:val="24"/>
          <w:szCs w:val="24"/>
        </w:rPr>
        <w:t>(draft 7)</w:t>
      </w:r>
    </w:p>
    <w:p w:rsidR="00674DC5" w:rsidRPr="00255B82" w:rsidRDefault="00674DC5" w:rsidP="00255B82">
      <w:pPr>
        <w:pStyle w:val="HTMLPreformatted"/>
        <w:ind w:left="360"/>
        <w:rPr>
          <w:rFonts w:ascii="Times New Roman" w:hAnsi="Times New Roman" w:cs="Times New Roman"/>
          <w:sz w:val="24"/>
          <w:szCs w:val="24"/>
        </w:rPr>
      </w:pPr>
      <w:r w:rsidRPr="00255B82">
        <w:rPr>
          <w:rFonts w:ascii="Times New Roman" w:hAnsi="Times New Roman" w:cs="Times New Roman"/>
          <w:sz w:val="24"/>
          <w:szCs w:val="24"/>
        </w:rPr>
        <w:t>Could you clarify the pulse durat</w:t>
      </w:r>
      <w:r w:rsidR="00916EF9">
        <w:rPr>
          <w:rFonts w:ascii="Times New Roman" w:hAnsi="Times New Roman" w:cs="Times New Roman"/>
          <w:sz w:val="24"/>
          <w:szCs w:val="24"/>
        </w:rPr>
        <w:t>ion given in 6.8a.11.1, Draft 5?</w:t>
      </w:r>
    </w:p>
    <w:p w:rsidR="00674DC5" w:rsidRPr="00255B82" w:rsidRDefault="00674DC5" w:rsidP="00255B82">
      <w:pPr>
        <w:pStyle w:val="HTMLPreformatted"/>
        <w:ind w:left="360"/>
        <w:rPr>
          <w:rFonts w:ascii="Times New Roman" w:hAnsi="Times New Roman" w:cs="Times New Roman"/>
          <w:sz w:val="24"/>
          <w:szCs w:val="24"/>
        </w:rPr>
      </w:pPr>
      <w:r w:rsidRPr="00255B82">
        <w:rPr>
          <w:rFonts w:ascii="Times New Roman" w:hAnsi="Times New Roman" w:cs="Times New Roman"/>
          <w:sz w:val="24"/>
          <w:szCs w:val="24"/>
        </w:rPr>
        <w:t>Is it defined on the half of pulse amplitude or as width of the main lobe (from zero to zero)?</w:t>
      </w:r>
    </w:p>
    <w:p w:rsidR="00674DC5" w:rsidRPr="00255B82" w:rsidRDefault="00674DC5" w:rsidP="00255B82">
      <w:pPr>
        <w:pStyle w:val="HTMLPreformatted"/>
        <w:ind w:left="360"/>
        <w:rPr>
          <w:rFonts w:ascii="Times New Roman" w:hAnsi="Times New Roman" w:cs="Times New Roman"/>
          <w:sz w:val="24"/>
          <w:szCs w:val="24"/>
        </w:rPr>
      </w:pPr>
    </w:p>
    <w:p w:rsidR="006549CD" w:rsidRDefault="00674DC5" w:rsidP="006549CD">
      <w:pPr>
        <w:pStyle w:val="HTMLPreformatted"/>
        <w:ind w:left="360"/>
        <w:rPr>
          <w:rFonts w:ascii="Times New Roman" w:hAnsi="Times New Roman" w:cs="Times New Roman"/>
          <w:sz w:val="24"/>
          <w:szCs w:val="24"/>
        </w:rPr>
      </w:pPr>
      <w:r w:rsidRPr="00255B82">
        <w:rPr>
          <w:rFonts w:ascii="Times New Roman" w:hAnsi="Times New Roman" w:cs="Times New Roman"/>
          <w:sz w:val="24"/>
          <w:szCs w:val="24"/>
        </w:rPr>
        <w:t>In the same part, in the mathematical description (fo</w:t>
      </w:r>
      <w:r w:rsidR="006549CD">
        <w:rPr>
          <w:rFonts w:ascii="Times New Roman" w:hAnsi="Times New Roman" w:cs="Times New Roman"/>
          <w:sz w:val="24"/>
          <w:szCs w:val="24"/>
        </w:rPr>
        <w:t xml:space="preserve">rmula), right medium bracket is </w:t>
      </w:r>
      <w:r w:rsidRPr="00255B82">
        <w:rPr>
          <w:rFonts w:ascii="Times New Roman" w:hAnsi="Times New Roman" w:cs="Times New Roman"/>
          <w:sz w:val="24"/>
          <w:szCs w:val="24"/>
        </w:rPr>
        <w:t>misplaced should be before the plus sign in the nominator</w:t>
      </w:r>
      <w:r w:rsidR="006549CD">
        <w:rPr>
          <w:rFonts w:ascii="Times New Roman" w:hAnsi="Times New Roman" w:cs="Times New Roman"/>
          <w:sz w:val="24"/>
          <w:szCs w:val="24"/>
        </w:rPr>
        <w:t>.</w:t>
      </w:r>
    </w:p>
    <w:p w:rsidR="006549CD" w:rsidRDefault="006549CD" w:rsidP="006549CD">
      <w:pPr>
        <w:pStyle w:val="HTMLPreformatted"/>
        <w:ind w:left="360"/>
        <w:rPr>
          <w:rFonts w:ascii="Times New Roman" w:hAnsi="Times New Roman" w:cs="Times New Roman"/>
          <w:sz w:val="24"/>
          <w:szCs w:val="24"/>
        </w:rPr>
      </w:pPr>
    </w:p>
    <w:p w:rsidR="006549CD" w:rsidRPr="006549CD" w:rsidRDefault="006549CD" w:rsidP="006549CD">
      <w:pPr>
        <w:pStyle w:val="HTMLPreformatted"/>
        <w:numPr>
          <w:ilvl w:val="0"/>
          <w:numId w:val="11"/>
        </w:numPr>
        <w:rPr>
          <w:rFonts w:ascii="Times New Roman" w:hAnsi="Times New Roman" w:cs="Times New Roman"/>
          <w:sz w:val="24"/>
          <w:szCs w:val="24"/>
        </w:rPr>
      </w:pPr>
      <w:r w:rsidRPr="006549CD">
        <w:rPr>
          <w:rFonts w:ascii="Times New Roman" w:hAnsi="Times New Roman" w:cs="Times New Roman"/>
          <w:sz w:val="24"/>
          <w:szCs w:val="24"/>
        </w:rPr>
        <w:t xml:space="preserve">Submitted by Rene </w:t>
      </w:r>
      <w:proofErr w:type="spellStart"/>
      <w:r w:rsidRPr="006549CD">
        <w:rPr>
          <w:rFonts w:ascii="Times New Roman" w:hAnsi="Times New Roman" w:cs="Times New Roman"/>
          <w:sz w:val="24"/>
          <w:szCs w:val="24"/>
        </w:rPr>
        <w:t>Struik</w:t>
      </w:r>
      <w:proofErr w:type="spellEnd"/>
      <w:r w:rsidRPr="006549CD">
        <w:rPr>
          <w:rFonts w:ascii="Times New Roman" w:hAnsi="Times New Roman" w:cs="Times New Roman"/>
          <w:sz w:val="24"/>
          <w:szCs w:val="24"/>
        </w:rPr>
        <w:t xml:space="preserve">, Certicom, </w:t>
      </w:r>
      <w:r w:rsidRPr="006549CD">
        <w:rPr>
          <w:rFonts w:ascii="Times New Roman" w:hAnsi="Times New Roman" w:cs="Times New Roman"/>
          <w:bCs/>
          <w:sz w:val="24"/>
          <w:szCs w:val="24"/>
        </w:rPr>
        <w:t>Clause 7.5.8.2.3</w:t>
      </w:r>
    </w:p>
    <w:p w:rsidR="006549CD" w:rsidRPr="006549CD" w:rsidRDefault="006549CD" w:rsidP="006549CD">
      <w:pPr>
        <w:pStyle w:val="HTMLPreformatted"/>
        <w:ind w:left="360"/>
        <w:rPr>
          <w:rFonts w:ascii="Times New Roman" w:hAnsi="Times New Roman" w:cs="Times New Roman"/>
          <w:sz w:val="24"/>
          <w:szCs w:val="24"/>
        </w:rPr>
      </w:pPr>
      <w:r w:rsidRPr="006549CD">
        <w:rPr>
          <w:rFonts w:ascii="Times New Roman" w:hAnsi="Times New Roman" w:cs="Times New Roman"/>
          <w:sz w:val="24"/>
          <w:szCs w:val="24"/>
        </w:rPr>
        <w:t>Incoming security frame processing does not treat devices with diplomatic immunity</w:t>
      </w:r>
      <w:r>
        <w:rPr>
          <w:rFonts w:ascii="Times New Roman" w:hAnsi="Times New Roman" w:cs="Times New Roman"/>
          <w:sz w:val="24"/>
          <w:szCs w:val="24"/>
        </w:rPr>
        <w:t xml:space="preserve"> </w:t>
      </w:r>
      <w:r w:rsidRPr="006549CD">
        <w:rPr>
          <w:rFonts w:ascii="Times New Roman" w:hAnsi="Times New Roman" w:cs="Times New Roman"/>
          <w:sz w:val="24"/>
          <w:szCs w:val="24"/>
        </w:rPr>
        <w:t xml:space="preserve">(“Exempt status”) properly. </w:t>
      </w:r>
    </w:p>
    <w:p w:rsidR="00874B66" w:rsidRPr="006549CD" w:rsidRDefault="00874B66" w:rsidP="006549CD">
      <w:pPr>
        <w:pStyle w:val="HTMLPreformatted"/>
        <w:numPr>
          <w:ilvl w:val="0"/>
          <w:numId w:val="11"/>
        </w:numPr>
        <w:rPr>
          <w:rFonts w:ascii="Times New Roman" w:hAnsi="Times New Roman" w:cs="Times New Roman"/>
          <w:sz w:val="24"/>
          <w:szCs w:val="24"/>
        </w:rPr>
      </w:pPr>
      <w:r w:rsidRPr="00674DC5">
        <w:rPr>
          <w:rFonts w:ascii="Times New Roman" w:hAnsi="Times New Roman"/>
          <w:sz w:val="24"/>
        </w:rPr>
        <w:br w:type="page"/>
      </w:r>
      <w:r w:rsidR="00256230" w:rsidRPr="00674DC5">
        <w:rPr>
          <w:rFonts w:ascii="Times New Roman" w:hAnsi="Times New Roman"/>
          <w:b/>
          <w:sz w:val="28"/>
        </w:rPr>
        <w:t>Resolutions</w:t>
      </w:r>
      <w:r w:rsidRPr="00674DC5">
        <w:rPr>
          <w:rFonts w:ascii="Times New Roman" w:hAnsi="Times New Roman"/>
          <w:b/>
          <w:sz w:val="28"/>
        </w:rPr>
        <w:t>:</w:t>
      </w:r>
    </w:p>
    <w:p w:rsidR="00874B66" w:rsidRDefault="00874B66">
      <w:pPr>
        <w:pStyle w:val="PlainText"/>
        <w:rPr>
          <w:rFonts w:ascii="Arial" w:hAnsi="Arial"/>
          <w:b/>
          <w:sz w:val="24"/>
        </w:rPr>
      </w:pPr>
    </w:p>
    <w:p w:rsidR="00874B66" w:rsidRPr="00DD2D4E" w:rsidRDefault="00874B66">
      <w:pPr>
        <w:pStyle w:val="PlainText"/>
        <w:rPr>
          <w:rFonts w:ascii="Arial" w:hAnsi="Arial"/>
          <w:b/>
          <w:sz w:val="24"/>
        </w:rPr>
      </w:pPr>
      <w:r w:rsidRPr="00DD2D4E">
        <w:rPr>
          <w:rFonts w:ascii="Arial" w:hAnsi="Arial"/>
          <w:b/>
          <w:sz w:val="24"/>
        </w:rPr>
        <w:t>Item 1)</w:t>
      </w:r>
    </w:p>
    <w:p w:rsidR="00874B66" w:rsidRDefault="00874B66" w:rsidP="00874B66">
      <w:pPr>
        <w:pStyle w:val="PlainText"/>
        <w:rPr>
          <w:rFonts w:ascii="Arial" w:hAnsi="Arial" w:cs="Arial"/>
          <w:sz w:val="24"/>
          <w:szCs w:val="28"/>
        </w:rPr>
      </w:pPr>
      <w:r>
        <w:rPr>
          <w:rFonts w:ascii="Arial" w:hAnsi="Arial" w:cs="Arial"/>
          <w:sz w:val="24"/>
          <w:szCs w:val="28"/>
        </w:rPr>
        <w:t xml:space="preserve">No change required: </w:t>
      </w:r>
    </w:p>
    <w:p w:rsidR="00874B66" w:rsidRPr="00DD2D4E" w:rsidRDefault="00874B66" w:rsidP="00874B66">
      <w:pPr>
        <w:widowControl w:val="0"/>
        <w:autoSpaceDE w:val="0"/>
        <w:autoSpaceDN w:val="0"/>
        <w:adjustRightInd w:val="0"/>
        <w:rPr>
          <w:rFonts w:ascii="Arial" w:hAnsi="Arial" w:cs="Arial"/>
          <w:szCs w:val="28"/>
        </w:rPr>
      </w:pPr>
      <w:r w:rsidRPr="00DD2D4E">
        <w:rPr>
          <w:rFonts w:ascii="Arial" w:hAnsi="Arial" w:cs="Arial"/>
          <w:szCs w:val="28"/>
        </w:rPr>
        <w:t>Step a) in the procedure identifies the case where the Security Enabled subfield is set to zero and the security level thus becomes zero. It is this security level which applies throughout the rest of 7.5.8.2.3 except in the case of c), i.e. the case where the Security Enabled subfield is set to one. In this case, the procedure ensures that the Security Level subfield of the Security Control field is not zero - if it is, it rejects the frame at that point. So the apparently contradictory case in f) only applies when the Security Enabled subfield is set to zero.</w:t>
      </w:r>
    </w:p>
    <w:p w:rsidR="00874B66" w:rsidRPr="00DD2D4E" w:rsidRDefault="00874B66" w:rsidP="00874B66">
      <w:pPr>
        <w:widowControl w:val="0"/>
        <w:autoSpaceDE w:val="0"/>
        <w:autoSpaceDN w:val="0"/>
        <w:adjustRightInd w:val="0"/>
        <w:rPr>
          <w:rFonts w:ascii="Arial" w:hAnsi="Arial" w:cs="Arial"/>
          <w:szCs w:val="28"/>
        </w:rPr>
      </w:pPr>
    </w:p>
    <w:p w:rsidR="00874B66" w:rsidRPr="00A332A5" w:rsidRDefault="00874B66" w:rsidP="00874B66">
      <w:pPr>
        <w:pStyle w:val="PlainText"/>
        <w:rPr>
          <w:rFonts w:ascii="Arial" w:hAnsi="Arial" w:cs="Arial"/>
          <w:sz w:val="24"/>
          <w:szCs w:val="28"/>
        </w:rPr>
      </w:pPr>
      <w:r>
        <w:rPr>
          <w:rFonts w:ascii="Arial" w:hAnsi="Arial" w:cs="Arial"/>
          <w:sz w:val="24"/>
          <w:szCs w:val="28"/>
        </w:rPr>
        <w:t>This text</w:t>
      </w:r>
      <w:r w:rsidRPr="00DD2D4E">
        <w:rPr>
          <w:rFonts w:ascii="Arial" w:hAnsi="Arial" w:cs="Arial"/>
          <w:sz w:val="24"/>
          <w:szCs w:val="28"/>
        </w:rPr>
        <w:t xml:space="preserve"> could perhaps be clearer but this is the result of trying to write a logical procedure in something resembling English whereas a language with proper control flow constructs would have been more appropriate</w:t>
      </w:r>
    </w:p>
    <w:p w:rsidR="00874B66" w:rsidRPr="00DD2D4E" w:rsidRDefault="00874B66" w:rsidP="00874B66">
      <w:pPr>
        <w:pStyle w:val="PlainText"/>
        <w:rPr>
          <w:rFonts w:ascii="Arial" w:hAnsi="Arial"/>
          <w:sz w:val="24"/>
        </w:rPr>
      </w:pPr>
    </w:p>
    <w:p w:rsidR="00874B66" w:rsidRPr="00DD2D4E" w:rsidRDefault="00874B66" w:rsidP="00874B66">
      <w:pPr>
        <w:pStyle w:val="PlainText"/>
        <w:rPr>
          <w:rFonts w:ascii="Arial" w:hAnsi="Arial"/>
          <w:b/>
          <w:sz w:val="24"/>
        </w:rPr>
      </w:pPr>
      <w:r w:rsidRPr="00DD2D4E">
        <w:rPr>
          <w:rFonts w:ascii="Arial" w:hAnsi="Arial"/>
          <w:b/>
          <w:sz w:val="24"/>
        </w:rPr>
        <w:t>Item 2)</w:t>
      </w:r>
      <w:r w:rsidRPr="00DD2D4E">
        <w:rPr>
          <w:rFonts w:ascii="Arial" w:hAnsi="Arial" w:cs="Arial"/>
          <w:b/>
          <w:color w:val="2552A7"/>
          <w:sz w:val="24"/>
          <w:szCs w:val="28"/>
        </w:rPr>
        <w:t> </w:t>
      </w:r>
    </w:p>
    <w:p w:rsidR="00874B66" w:rsidRPr="009377FC" w:rsidRDefault="00874B66" w:rsidP="00874B66">
      <w:pPr>
        <w:pStyle w:val="PlainText"/>
        <w:rPr>
          <w:rFonts w:ascii="Arial" w:hAnsi="Arial" w:cs="Arial"/>
          <w:color w:val="000000"/>
          <w:sz w:val="24"/>
          <w:szCs w:val="22"/>
        </w:rPr>
      </w:pPr>
      <w:r w:rsidRPr="009377FC">
        <w:rPr>
          <w:rFonts w:ascii="Arial" w:hAnsi="Arial" w:cs="Arial"/>
          <w:color w:val="000000"/>
          <w:sz w:val="24"/>
          <w:szCs w:val="22"/>
        </w:rPr>
        <w:t xml:space="preserve">Change required: </w:t>
      </w:r>
    </w:p>
    <w:p w:rsidR="00874B66" w:rsidRPr="009377FC" w:rsidRDefault="00874B66" w:rsidP="00874B66">
      <w:pPr>
        <w:pStyle w:val="PlainText"/>
        <w:rPr>
          <w:rFonts w:ascii="Arial" w:hAnsi="Arial" w:cs="Arial"/>
          <w:color w:val="000000"/>
          <w:sz w:val="24"/>
          <w:szCs w:val="22"/>
        </w:rPr>
      </w:pPr>
      <w:r w:rsidRPr="009377FC">
        <w:rPr>
          <w:rFonts w:ascii="Arial" w:hAnsi="Arial" w:cs="Arial"/>
          <w:color w:val="000000"/>
          <w:sz w:val="24"/>
          <w:szCs w:val="22"/>
        </w:rPr>
        <w:t>The PHY PIB name used on page 29 in the second line of Clause 6.1.2.2 should be corrected to read as "</w:t>
      </w:r>
      <w:proofErr w:type="spellStart"/>
      <w:r w:rsidRPr="009377FC">
        <w:rPr>
          <w:rFonts w:ascii="Arial" w:hAnsi="Arial" w:cs="Arial"/>
          <w:i/>
          <w:iCs/>
          <w:color w:val="000000"/>
          <w:sz w:val="24"/>
          <w:szCs w:val="22"/>
        </w:rPr>
        <w:t>phyChannelsSupported</w:t>
      </w:r>
      <w:proofErr w:type="spellEnd"/>
      <w:r w:rsidRPr="009377FC">
        <w:rPr>
          <w:rFonts w:ascii="Arial" w:hAnsi="Arial" w:cs="Arial"/>
          <w:color w:val="000000"/>
          <w:sz w:val="24"/>
          <w:szCs w:val="22"/>
        </w:rPr>
        <w:t xml:space="preserve">". Both the pages and channels supported within that page can be obtained via this attribute and provides the information that a </w:t>
      </w:r>
      <w:r w:rsidRPr="009377FC">
        <w:rPr>
          <w:rFonts w:ascii="Arial" w:hAnsi="Arial" w:cs="Arial"/>
          <w:i/>
          <w:iCs/>
          <w:color w:val="000000"/>
          <w:sz w:val="24"/>
          <w:szCs w:val="22"/>
        </w:rPr>
        <w:t>"</w:t>
      </w:r>
      <w:proofErr w:type="spellStart"/>
      <w:r w:rsidRPr="009377FC">
        <w:rPr>
          <w:rFonts w:ascii="Arial" w:hAnsi="Arial" w:cs="Arial"/>
          <w:i/>
          <w:iCs/>
          <w:color w:val="000000"/>
          <w:sz w:val="24"/>
          <w:szCs w:val="22"/>
        </w:rPr>
        <w:t>phyPagesSupported</w:t>
      </w:r>
      <w:proofErr w:type="spellEnd"/>
      <w:r w:rsidRPr="009377FC">
        <w:rPr>
          <w:rFonts w:ascii="Arial" w:hAnsi="Arial" w:cs="Arial"/>
          <w:i/>
          <w:iCs/>
          <w:color w:val="000000"/>
          <w:sz w:val="24"/>
          <w:szCs w:val="22"/>
        </w:rPr>
        <w:t>"</w:t>
      </w:r>
      <w:r w:rsidRPr="009377FC">
        <w:rPr>
          <w:rFonts w:ascii="Arial" w:hAnsi="Arial" w:cs="Arial"/>
          <w:color w:val="000000"/>
          <w:sz w:val="24"/>
          <w:szCs w:val="22"/>
        </w:rPr>
        <w:t xml:space="preserve"> PHY PIB Attribute would.</w:t>
      </w:r>
    </w:p>
    <w:p w:rsidR="00874B66" w:rsidRPr="009377FC" w:rsidRDefault="00874B66" w:rsidP="00874B66">
      <w:pPr>
        <w:pStyle w:val="PlainText"/>
        <w:rPr>
          <w:rFonts w:ascii="Arial" w:hAnsi="Arial" w:cs="Arial"/>
          <w:b/>
          <w:color w:val="000000"/>
          <w:sz w:val="24"/>
          <w:szCs w:val="22"/>
        </w:rPr>
      </w:pPr>
    </w:p>
    <w:p w:rsidR="00874B66" w:rsidRPr="009377FC" w:rsidRDefault="00874B66" w:rsidP="00874B66">
      <w:pPr>
        <w:pStyle w:val="PlainText"/>
        <w:rPr>
          <w:rFonts w:ascii="Arial" w:hAnsi="Arial" w:cs="Arial"/>
          <w:b/>
          <w:color w:val="000000"/>
          <w:sz w:val="24"/>
          <w:szCs w:val="22"/>
        </w:rPr>
      </w:pPr>
      <w:r w:rsidRPr="009377FC">
        <w:rPr>
          <w:rFonts w:ascii="Arial" w:hAnsi="Arial" w:cs="Arial"/>
          <w:b/>
          <w:color w:val="000000"/>
          <w:sz w:val="24"/>
          <w:szCs w:val="22"/>
        </w:rPr>
        <w:t>Item 3)</w:t>
      </w:r>
    </w:p>
    <w:p w:rsidR="00874B66" w:rsidRPr="009377FC" w:rsidRDefault="00874B66" w:rsidP="00874B66">
      <w:pPr>
        <w:widowControl w:val="0"/>
        <w:autoSpaceDE w:val="0"/>
        <w:autoSpaceDN w:val="0"/>
        <w:adjustRightInd w:val="0"/>
        <w:rPr>
          <w:rFonts w:ascii="Arial" w:hAnsi="Arial" w:cs="Arial"/>
          <w:color w:val="000000"/>
          <w:szCs w:val="22"/>
        </w:rPr>
      </w:pPr>
      <w:r w:rsidRPr="009377FC">
        <w:rPr>
          <w:rFonts w:ascii="Arial" w:hAnsi="Arial" w:cs="Arial"/>
          <w:color w:val="000000"/>
          <w:szCs w:val="22"/>
        </w:rPr>
        <w:t>Change required:</w:t>
      </w:r>
    </w:p>
    <w:p w:rsidR="00874B66" w:rsidRPr="009377FC" w:rsidRDefault="00874B66" w:rsidP="00874B66">
      <w:pPr>
        <w:widowControl w:val="0"/>
        <w:autoSpaceDE w:val="0"/>
        <w:autoSpaceDN w:val="0"/>
        <w:adjustRightInd w:val="0"/>
        <w:rPr>
          <w:rFonts w:ascii="Arial" w:hAnsi="Arial" w:cs="Arial"/>
          <w:color w:val="000000"/>
          <w:szCs w:val="28"/>
        </w:rPr>
      </w:pPr>
      <w:r w:rsidRPr="009377FC">
        <w:rPr>
          <w:rFonts w:ascii="Arial" w:hAnsi="Arial" w:cs="Arial"/>
          <w:color w:val="000000"/>
          <w:szCs w:val="22"/>
        </w:rPr>
        <w:t>15.4-2006 Page 181 section 7.5.3.1 Replace:</w:t>
      </w:r>
      <w:r w:rsidRPr="009377FC">
        <w:rPr>
          <w:rFonts w:ascii="Arial" w:hAnsi="Arial" w:cs="Arial"/>
          <w:color w:val="000000"/>
          <w:szCs w:val="28"/>
        </w:rPr>
        <w:t xml:space="preserve"> “</w:t>
      </w:r>
      <w:r w:rsidRPr="009377FC">
        <w:rPr>
          <w:rFonts w:ascii="Arial" w:hAnsi="Arial" w:cs="Arial"/>
          <w:color w:val="000000"/>
          <w:szCs w:val="22"/>
        </w:rPr>
        <w:t>If the Association Status field of the command indicates that the association was unsuccessful, the device</w:t>
      </w:r>
      <w:r w:rsidRPr="009377FC">
        <w:rPr>
          <w:rFonts w:ascii="Arial" w:hAnsi="Arial" w:cs="Arial"/>
          <w:color w:val="000000"/>
          <w:szCs w:val="28"/>
        </w:rPr>
        <w:t xml:space="preserve"> </w:t>
      </w:r>
      <w:r w:rsidRPr="009377FC">
        <w:rPr>
          <w:rFonts w:ascii="Arial" w:hAnsi="Arial" w:cs="Arial"/>
          <w:color w:val="000000"/>
          <w:szCs w:val="22"/>
        </w:rPr>
        <w:t xml:space="preserve">shall set </w:t>
      </w:r>
      <w:proofErr w:type="spellStart"/>
      <w:r w:rsidRPr="009377FC">
        <w:rPr>
          <w:rFonts w:ascii="Arial" w:hAnsi="Arial" w:cs="Arial"/>
          <w:i/>
          <w:iCs/>
          <w:color w:val="000000"/>
          <w:szCs w:val="22"/>
        </w:rPr>
        <w:t>macPANId</w:t>
      </w:r>
      <w:proofErr w:type="spellEnd"/>
      <w:r w:rsidRPr="009377FC">
        <w:rPr>
          <w:rFonts w:ascii="Arial" w:hAnsi="Arial" w:cs="Arial"/>
          <w:i/>
          <w:iCs/>
          <w:color w:val="000000"/>
          <w:szCs w:val="22"/>
        </w:rPr>
        <w:t xml:space="preserve"> </w:t>
      </w:r>
      <w:r w:rsidRPr="009377FC">
        <w:rPr>
          <w:rFonts w:ascii="Arial" w:hAnsi="Arial" w:cs="Arial"/>
          <w:color w:val="000000"/>
          <w:szCs w:val="22"/>
        </w:rPr>
        <w:t>to the default value (0xffff).”</w:t>
      </w:r>
    </w:p>
    <w:p w:rsidR="00874B66" w:rsidRPr="009377FC" w:rsidRDefault="00874B66" w:rsidP="00874B66">
      <w:pPr>
        <w:widowControl w:val="0"/>
        <w:autoSpaceDE w:val="0"/>
        <w:autoSpaceDN w:val="0"/>
        <w:adjustRightInd w:val="0"/>
        <w:rPr>
          <w:rFonts w:ascii="Arial" w:hAnsi="Arial" w:cs="Arial"/>
          <w:color w:val="000000"/>
          <w:szCs w:val="28"/>
        </w:rPr>
      </w:pPr>
      <w:r w:rsidRPr="009377FC">
        <w:rPr>
          <w:rFonts w:ascii="Arial" w:hAnsi="Arial" w:cs="Arial"/>
          <w:color w:val="000000"/>
          <w:szCs w:val="28"/>
        </w:rPr>
        <w:t> </w:t>
      </w:r>
      <w:proofErr w:type="gramStart"/>
      <w:r w:rsidRPr="009377FC">
        <w:rPr>
          <w:rFonts w:ascii="Arial" w:hAnsi="Arial" w:cs="Arial"/>
          <w:color w:val="000000"/>
          <w:szCs w:val="22"/>
        </w:rPr>
        <w:t>with</w:t>
      </w:r>
      <w:proofErr w:type="gramEnd"/>
    </w:p>
    <w:p w:rsidR="00874B66" w:rsidRPr="009377FC" w:rsidRDefault="00874B66" w:rsidP="00874B66">
      <w:pPr>
        <w:pStyle w:val="PlainText"/>
        <w:rPr>
          <w:rFonts w:ascii="Arial" w:hAnsi="Arial" w:cs="Arial"/>
          <w:color w:val="000000"/>
          <w:sz w:val="24"/>
          <w:szCs w:val="22"/>
        </w:rPr>
      </w:pPr>
      <w:r w:rsidRPr="009377FC">
        <w:rPr>
          <w:rFonts w:ascii="Arial" w:hAnsi="Arial" w:cs="Arial"/>
          <w:color w:val="000000"/>
          <w:sz w:val="24"/>
          <w:szCs w:val="22"/>
        </w:rPr>
        <w:t xml:space="preserve">“If the Association Status field of the command indicates that the association was unsuccessful, or, if there is a communication failure during the association process due to a missed acknowledgement or the association response command frame is not received, the device shall set </w:t>
      </w:r>
      <w:proofErr w:type="spellStart"/>
      <w:r w:rsidRPr="009377FC">
        <w:rPr>
          <w:rFonts w:ascii="Arial" w:hAnsi="Arial" w:cs="Arial"/>
          <w:i/>
          <w:iCs/>
          <w:color w:val="000000"/>
          <w:sz w:val="24"/>
          <w:szCs w:val="22"/>
        </w:rPr>
        <w:t>macPANId</w:t>
      </w:r>
      <w:proofErr w:type="spellEnd"/>
      <w:r w:rsidRPr="009377FC">
        <w:rPr>
          <w:rFonts w:ascii="Arial" w:hAnsi="Arial" w:cs="Arial"/>
          <w:i/>
          <w:iCs/>
          <w:color w:val="000000"/>
          <w:sz w:val="24"/>
          <w:szCs w:val="22"/>
        </w:rPr>
        <w:t xml:space="preserve"> </w:t>
      </w:r>
      <w:r w:rsidRPr="009377FC">
        <w:rPr>
          <w:rFonts w:ascii="Arial" w:hAnsi="Arial" w:cs="Arial"/>
          <w:color w:val="000000"/>
          <w:sz w:val="24"/>
          <w:szCs w:val="22"/>
        </w:rPr>
        <w:t>to the default value (0xffff).”</w:t>
      </w:r>
    </w:p>
    <w:p w:rsidR="00874B66" w:rsidRPr="009377FC" w:rsidRDefault="00874B66" w:rsidP="00874B66">
      <w:pPr>
        <w:pStyle w:val="PlainText"/>
        <w:rPr>
          <w:rFonts w:ascii="Arial" w:hAnsi="Arial" w:cs="Arial"/>
          <w:color w:val="000000"/>
          <w:sz w:val="24"/>
          <w:szCs w:val="22"/>
        </w:rPr>
      </w:pPr>
    </w:p>
    <w:p w:rsidR="00874B66" w:rsidRPr="009377FC" w:rsidRDefault="00874B66" w:rsidP="00874B66">
      <w:pPr>
        <w:pStyle w:val="PlainText"/>
        <w:rPr>
          <w:rFonts w:ascii="Arial" w:hAnsi="Arial" w:cs="Arial"/>
          <w:b/>
          <w:color w:val="000000"/>
          <w:sz w:val="24"/>
          <w:szCs w:val="22"/>
        </w:rPr>
      </w:pPr>
      <w:r w:rsidRPr="009377FC">
        <w:rPr>
          <w:rFonts w:ascii="Arial" w:hAnsi="Arial" w:cs="Arial"/>
          <w:b/>
          <w:color w:val="000000"/>
          <w:sz w:val="24"/>
          <w:szCs w:val="22"/>
        </w:rPr>
        <w:t>Item 4)</w:t>
      </w:r>
    </w:p>
    <w:p w:rsidR="00874B66" w:rsidRDefault="00874B66" w:rsidP="00874B66">
      <w:pPr>
        <w:widowControl w:val="0"/>
        <w:autoSpaceDE w:val="0"/>
        <w:autoSpaceDN w:val="0"/>
        <w:adjustRightInd w:val="0"/>
        <w:rPr>
          <w:rFonts w:ascii="Arial" w:hAnsi="Arial" w:cs="Arial"/>
          <w:sz w:val="22"/>
          <w:szCs w:val="22"/>
        </w:rPr>
      </w:pPr>
      <w:r>
        <w:rPr>
          <w:rFonts w:ascii="Arial" w:hAnsi="Arial" w:cs="Arial"/>
          <w:sz w:val="22"/>
          <w:szCs w:val="22"/>
        </w:rPr>
        <w:t>Change required:</w:t>
      </w:r>
    </w:p>
    <w:p w:rsidR="00874B66" w:rsidRDefault="00874B66" w:rsidP="00874B66">
      <w:pPr>
        <w:widowControl w:val="0"/>
        <w:autoSpaceDE w:val="0"/>
        <w:autoSpaceDN w:val="0"/>
        <w:adjustRightInd w:val="0"/>
        <w:rPr>
          <w:rFonts w:ascii="Arial" w:hAnsi="Arial" w:cs="Arial"/>
          <w:sz w:val="22"/>
          <w:szCs w:val="22"/>
        </w:rPr>
      </w:pPr>
      <w:r>
        <w:rPr>
          <w:rFonts w:ascii="Arial" w:hAnsi="Arial" w:cs="Arial"/>
          <w:sz w:val="22"/>
          <w:szCs w:val="22"/>
        </w:rPr>
        <w:t>The device should stop sending its own beacon and inform the next higher layer by generating an MLME-SYNC-</w:t>
      </w:r>
      <w:proofErr w:type="spellStart"/>
      <w:r>
        <w:rPr>
          <w:rFonts w:ascii="Arial" w:hAnsi="Arial" w:cs="Arial"/>
          <w:sz w:val="22"/>
          <w:szCs w:val="22"/>
        </w:rPr>
        <w:t>LOSS.indication</w:t>
      </w:r>
      <w:proofErr w:type="spellEnd"/>
      <w:r>
        <w:rPr>
          <w:rFonts w:ascii="Arial" w:hAnsi="Arial" w:cs="Arial"/>
          <w:sz w:val="22"/>
          <w:szCs w:val="22"/>
        </w:rPr>
        <w:t xml:space="preserve"> with status of SUPERFRAME_OVERLAP.</w:t>
      </w:r>
    </w:p>
    <w:p w:rsidR="00874B66" w:rsidRDefault="00874B66" w:rsidP="00874B66">
      <w:pPr>
        <w:widowControl w:val="0"/>
        <w:autoSpaceDE w:val="0"/>
        <w:autoSpaceDN w:val="0"/>
        <w:adjustRightInd w:val="0"/>
        <w:rPr>
          <w:rFonts w:ascii="Arial" w:hAnsi="Arial" w:cs="Arial"/>
          <w:sz w:val="28"/>
          <w:szCs w:val="28"/>
        </w:rPr>
      </w:pPr>
      <w:r>
        <w:rPr>
          <w:rFonts w:ascii="Arial" w:hAnsi="Arial" w:cs="Arial"/>
          <w:sz w:val="22"/>
          <w:szCs w:val="22"/>
        </w:rPr>
        <w:t xml:space="preserve">Note: </w:t>
      </w:r>
      <w:r>
        <w:rPr>
          <w:rFonts w:ascii="Arial" w:hAnsi="Arial" w:cs="Arial"/>
          <w:sz w:val="28"/>
          <w:szCs w:val="28"/>
        </w:rPr>
        <w:t> </w:t>
      </w:r>
    </w:p>
    <w:p w:rsidR="00874B66" w:rsidRDefault="00874B66" w:rsidP="00874B66">
      <w:pPr>
        <w:tabs>
          <w:tab w:val="num" w:pos="360"/>
        </w:tabs>
        <w:ind w:left="360"/>
        <w:rPr>
          <w:rFonts w:ascii="Arial" w:hAnsi="Arial" w:cs="Arial"/>
          <w:sz w:val="22"/>
          <w:szCs w:val="22"/>
        </w:rPr>
      </w:pPr>
      <w:r>
        <w:rPr>
          <w:rFonts w:ascii="Arial" w:hAnsi="Arial" w:cs="Arial"/>
          <w:sz w:val="22"/>
          <w:szCs w:val="22"/>
        </w:rPr>
        <w:t>This status enumeration was added in 15.4-2006 as a status for the MLME-</w:t>
      </w:r>
      <w:proofErr w:type="spellStart"/>
      <w:r>
        <w:rPr>
          <w:rFonts w:ascii="Arial" w:hAnsi="Arial" w:cs="Arial"/>
          <w:sz w:val="22"/>
          <w:szCs w:val="22"/>
        </w:rPr>
        <w:t>START.confirm</w:t>
      </w:r>
      <w:proofErr w:type="spellEnd"/>
      <w:r>
        <w:rPr>
          <w:rFonts w:ascii="Arial" w:hAnsi="Arial" w:cs="Arial"/>
          <w:sz w:val="22"/>
          <w:szCs w:val="22"/>
        </w:rPr>
        <w:t xml:space="preserve"> message to cover the condition described when it occurs during the MLME-</w:t>
      </w:r>
      <w:proofErr w:type="spellStart"/>
      <w:r>
        <w:rPr>
          <w:rFonts w:ascii="Arial" w:hAnsi="Arial" w:cs="Arial"/>
          <w:sz w:val="22"/>
          <w:szCs w:val="22"/>
        </w:rPr>
        <w:t>START.request</w:t>
      </w:r>
      <w:proofErr w:type="spellEnd"/>
      <w:r>
        <w:rPr>
          <w:rFonts w:ascii="Arial" w:hAnsi="Arial" w:cs="Arial"/>
          <w:sz w:val="22"/>
          <w:szCs w:val="22"/>
        </w:rPr>
        <w:t>.</w:t>
      </w:r>
    </w:p>
    <w:p w:rsidR="006D0AFE" w:rsidRDefault="006D0AFE" w:rsidP="00874B66">
      <w:pPr>
        <w:tabs>
          <w:tab w:val="num" w:pos="360"/>
        </w:tabs>
        <w:ind w:left="360"/>
        <w:rPr>
          <w:rFonts w:ascii="Arial" w:hAnsi="Arial" w:cs="Arial"/>
          <w:sz w:val="22"/>
          <w:szCs w:val="22"/>
        </w:rPr>
      </w:pPr>
    </w:p>
    <w:p w:rsidR="006D0AFE" w:rsidRPr="009377FC" w:rsidRDefault="00A45169" w:rsidP="006D0AFE">
      <w:pPr>
        <w:pStyle w:val="PlainText"/>
        <w:rPr>
          <w:rFonts w:ascii="Arial" w:hAnsi="Arial" w:cs="Arial"/>
          <w:b/>
          <w:color w:val="000000"/>
          <w:sz w:val="24"/>
          <w:szCs w:val="22"/>
        </w:rPr>
      </w:pPr>
      <w:r>
        <w:rPr>
          <w:rFonts w:ascii="Arial" w:hAnsi="Arial" w:cs="Arial"/>
          <w:b/>
          <w:color w:val="000000"/>
          <w:sz w:val="24"/>
          <w:szCs w:val="22"/>
        </w:rPr>
        <w:br w:type="page"/>
      </w:r>
      <w:r w:rsidR="006D0AFE" w:rsidRPr="009377FC">
        <w:rPr>
          <w:rFonts w:ascii="Arial" w:hAnsi="Arial" w:cs="Arial"/>
          <w:b/>
          <w:color w:val="000000"/>
          <w:sz w:val="24"/>
          <w:szCs w:val="22"/>
        </w:rPr>
        <w:t xml:space="preserve">Item </w:t>
      </w:r>
      <w:r w:rsidR="006D0AFE">
        <w:rPr>
          <w:rFonts w:ascii="Arial" w:hAnsi="Arial" w:cs="Arial"/>
          <w:b/>
          <w:color w:val="000000"/>
          <w:sz w:val="24"/>
          <w:szCs w:val="22"/>
        </w:rPr>
        <w:t>5</w:t>
      </w:r>
      <w:r w:rsidR="006D0AFE" w:rsidRPr="009377FC">
        <w:rPr>
          <w:rFonts w:ascii="Arial" w:hAnsi="Arial" w:cs="Arial"/>
          <w:b/>
          <w:color w:val="000000"/>
          <w:sz w:val="24"/>
          <w:szCs w:val="22"/>
        </w:rPr>
        <w:t>)</w:t>
      </w:r>
    </w:p>
    <w:p w:rsidR="006D0AFE" w:rsidRDefault="006D0AFE" w:rsidP="006D0AFE">
      <w:r>
        <w:t xml:space="preserve">The above raise two issues firstly there is an error in equation for the reference </w:t>
      </w:r>
      <w:proofErr w:type="gramStart"/>
      <w:r>
        <w:t>pulse ,</w:t>
      </w:r>
      <w:r>
        <w:rPr>
          <w:i/>
        </w:rPr>
        <w:t>r</w:t>
      </w:r>
      <w:proofErr w:type="gramEnd"/>
      <w:r>
        <w:t>(</w:t>
      </w:r>
      <w:r w:rsidRPr="0013642B">
        <w:rPr>
          <w:i/>
        </w:rPr>
        <w:t>t</w:t>
      </w:r>
      <w:r>
        <w:t>), in section 6.8a.12.1(draft 7) it should be :</w:t>
      </w:r>
    </w:p>
    <w:p w:rsidR="006D0AFE" w:rsidRDefault="006D0AFE" w:rsidP="006D0AFE"/>
    <w:p w:rsidR="006D0AFE" w:rsidRDefault="006D0AFE" w:rsidP="006D0AFE"/>
    <w:p w:rsidR="006D0AFE" w:rsidRDefault="006D0AFE" w:rsidP="006D0AFE">
      <w:r w:rsidRPr="0013642B">
        <w:rPr>
          <w:position w:val="-36"/>
        </w:rPr>
        <w:object w:dxaOrig="478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6pt;height:56.95pt" o:ole="">
            <v:imagedata r:id="rId8" o:title=""/>
          </v:shape>
          <o:OLEObject Type="Embed" ProgID="Equation.3" ShapeID="_x0000_i1025" DrawAspect="Content" ObjectID="_1330191026" r:id="rId9"/>
        </w:object>
      </w:r>
    </w:p>
    <w:p w:rsidR="006D0AFE" w:rsidRDefault="006D0AFE" w:rsidP="006D0AFE"/>
    <w:p w:rsidR="006D0AFE" w:rsidRDefault="006D0AFE" w:rsidP="006D0AFE">
      <w:r>
        <w:t xml:space="preserve">Secondly the requestor asks for a clarification of the pulse width parameter, </w:t>
      </w:r>
      <w:r w:rsidRPr="00D54DB1">
        <w:rPr>
          <w:i/>
        </w:rPr>
        <w:t>T</w:t>
      </w:r>
      <w:r w:rsidRPr="00D54DB1">
        <w:rPr>
          <w:i/>
          <w:vertAlign w:val="subscript"/>
        </w:rPr>
        <w:t>p</w:t>
      </w:r>
      <w:r>
        <w:t xml:space="preserve">. According to the corrected equation for </w:t>
      </w:r>
      <w:proofErr w:type="gramStart"/>
      <w:r w:rsidRPr="00D54DB1">
        <w:rPr>
          <w:i/>
        </w:rPr>
        <w:t>r</w:t>
      </w:r>
      <w:r>
        <w:t>(</w:t>
      </w:r>
      <w:proofErr w:type="gramEnd"/>
      <w:r w:rsidRPr="00D54DB1">
        <w:rPr>
          <w:i/>
        </w:rPr>
        <w:t>t</w:t>
      </w:r>
      <w:r>
        <w:t xml:space="preserve">) above the parameter </w:t>
      </w:r>
      <w:proofErr w:type="spellStart"/>
      <w:r w:rsidRPr="00D54DB1">
        <w:rPr>
          <w:i/>
        </w:rPr>
        <w:t>T</w:t>
      </w:r>
      <w:r w:rsidRPr="00D54DB1">
        <w:rPr>
          <w:i/>
          <w:vertAlign w:val="subscript"/>
        </w:rPr>
        <w:t>p</w:t>
      </w:r>
      <w:proofErr w:type="spellEnd"/>
      <w:r>
        <w:t xml:space="preserve"> is the half pulse amplitude point.  So for example if </w:t>
      </w:r>
      <w:proofErr w:type="spellStart"/>
      <w:r w:rsidRPr="00D54DB1">
        <w:rPr>
          <w:i/>
        </w:rPr>
        <w:t>T</w:t>
      </w:r>
      <w:r w:rsidRPr="00D54DB1">
        <w:rPr>
          <w:i/>
          <w:vertAlign w:val="subscript"/>
        </w:rPr>
        <w:t>p</w:t>
      </w:r>
      <w:proofErr w:type="spellEnd"/>
      <w:r>
        <w:t xml:space="preserve"> = 2 </w:t>
      </w:r>
      <w:r w:rsidRPr="00D54DB1">
        <w:rPr>
          <w:i/>
        </w:rPr>
        <w:t>ns</w:t>
      </w:r>
      <w:r>
        <w:t xml:space="preserve"> then </w:t>
      </w:r>
      <w:proofErr w:type="gramStart"/>
      <w:r>
        <w:t>r(</w:t>
      </w:r>
      <w:proofErr w:type="gramEnd"/>
      <w:r>
        <w:t>-1) = r(1) = r(0)/2.</w:t>
      </w:r>
    </w:p>
    <w:p w:rsidR="006D0AFE" w:rsidRDefault="006D0AFE" w:rsidP="006D0AFE">
      <w:pPr>
        <w:tabs>
          <w:tab w:val="num" w:pos="360"/>
        </w:tabs>
      </w:pPr>
    </w:p>
    <w:p w:rsidR="00D04080" w:rsidRPr="00A747EC" w:rsidRDefault="00D04080" w:rsidP="006D0AFE">
      <w:pPr>
        <w:tabs>
          <w:tab w:val="num" w:pos="360"/>
        </w:tabs>
        <w:rPr>
          <w:b/>
        </w:rPr>
      </w:pPr>
      <w:r w:rsidRPr="00A747EC">
        <w:rPr>
          <w:b/>
        </w:rPr>
        <w:t>Item 6)</w:t>
      </w:r>
    </w:p>
    <w:p w:rsidR="00D04080" w:rsidRPr="00894CF4" w:rsidRDefault="009C015B" w:rsidP="006D0AFE">
      <w:pPr>
        <w:tabs>
          <w:tab w:val="num" w:pos="360"/>
        </w:tabs>
      </w:pPr>
      <w:r>
        <w:t>Proposed resolution is contained in document 15-08-849-00</w:t>
      </w:r>
    </w:p>
    <w:sectPr w:rsidR="00D04080" w:rsidRPr="00894CF4">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008"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080" w:rsidRDefault="00D04080">
      <w:r>
        <w:separator/>
      </w:r>
    </w:p>
  </w:endnote>
  <w:endnote w:type="continuationSeparator" w:id="0">
    <w:p w:rsidR="00D04080" w:rsidRDefault="00D040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80" w:rsidRDefault="00D0408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Pat Kinney, Kinney Consulting LLC</w:t>
    </w:r>
    <w:r>
      <w:br/>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80" w:rsidRDefault="00D0408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Pr>
        <w:lang w:val="fr-FR"/>
      </w:rPr>
      <w:t>Submission</w:t>
    </w:r>
    <w:proofErr w:type="spellEnd"/>
    <w:r>
      <w:rPr>
        <w:lang w:val="fr-FR"/>
      </w:rPr>
      <w:tab/>
      <w:t xml:space="preserve">Page </w:t>
    </w:r>
    <w:r>
      <w:pgNum/>
    </w:r>
    <w:r>
      <w:rPr>
        <w:lang w:val="fr-FR"/>
      </w:rPr>
      <w:tab/>
      <w:t xml:space="preserve">D. Kawaguchi, </w:t>
    </w:r>
    <w:proofErr w:type="spellStart"/>
    <w:r>
      <w:rPr>
        <w:lang w:val="fr-FR"/>
      </w:rPr>
      <w:t>Symbol</w:t>
    </w:r>
    <w:proofErr w:type="spellEnd"/>
    <w:r>
      <w:rPr>
        <w:lang w:val="fr-FR"/>
      </w:rPr>
      <w:t xml:space="preserve">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080" w:rsidRDefault="00D04080">
      <w:r>
        <w:separator/>
      </w:r>
    </w:p>
  </w:footnote>
  <w:footnote w:type="continuationSeparator" w:id="0">
    <w:p w:rsidR="00D04080" w:rsidRDefault="00D04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80" w:rsidRDefault="00D04080" w:rsidP="00874B6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2010</w:t>
    </w:r>
    <w:r>
      <w:rPr>
        <w:b/>
        <w:sz w:val="28"/>
      </w:rPr>
      <w:tab/>
      <w:t xml:space="preserve"> Doc 15-09-0790-0</w:t>
    </w:r>
    <w:r w:rsidR="004936A1">
      <w:rPr>
        <w:b/>
        <w:sz w:val="28"/>
      </w:rPr>
      <w:t>1</w:t>
    </w:r>
    <w:r>
      <w:rPr>
        <w:b/>
        <w:sz w:val="28"/>
      </w:rPr>
      <w:t>-0000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80" w:rsidRDefault="00D0408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2493E2"/>
    <w:lvl w:ilvl="0">
      <w:start w:val="1"/>
      <w:numFmt w:val="bullet"/>
      <w:lvlText w:val=""/>
      <w:lvlJc w:val="left"/>
      <w:pPr>
        <w:tabs>
          <w:tab w:val="num" w:pos="360"/>
        </w:tabs>
        <w:ind w:left="360" w:hanging="360"/>
      </w:pPr>
      <w:rPr>
        <w:rFonts w:ascii="Symbol" w:hAnsi="Symbol" w:hint="default"/>
      </w:rPr>
    </w:lvl>
  </w:abstractNum>
  <w:abstractNum w:abstractNumId="1">
    <w:nsid w:val="06F93D98"/>
    <w:multiLevelType w:val="hybridMultilevel"/>
    <w:tmpl w:val="7F881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A6C88"/>
    <w:multiLevelType w:val="hybridMultilevel"/>
    <w:tmpl w:val="CEC601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2F9146E"/>
    <w:multiLevelType w:val="hybridMultilevel"/>
    <w:tmpl w:val="CE2AA172"/>
    <w:lvl w:ilvl="0" w:tplc="B1C6A7C4">
      <w:start w:val="2"/>
      <w:numFmt w:val="decimal"/>
      <w:lvlText w:val="%1)"/>
      <w:lvlJc w:val="left"/>
      <w:pPr>
        <w:tabs>
          <w:tab w:val="num" w:pos="1275"/>
        </w:tabs>
        <w:ind w:left="1275" w:hanging="5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E8161A"/>
    <w:multiLevelType w:val="hybridMultilevel"/>
    <w:tmpl w:val="94DA0CD0"/>
    <w:lvl w:ilvl="0" w:tplc="D4AA11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06A4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226C4405"/>
    <w:multiLevelType w:val="hybridMultilevel"/>
    <w:tmpl w:val="89562C28"/>
    <w:lvl w:ilvl="0" w:tplc="B1C6A7C4">
      <w:start w:val="1"/>
      <w:numFmt w:val="decimal"/>
      <w:lvlText w:val="%1)"/>
      <w:lvlJc w:val="left"/>
      <w:pPr>
        <w:tabs>
          <w:tab w:val="num" w:pos="735"/>
        </w:tabs>
        <w:ind w:left="735" w:hanging="55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2B2F71F8"/>
    <w:multiLevelType w:val="hybridMultilevel"/>
    <w:tmpl w:val="2E7A6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0C0045"/>
    <w:multiLevelType w:val="hybridMultilevel"/>
    <w:tmpl w:val="AE208A5E"/>
    <w:lvl w:ilvl="0" w:tplc="B1C6A7C4">
      <w:start w:val="2"/>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7078A9"/>
    <w:multiLevelType w:val="multilevel"/>
    <w:tmpl w:val="485A06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88A1D2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59A14A3F"/>
    <w:multiLevelType w:val="hybridMultilevel"/>
    <w:tmpl w:val="2BBE8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0B7ABC"/>
    <w:multiLevelType w:val="hybridMultilevel"/>
    <w:tmpl w:val="C0565EFC"/>
    <w:lvl w:ilvl="0" w:tplc="FFFC13C0">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8B07D1"/>
    <w:multiLevelType w:val="hybridMultilevel"/>
    <w:tmpl w:val="1C228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DD3F2C"/>
    <w:multiLevelType w:val="hybridMultilevel"/>
    <w:tmpl w:val="8FCE4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8E0179B"/>
    <w:multiLevelType w:val="hybridMultilevel"/>
    <w:tmpl w:val="7A2C854C"/>
    <w:lvl w:ilvl="0" w:tplc="50B0D030">
      <w:start w:val="1"/>
      <w:numFmt w:val="decimal"/>
      <w:lvlText w:val="%1)"/>
      <w:lvlJc w:val="left"/>
      <w:pPr>
        <w:tabs>
          <w:tab w:val="num" w:pos="360"/>
        </w:tabs>
        <w:ind w:left="360" w:hanging="36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0D55D8"/>
    <w:multiLevelType w:val="hybridMultilevel"/>
    <w:tmpl w:val="121C2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834505"/>
    <w:multiLevelType w:val="hybridMultilevel"/>
    <w:tmpl w:val="06EE57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8"/>
  </w:num>
  <w:num w:numId="2">
    <w:abstractNumId w:val="10"/>
  </w:num>
  <w:num w:numId="3">
    <w:abstractNumId w:val="5"/>
  </w:num>
  <w:num w:numId="4">
    <w:abstractNumId w:val="17"/>
  </w:num>
  <w:num w:numId="5">
    <w:abstractNumId w:val="2"/>
  </w:num>
  <w:num w:numId="6">
    <w:abstractNumId w:val="0"/>
  </w:num>
  <w:num w:numId="7">
    <w:abstractNumId w:val="12"/>
  </w:num>
  <w:num w:numId="8">
    <w:abstractNumId w:val="8"/>
  </w:num>
  <w:num w:numId="9">
    <w:abstractNumId w:val="3"/>
  </w:num>
  <w:num w:numId="10">
    <w:abstractNumId w:val="6"/>
  </w:num>
  <w:num w:numId="11">
    <w:abstractNumId w:val="15"/>
  </w:num>
  <w:num w:numId="12">
    <w:abstractNumId w:val="14"/>
  </w:num>
  <w:num w:numId="13">
    <w:abstractNumId w:val="16"/>
  </w:num>
  <w:num w:numId="14">
    <w:abstractNumId w:val="4"/>
  </w:num>
  <w:num w:numId="15">
    <w:abstractNumId w:val="9"/>
  </w:num>
  <w:num w:numId="16">
    <w:abstractNumId w:val="1"/>
  </w:num>
  <w:num w:numId="17">
    <w:abstractNumId w:val="13"/>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n-US" w:vendorID="8" w:dllVersion="513" w:checkStyle="1"/>
  <w:activeWritingStyle w:appName="MSWord" w:lang="fr-FR" w:vendorID="9" w:dllVersion="512"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074"/>
  </w:hdrShapeDefaults>
  <w:footnotePr>
    <w:pos w:val="beneathText"/>
    <w:footnote w:id="-1"/>
    <w:footnote w:id="0"/>
  </w:footnotePr>
  <w:endnotePr>
    <w:endnote w:id="-1"/>
    <w:endnote w:id="0"/>
  </w:endnotePr>
  <w:compat/>
  <w:rsids>
    <w:rsidRoot w:val="00257692"/>
    <w:rsid w:val="00061D38"/>
    <w:rsid w:val="000A5D96"/>
    <w:rsid w:val="00255B82"/>
    <w:rsid w:val="00256230"/>
    <w:rsid w:val="003E3E61"/>
    <w:rsid w:val="0042086B"/>
    <w:rsid w:val="004936A1"/>
    <w:rsid w:val="006549CD"/>
    <w:rsid w:val="00674DC5"/>
    <w:rsid w:val="006D0AFE"/>
    <w:rsid w:val="00770EAC"/>
    <w:rsid w:val="00874B66"/>
    <w:rsid w:val="008842DF"/>
    <w:rsid w:val="00916EF9"/>
    <w:rsid w:val="009235B4"/>
    <w:rsid w:val="009377FC"/>
    <w:rsid w:val="009C015B"/>
    <w:rsid w:val="009C511D"/>
    <w:rsid w:val="00A45169"/>
    <w:rsid w:val="00A747EC"/>
    <w:rsid w:val="00D04080"/>
    <w:rsid w:val="00FF0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Title">
    <w:name w:val="Title"/>
    <w:basedOn w:val="Normal"/>
    <w:qFormat/>
    <w:pPr>
      <w:jc w:val="center"/>
    </w:pPr>
    <w:rPr>
      <w:b/>
      <w:sz w:val="28"/>
    </w:rPr>
  </w:style>
  <w:style w:type="paragraph" w:styleId="BodyText2">
    <w:name w:val="Body Text 2"/>
    <w:basedOn w:val="Normal"/>
    <w:pPr>
      <w:jc w:val="center"/>
    </w:pPr>
    <w:rPr>
      <w:rFonts w:ascii="Arial" w:hAnsi="Arial"/>
      <w:sz w:val="20"/>
    </w:rPr>
  </w:style>
  <w:style w:type="paragraph" w:styleId="ListBullet">
    <w:name w:val="List Bullet"/>
    <w:basedOn w:val="Normal"/>
    <w:autoRedefine/>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link w:val="HTMLPreformattedChar"/>
    <w:rsid w:val="00674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ja-JP"/>
    </w:rPr>
  </w:style>
  <w:style w:type="character" w:customStyle="1" w:styleId="HTMLPreformattedChar">
    <w:name w:val="HTML Preformatted Char"/>
    <w:basedOn w:val="DefaultParagraphFont"/>
    <w:link w:val="HTMLPreformatted"/>
    <w:rsid w:val="00674DC5"/>
    <w:rPr>
      <w:rFonts w:ascii="Courier New" w:eastAsia="Batang" w:hAnsi="Courier New" w:cs="Courier New"/>
      <w:lang w:eastAsia="ja-JP"/>
    </w:rPr>
  </w:style>
</w:styles>
</file>

<file path=word/webSettings.xml><?xml version="1.0" encoding="utf-8"?>
<w:webSettings xmlns:r="http://schemas.openxmlformats.org/officeDocument/2006/relationships" xmlns:w="http://schemas.openxmlformats.org/wordprocessingml/2006/main">
  <w:divs>
    <w:div w:id="533690334">
      <w:bodyDiv w:val="1"/>
      <w:marLeft w:val="0"/>
      <w:marRight w:val="0"/>
      <w:marTop w:val="0"/>
      <w:marBottom w:val="0"/>
      <w:divBdr>
        <w:top w:val="none" w:sz="0" w:space="0" w:color="auto"/>
        <w:left w:val="none" w:sz="0" w:space="0" w:color="auto"/>
        <w:bottom w:val="none" w:sz="0" w:space="0" w:color="auto"/>
        <w:right w:val="none" w:sz="0" w:space="0" w:color="auto"/>
      </w:divBdr>
    </w:div>
    <w:div w:id="177709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IEEE%20P802.15\Template\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D281-B61E-460B-AB58-54924D4F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22</TotalTime>
  <Pages>5</Pages>
  <Words>1052</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IEEE P802.15.Corrigenda</vt:lpstr>
    </vt:vector>
  </TitlesOfParts>
  <Manager/>
  <Company>Kinney Consulting LLC</Company>
  <LinksUpToDate>false</LinksUpToDate>
  <CharactersWithSpaces>6592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P802.15.Corrigenda</dc:title>
  <dc:subject>Corrigenda</dc:subject>
  <dc:creator>Pat Kinney</dc:creator>
  <cp:keywords/>
  <dc:description> </dc:description>
  <cp:lastModifiedBy>Pat Kinney</cp:lastModifiedBy>
  <cp:revision>4</cp:revision>
  <cp:lastPrinted>2001-11-05T18:59:00Z</cp:lastPrinted>
  <dcterms:created xsi:type="dcterms:W3CDTF">2010-03-16T02:24:00Z</dcterms:created>
  <dcterms:modified xsi:type="dcterms:W3CDTF">2010-03-16T02:44:00Z</dcterms:modified>
  <cp:category>15-09-0790-01-0040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149753403</vt:i4>
  </property>
  <property fmtid="{D5CDD505-2E9C-101B-9397-08002B2CF9AE}" pid="3" name="_EmailSubject">
    <vt:lpwstr>802.15.4SGa Call For Applications</vt:lpwstr>
  </property>
  <property fmtid="{D5CDD505-2E9C-101B-9397-08002B2CF9AE}" pid="4" name="_AuthorEmailDisplayName">
    <vt:lpwstr>Ellis, Jason</vt:lpwstr>
  </property>
  <property fmtid="{D5CDD505-2E9C-101B-9397-08002B2CF9AE}" pid="5" name="_ReviewingToolsShownOnce">
    <vt:lpwstr/>
  </property>
</Properties>
</file>