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549"/>
        <w:gridCol w:w="1701"/>
        <w:gridCol w:w="1926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36868" w:rsidP="0066260F">
            <w:pPr>
              <w:pStyle w:val="T2"/>
            </w:pPr>
            <w:r>
              <w:t>PQC SG 27 March 2025 Teleconference Meeting Minutes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307C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36868">
              <w:rPr>
                <w:b w:val="0"/>
                <w:sz w:val="20"/>
              </w:rPr>
              <w:t>2025</w:t>
            </w:r>
            <w:r>
              <w:rPr>
                <w:b w:val="0"/>
                <w:sz w:val="20"/>
              </w:rPr>
              <w:t>-</w:t>
            </w:r>
            <w:r w:rsidR="00136868">
              <w:rPr>
                <w:b w:val="0"/>
                <w:sz w:val="20"/>
              </w:rPr>
              <w:t>0</w:t>
            </w:r>
            <w:r w:rsidR="00B307C6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B307C6">
              <w:rPr>
                <w:b w:val="0"/>
                <w:sz w:val="20"/>
              </w:rPr>
              <w:t>01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13686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4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2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136868">
        <w:trPr>
          <w:jc w:val="center"/>
        </w:trPr>
        <w:tc>
          <w:tcPr>
            <w:tcW w:w="1336" w:type="dxa"/>
            <w:vAlign w:val="center"/>
          </w:tcPr>
          <w:p w:rsidR="00CA09B2" w:rsidRDefault="001368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 Lungu</w:t>
            </w:r>
          </w:p>
        </w:tc>
        <w:tc>
          <w:tcPr>
            <w:tcW w:w="2064" w:type="dxa"/>
            <w:vAlign w:val="center"/>
          </w:tcPr>
          <w:p w:rsidR="00CA09B2" w:rsidRDefault="001368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2549" w:type="dxa"/>
            <w:vAlign w:val="center"/>
          </w:tcPr>
          <w:p w:rsidR="00CA09B2" w:rsidRDefault="001368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OCS, CB4 0AE, U.K.</w:t>
            </w:r>
          </w:p>
        </w:tc>
        <w:tc>
          <w:tcPr>
            <w:tcW w:w="1701" w:type="dxa"/>
            <w:vAlign w:val="center"/>
          </w:tcPr>
          <w:p w:rsidR="00CA09B2" w:rsidRDefault="001368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+44 1223 434600</w:t>
            </w:r>
          </w:p>
        </w:tc>
        <w:tc>
          <w:tcPr>
            <w:tcW w:w="1926" w:type="dxa"/>
            <w:vAlign w:val="center"/>
          </w:tcPr>
          <w:p w:rsidR="00CA09B2" w:rsidRDefault="0013686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da.lungu@samsung.com</w:t>
            </w:r>
          </w:p>
        </w:tc>
      </w:tr>
    </w:tbl>
    <w:p w:rsidR="00CA09B2" w:rsidRDefault="00673CF5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BEA8BF" wp14:editId="61296BA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7BC" w:rsidRDefault="000F37B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F37BC" w:rsidRDefault="000F37BC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proofErr w:type="spellStart"/>
                            <w:r>
                              <w:t>containes</w:t>
                            </w:r>
                            <w:proofErr w:type="spellEnd"/>
                            <w:r>
                              <w:t xml:space="preserve"> the minutes for the PQC SG </w:t>
                            </w:r>
                            <w:r w:rsidR="00B307C6">
                              <w:t>t</w:t>
                            </w:r>
                            <w:r>
                              <w:t>eleconference that took place on the 27</w:t>
                            </w:r>
                            <w:r w:rsidRPr="00136868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of March 2025.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EA8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0F37BC" w:rsidRDefault="000F37B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F37BC" w:rsidRDefault="000F37BC">
                      <w:pPr>
                        <w:jc w:val="both"/>
                      </w:pPr>
                      <w:r>
                        <w:t xml:space="preserve">This document </w:t>
                      </w:r>
                      <w:proofErr w:type="spellStart"/>
                      <w:r>
                        <w:t>containes</w:t>
                      </w:r>
                      <w:proofErr w:type="spellEnd"/>
                      <w:r>
                        <w:t xml:space="preserve"> the minutes for the PQC SG </w:t>
                      </w:r>
                      <w:r w:rsidR="00B307C6">
                        <w:t>t</w:t>
                      </w:r>
                      <w:r>
                        <w:t>eleconference that took place on the 27</w:t>
                      </w:r>
                      <w:r w:rsidRPr="00136868">
                        <w:rPr>
                          <w:vertAlign w:val="superscript"/>
                        </w:rPr>
                        <w:t>th</w:t>
                      </w:r>
                      <w:r>
                        <w:t xml:space="preserve"> of March 2025.</w:t>
                      </w:r>
                    </w:p>
                  </w:txbxContent>
                </v:textbox>
              </v:shape>
            </w:pict>
          </mc:Fallback>
        </mc:AlternateContent>
      </w:r>
    </w:p>
    <w:p w:rsidR="00136868" w:rsidRDefault="00CA09B2" w:rsidP="00136868">
      <w:pPr>
        <w:pStyle w:val="Heading1"/>
      </w:pPr>
      <w:r>
        <w:br w:type="page"/>
      </w:r>
      <w:r w:rsidR="00136868">
        <w:lastRenderedPageBreak/>
        <w:t xml:space="preserve"> </w:t>
      </w:r>
    </w:p>
    <w:p w:rsidR="00C77A36" w:rsidRDefault="0066260F" w:rsidP="00D10CCB">
      <w:pPr>
        <w:pStyle w:val="ListParagraph"/>
        <w:numPr>
          <w:ilvl w:val="0"/>
          <w:numId w:val="1"/>
        </w:numPr>
      </w:pPr>
      <w:r>
        <w:t>The Chair, Stephen Orr (Cisco), calls the meeting to order</w:t>
      </w:r>
      <w:r w:rsidR="00D56E7C">
        <w:t xml:space="preserve"> at 12:02 ET</w:t>
      </w:r>
      <w:r>
        <w:t>.</w:t>
      </w:r>
    </w:p>
    <w:p w:rsidR="0066260F" w:rsidRDefault="0066260F" w:rsidP="0066260F">
      <w:pPr>
        <w:pStyle w:val="ListParagraph"/>
        <w:numPr>
          <w:ilvl w:val="0"/>
          <w:numId w:val="1"/>
        </w:numPr>
      </w:pPr>
      <w:r>
        <w:t>Chair provides reminders:</w:t>
      </w:r>
    </w:p>
    <w:p w:rsidR="0066260F" w:rsidRDefault="0066260F" w:rsidP="0066260F">
      <w:pPr>
        <w:pStyle w:val="ListParagraph"/>
        <w:numPr>
          <w:ilvl w:val="1"/>
          <w:numId w:val="1"/>
        </w:numPr>
      </w:pPr>
      <w:r>
        <w:t xml:space="preserve">Please record your attendance during the session by using the IMAT system. </w:t>
      </w:r>
    </w:p>
    <w:p w:rsidR="0066260F" w:rsidRDefault="0066260F" w:rsidP="0066260F">
      <w:pPr>
        <w:pStyle w:val="ListParagraph"/>
        <w:numPr>
          <w:ilvl w:val="1"/>
          <w:numId w:val="1"/>
        </w:numPr>
      </w:pPr>
      <w:r>
        <w:t xml:space="preserve">No recordings </w:t>
      </w:r>
      <w:proofErr w:type="gramStart"/>
      <w:r>
        <w:t>are allowed</w:t>
      </w:r>
      <w:proofErr w:type="gramEnd"/>
      <w:r>
        <w:t>.</w:t>
      </w:r>
    </w:p>
    <w:p w:rsidR="0066260F" w:rsidRDefault="0066260F" w:rsidP="0066260F">
      <w:pPr>
        <w:pStyle w:val="ListParagraph"/>
        <w:numPr>
          <w:ilvl w:val="1"/>
          <w:numId w:val="1"/>
        </w:numPr>
      </w:pPr>
      <w:r>
        <w:t>Please use the mute function unless addressing the group.</w:t>
      </w:r>
    </w:p>
    <w:p w:rsidR="00C77A36" w:rsidRDefault="0066260F" w:rsidP="00D10CCB">
      <w:pPr>
        <w:pStyle w:val="ListParagraph"/>
        <w:numPr>
          <w:ilvl w:val="1"/>
          <w:numId w:val="1"/>
        </w:numPr>
      </w:pPr>
      <w:r w:rsidRPr="0066260F">
        <w:t>Please announce your affiliation when you first address the group during a meeting slot</w:t>
      </w:r>
      <w:r>
        <w:t>.</w:t>
      </w:r>
    </w:p>
    <w:p w:rsidR="00C77A36" w:rsidRDefault="00C77A36" w:rsidP="000F37BC">
      <w:pPr>
        <w:pStyle w:val="ListParagraph"/>
        <w:numPr>
          <w:ilvl w:val="0"/>
          <w:numId w:val="1"/>
        </w:numPr>
      </w:pPr>
      <w:r>
        <w:t>Policy and procedures</w:t>
      </w:r>
    </w:p>
    <w:p w:rsidR="0066260F" w:rsidRPr="0066260F" w:rsidRDefault="0066260F" w:rsidP="00C77A36">
      <w:pPr>
        <w:ind w:left="720"/>
      </w:pPr>
      <w:r>
        <w:t xml:space="preserve">Chair </w:t>
      </w:r>
      <w:r w:rsidR="00C77A36">
        <w:t>informs</w:t>
      </w:r>
      <w:r>
        <w:t xml:space="preserve"> that participants have a duty to inform the IEEE</w:t>
      </w:r>
      <w:r w:rsidR="00C77A36">
        <w:t xml:space="preserve"> </w:t>
      </w:r>
      <w:r w:rsidR="00D56E7C">
        <w:t>o</w:t>
      </w:r>
      <w:r w:rsidRPr="0066260F">
        <w:t>f each holder of any potential Essentia</w:t>
      </w:r>
      <w:r w:rsidR="00C77A36">
        <w:t xml:space="preserve">l </w:t>
      </w:r>
      <w:r w:rsidRPr="0066260F">
        <w:t xml:space="preserve">Patent Claims of which they are personally aware if the claims </w:t>
      </w:r>
      <w:proofErr w:type="gramStart"/>
      <w:r w:rsidRPr="0066260F">
        <w:t>are owned or controlled by the participant</w:t>
      </w:r>
      <w:proofErr w:type="gramEnd"/>
      <w:r w:rsidRPr="0066260F">
        <w:t xml:space="preserve"> or the entity the participant is from, employed by, or otherwise represents</w:t>
      </w:r>
      <w:r>
        <w:t>.</w:t>
      </w:r>
    </w:p>
    <w:p w:rsidR="0066260F" w:rsidRPr="0066260F" w:rsidRDefault="0066260F" w:rsidP="00C77A36">
      <w:pPr>
        <w:ind w:left="720"/>
      </w:pPr>
      <w:r w:rsidRPr="0066260F">
        <w:t xml:space="preserve">Participants should </w:t>
      </w:r>
      <w:r w:rsidR="00C77A36">
        <w:t xml:space="preserve">also </w:t>
      </w:r>
      <w:r w:rsidRPr="0066260F">
        <w:t xml:space="preserve">inform the IEEE (or cause the IEEE to be informed) of the identity of any other </w:t>
      </w:r>
      <w:r w:rsidR="00C77A36">
        <w:t>h</w:t>
      </w:r>
      <w:r w:rsidRPr="0066260F">
        <w:t>olders of potential Essential Patent Claims</w:t>
      </w:r>
      <w:r>
        <w:t>.</w:t>
      </w:r>
    </w:p>
    <w:p w:rsidR="00C77A36" w:rsidRDefault="00650526" w:rsidP="00D10CCB">
      <w:pPr>
        <w:ind w:left="720"/>
        <w:rPr>
          <w:b/>
        </w:rPr>
      </w:pPr>
      <w:r>
        <w:rPr>
          <w:b/>
        </w:rPr>
        <w:t xml:space="preserve">Nobody speaks </w:t>
      </w:r>
      <w:r w:rsidR="00C77A36" w:rsidRPr="00C77A36">
        <w:rPr>
          <w:b/>
        </w:rPr>
        <w:t>up.</w:t>
      </w:r>
    </w:p>
    <w:p w:rsidR="00D56E7C" w:rsidRDefault="00C77A36" w:rsidP="00C77A36">
      <w:pPr>
        <w:pStyle w:val="ListParagraph"/>
        <w:numPr>
          <w:ilvl w:val="0"/>
          <w:numId w:val="1"/>
        </w:numPr>
      </w:pPr>
      <w:r w:rsidRPr="00C77A36">
        <w:t>Chair presents</w:t>
      </w:r>
      <w:r w:rsidR="00D56E7C">
        <w:t>:</w:t>
      </w:r>
    </w:p>
    <w:p w:rsidR="00D56E7C" w:rsidRDefault="00C77A36" w:rsidP="00D56E7C">
      <w:pPr>
        <w:pStyle w:val="ListParagraph"/>
        <w:numPr>
          <w:ilvl w:val="1"/>
          <w:numId w:val="1"/>
        </w:numPr>
      </w:pPr>
      <w:r w:rsidRPr="00C77A36">
        <w:t>Other guidelines for IEEE WG meetings</w:t>
      </w:r>
      <w:r>
        <w:t xml:space="preserve">, </w:t>
      </w:r>
      <w:r w:rsidRPr="00C77A36">
        <w:t>Patent-related information</w:t>
      </w:r>
      <w:r w:rsidR="00130249">
        <w:t>.</w:t>
      </w:r>
    </w:p>
    <w:p w:rsidR="00C77A36" w:rsidRDefault="00C77A36" w:rsidP="00D56E7C">
      <w:pPr>
        <w:pStyle w:val="ListParagraph"/>
        <w:numPr>
          <w:ilvl w:val="1"/>
          <w:numId w:val="1"/>
        </w:numPr>
      </w:pPr>
      <w:r w:rsidRPr="00C77A36">
        <w:t>IEEE SA Copyright Policy</w:t>
      </w:r>
      <w:r>
        <w:t xml:space="preserve">. Chair requests the secretary to ensure the presentation of the </w:t>
      </w:r>
      <w:r w:rsidRPr="00C77A36">
        <w:rPr>
          <w:b/>
        </w:rPr>
        <w:t xml:space="preserve">Copyright </w:t>
      </w:r>
      <w:r>
        <w:rPr>
          <w:b/>
        </w:rPr>
        <w:t>P</w:t>
      </w:r>
      <w:r w:rsidRPr="00C77A36">
        <w:rPr>
          <w:b/>
        </w:rPr>
        <w:t>olicy</w:t>
      </w:r>
      <w:r>
        <w:t xml:space="preserve"> </w:t>
      </w:r>
      <w:proofErr w:type="gramStart"/>
      <w:r>
        <w:t xml:space="preserve">is </w:t>
      </w:r>
      <w:proofErr w:type="spellStart"/>
      <w:r>
        <w:t>minuted</w:t>
      </w:r>
      <w:proofErr w:type="spellEnd"/>
      <w:proofErr w:type="gramEnd"/>
      <w:r>
        <w:t>.</w:t>
      </w:r>
    </w:p>
    <w:p w:rsidR="00D56E7C" w:rsidRDefault="00D56E7C" w:rsidP="00D56E7C">
      <w:pPr>
        <w:pStyle w:val="ListParagraph"/>
        <w:numPr>
          <w:ilvl w:val="1"/>
          <w:numId w:val="1"/>
        </w:numPr>
      </w:pPr>
      <w:r w:rsidRPr="00D56E7C">
        <w:t xml:space="preserve">Participant </w:t>
      </w:r>
      <w:proofErr w:type="spellStart"/>
      <w:r w:rsidRPr="00D56E7C">
        <w:t>behavior</w:t>
      </w:r>
      <w:proofErr w:type="spellEnd"/>
      <w:r w:rsidRPr="00D56E7C">
        <w:t xml:space="preserve"> in IEEE-SA activities is guided</w:t>
      </w:r>
      <w:r>
        <w:t xml:space="preserve"> </w:t>
      </w:r>
      <w:r w:rsidRPr="00D56E7C">
        <w:t>by the IEEE Codes of Ethics &amp; Conduct</w:t>
      </w:r>
    </w:p>
    <w:p w:rsidR="00D56E7C" w:rsidRPr="00D56E7C" w:rsidRDefault="00D56E7C" w:rsidP="00D56E7C">
      <w:pPr>
        <w:pStyle w:val="ListParagraph"/>
        <w:numPr>
          <w:ilvl w:val="1"/>
          <w:numId w:val="1"/>
        </w:numPr>
      </w:pPr>
      <w:r w:rsidRPr="00D56E7C">
        <w:rPr>
          <w:bCs/>
          <w:lang w:val="en-US"/>
        </w:rPr>
        <w:t>Participants in the IEEE-SA “individual process” shall act independently of others, including employers</w:t>
      </w:r>
      <w:r w:rsidR="00130249">
        <w:rPr>
          <w:bCs/>
          <w:lang w:val="en-US"/>
        </w:rPr>
        <w:t>.</w:t>
      </w:r>
    </w:p>
    <w:p w:rsidR="00D56E7C" w:rsidRDefault="00D56E7C" w:rsidP="00D10CCB">
      <w:pPr>
        <w:pStyle w:val="ListParagraph"/>
        <w:numPr>
          <w:ilvl w:val="1"/>
          <w:numId w:val="1"/>
        </w:numPr>
      </w:pPr>
      <w:r w:rsidRPr="00D56E7C">
        <w:t>IEEE-SA standards activities shall allow the fair &amp;</w:t>
      </w:r>
      <w:r>
        <w:t xml:space="preserve"> </w:t>
      </w:r>
      <w:r w:rsidRPr="00D56E7C">
        <w:t>equitable consideration of all viewpoints</w:t>
      </w:r>
      <w:r w:rsidR="00130249">
        <w:t>.</w:t>
      </w:r>
    </w:p>
    <w:p w:rsidR="00CA09B2" w:rsidRDefault="00D56E7C" w:rsidP="00D10CCB">
      <w:pPr>
        <w:pStyle w:val="ListParagraph"/>
        <w:numPr>
          <w:ilvl w:val="0"/>
          <w:numId w:val="1"/>
        </w:numPr>
      </w:pPr>
      <w:r>
        <w:t xml:space="preserve">For documentation </w:t>
      </w:r>
      <w:hyperlink r:id="rId7" w:history="1">
        <w:r w:rsidRPr="00BC05F1">
          <w:rPr>
            <w:rStyle w:val="Hyperlink"/>
          </w:rPr>
          <w:t>http://mentor.ieee.org</w:t>
        </w:r>
      </w:hyperlink>
      <w:r>
        <w:t xml:space="preserve"> shall be used, the repository “</w:t>
      </w:r>
      <w:r w:rsidRPr="00D56E7C">
        <w:t>PQC SG</w:t>
      </w:r>
      <w:r>
        <w:t>” was created for submissions.</w:t>
      </w:r>
    </w:p>
    <w:p w:rsidR="00D56E7C" w:rsidRDefault="00D56E7C" w:rsidP="00D56E7C">
      <w:pPr>
        <w:pStyle w:val="ListParagraph"/>
        <w:numPr>
          <w:ilvl w:val="0"/>
          <w:numId w:val="1"/>
        </w:numPr>
      </w:pPr>
      <w:r>
        <w:t xml:space="preserve">Agenda for the meeting, which </w:t>
      </w:r>
      <w:r w:rsidR="007B654C">
        <w:t xml:space="preserve">in this instance only </w:t>
      </w:r>
      <w:r>
        <w:t>will be limited to 1 hour and thus shorter than usual</w:t>
      </w:r>
      <w:r w:rsidR="00650526">
        <w:t>,</w:t>
      </w:r>
      <w:r>
        <w:t xml:space="preserve"> </w:t>
      </w:r>
      <w:proofErr w:type="gramStart"/>
      <w:r>
        <w:t>can be found</w:t>
      </w:r>
      <w:proofErr w:type="gramEnd"/>
      <w:r>
        <w:t xml:space="preserve"> at </w:t>
      </w:r>
      <w:hyperlink r:id="rId8" w:history="1">
        <w:r w:rsidR="007B654C" w:rsidRPr="00BC05F1">
          <w:rPr>
            <w:rStyle w:val="Hyperlink"/>
          </w:rPr>
          <w:t>11-25-0510r02</w:t>
        </w:r>
      </w:hyperlink>
      <w:r>
        <w:t>.</w:t>
      </w:r>
    </w:p>
    <w:p w:rsidR="007B654C" w:rsidRDefault="007B654C" w:rsidP="007B654C">
      <w:pPr>
        <w:pStyle w:val="ListParagraph"/>
        <w:numPr>
          <w:ilvl w:val="1"/>
          <w:numId w:val="1"/>
        </w:numPr>
      </w:pPr>
      <w:r w:rsidRPr="007B654C">
        <w:t>Agenda approved with unanimous consent.</w:t>
      </w:r>
    </w:p>
    <w:p w:rsidR="00C271A6" w:rsidRPr="00C271A6" w:rsidRDefault="007B654C" w:rsidP="00FD7497">
      <w:pPr>
        <w:pStyle w:val="ListParagraph"/>
        <w:numPr>
          <w:ilvl w:val="0"/>
          <w:numId w:val="1"/>
        </w:numPr>
      </w:pPr>
      <w:r>
        <w:t>V</w:t>
      </w:r>
      <w:r w:rsidR="00C271A6">
        <w:t>ice C</w:t>
      </w:r>
      <w:r>
        <w:t>hair appointment</w:t>
      </w:r>
      <w:r w:rsidR="00C271A6">
        <w:t xml:space="preserve">: </w:t>
      </w:r>
      <w:r w:rsidR="00C271A6" w:rsidRPr="00C271A6">
        <w:rPr>
          <w:lang w:val="en-US"/>
        </w:rPr>
        <w:t>Mark Hamilton (Ruckus/</w:t>
      </w:r>
      <w:r w:rsidR="00FD7497" w:rsidRPr="00FD7497">
        <w:t xml:space="preserve"> </w:t>
      </w:r>
      <w:proofErr w:type="spellStart"/>
      <w:r w:rsidR="00FD7497" w:rsidRPr="00FD7497">
        <w:rPr>
          <w:lang w:val="en-US"/>
        </w:rPr>
        <w:t>CommScope</w:t>
      </w:r>
      <w:proofErr w:type="spellEnd"/>
      <w:r w:rsidR="00C271A6" w:rsidRPr="00C271A6">
        <w:rPr>
          <w:lang w:val="en-US"/>
        </w:rPr>
        <w:t>)</w:t>
      </w:r>
      <w:r w:rsidR="00C271A6">
        <w:rPr>
          <w:lang w:val="en-US"/>
        </w:rPr>
        <w:t xml:space="preserve">, </w:t>
      </w:r>
      <w:r w:rsidR="00C271A6" w:rsidRPr="00C271A6">
        <w:rPr>
          <w:lang w:val="en-US"/>
        </w:rPr>
        <w:t>Secretary</w:t>
      </w:r>
      <w:r w:rsidR="00C271A6">
        <w:rPr>
          <w:lang w:val="en-US"/>
        </w:rPr>
        <w:t xml:space="preserve"> appointment: </w:t>
      </w:r>
      <w:r w:rsidR="00C271A6" w:rsidRPr="00C271A6">
        <w:rPr>
          <w:lang w:val="en-US"/>
        </w:rPr>
        <w:t>Alex Lungu (Samsung)</w:t>
      </w:r>
    </w:p>
    <w:p w:rsidR="002F690D" w:rsidRPr="002F690D" w:rsidRDefault="00C271A6" w:rsidP="00C271A6">
      <w:pPr>
        <w:pStyle w:val="ListParagraph"/>
        <w:numPr>
          <w:ilvl w:val="1"/>
          <w:numId w:val="1"/>
        </w:numPr>
      </w:pPr>
      <w:r>
        <w:rPr>
          <w:lang w:val="en-US"/>
        </w:rPr>
        <w:t>Quest</w:t>
      </w:r>
      <w:r w:rsidR="002F690D">
        <w:rPr>
          <w:lang w:val="en-US"/>
        </w:rPr>
        <w:t>ion on the need for an editor.</w:t>
      </w:r>
    </w:p>
    <w:p w:rsidR="00C271A6" w:rsidRPr="00C271A6" w:rsidRDefault="002F690D" w:rsidP="002F690D">
      <w:pPr>
        <w:pStyle w:val="ListParagraph"/>
        <w:numPr>
          <w:ilvl w:val="2"/>
          <w:numId w:val="1"/>
        </w:numPr>
      </w:pPr>
      <w:r>
        <w:rPr>
          <w:lang w:val="en-US"/>
        </w:rPr>
        <w:t xml:space="preserve">There is </w:t>
      </w:r>
      <w:r w:rsidR="00C271A6" w:rsidRPr="00C271A6">
        <w:rPr>
          <w:lang w:val="en-US"/>
        </w:rPr>
        <w:t>no need for an editor at this point.</w:t>
      </w:r>
    </w:p>
    <w:p w:rsidR="00C271A6" w:rsidRDefault="00C271A6" w:rsidP="00C271A6">
      <w:pPr>
        <w:pStyle w:val="ListParagraph"/>
        <w:numPr>
          <w:ilvl w:val="1"/>
          <w:numId w:val="1"/>
        </w:numPr>
      </w:pPr>
      <w:r w:rsidRPr="00A168A6">
        <w:t>First author</w:t>
      </w:r>
      <w:r>
        <w:t xml:space="preserve"> of </w:t>
      </w:r>
      <w:hyperlink r:id="rId9" w:history="1">
        <w:r>
          <w:rPr>
            <w:rStyle w:val="Hyperlink"/>
          </w:rPr>
          <w:t>11-25-0462r</w:t>
        </w:r>
        <w:r w:rsidRPr="00BC05F1">
          <w:rPr>
            <w:rStyle w:val="Hyperlink"/>
          </w:rPr>
          <w:t>02</w:t>
        </w:r>
      </w:hyperlink>
      <w:r>
        <w:t xml:space="preserve"> </w:t>
      </w:r>
      <w:r w:rsidRPr="00C271A6">
        <w:t xml:space="preserve">notes that there is not much process on appointing the VC and Secretary of a SG, but he is disappointed that he initiated the work to form a SG and he </w:t>
      </w:r>
      <w:proofErr w:type="gramStart"/>
      <w:r w:rsidRPr="00C271A6">
        <w:t>was not considered or contacted to be in a leadership position of this group</w:t>
      </w:r>
      <w:proofErr w:type="gramEnd"/>
      <w:r w:rsidRPr="00C271A6">
        <w:t>.</w:t>
      </w:r>
    </w:p>
    <w:p w:rsidR="002F690D" w:rsidRDefault="00C271A6" w:rsidP="00C55867">
      <w:pPr>
        <w:pStyle w:val="ListParagraph"/>
        <w:numPr>
          <w:ilvl w:val="1"/>
          <w:numId w:val="1"/>
        </w:numPr>
      </w:pPr>
      <w:r>
        <w:t xml:space="preserve">Question on the need to be </w:t>
      </w:r>
      <w:r w:rsidR="00650526">
        <w:t>an</w:t>
      </w:r>
      <w:r>
        <w:t xml:space="preserve"> 802.11 vot</w:t>
      </w:r>
      <w:r w:rsidR="002F690D">
        <w:t>ing member to be a Secretary</w:t>
      </w:r>
    </w:p>
    <w:p w:rsidR="00C271A6" w:rsidRPr="00C271A6" w:rsidRDefault="002F690D" w:rsidP="002F690D">
      <w:pPr>
        <w:pStyle w:val="ListParagraph"/>
        <w:numPr>
          <w:ilvl w:val="2"/>
          <w:numId w:val="1"/>
        </w:numPr>
      </w:pPr>
      <w:r>
        <w:t>C</w:t>
      </w:r>
      <w:r w:rsidR="00C271A6">
        <w:t xml:space="preserve">hair noted he </w:t>
      </w:r>
      <w:proofErr w:type="gramStart"/>
      <w:r w:rsidR="00C271A6">
        <w:t>will</w:t>
      </w:r>
      <w:proofErr w:type="gramEnd"/>
      <w:r w:rsidR="00C271A6">
        <w:t xml:space="preserve"> check the need to have voting rights. Unless there are any updates, Secretary will proceed.</w:t>
      </w:r>
    </w:p>
    <w:p w:rsidR="007B654C" w:rsidRDefault="00C55867" w:rsidP="00C55867">
      <w:pPr>
        <w:pStyle w:val="ListParagraph"/>
        <w:numPr>
          <w:ilvl w:val="0"/>
          <w:numId w:val="1"/>
        </w:numPr>
      </w:pPr>
      <w:r w:rsidRPr="00C55867">
        <w:t xml:space="preserve">PQC SG Background and </w:t>
      </w:r>
      <w:proofErr w:type="spellStart"/>
      <w:r w:rsidRPr="00C55867">
        <w:t>Kickoff</w:t>
      </w:r>
      <w:proofErr w:type="spellEnd"/>
    </w:p>
    <w:p w:rsidR="00C55867" w:rsidRDefault="00C55867" w:rsidP="003745C8">
      <w:pPr>
        <w:pStyle w:val="ListParagraph"/>
        <w:numPr>
          <w:ilvl w:val="1"/>
          <w:numId w:val="1"/>
        </w:numPr>
      </w:pPr>
      <w:r>
        <w:t xml:space="preserve">There were </w:t>
      </w:r>
      <w:proofErr w:type="gramStart"/>
      <w:r>
        <w:t>2</w:t>
      </w:r>
      <w:proofErr w:type="gramEnd"/>
      <w:r>
        <w:t xml:space="preserve"> presentations </w:t>
      </w:r>
      <w:r w:rsidR="003745C8">
        <w:t>delivered during the</w:t>
      </w:r>
      <w:r>
        <w:t xml:space="preserve"> </w:t>
      </w:r>
      <w:r w:rsidR="00130249">
        <w:t>11</w:t>
      </w:r>
      <w:r w:rsidR="00130249" w:rsidRPr="00130249">
        <w:rPr>
          <w:vertAlign w:val="superscript"/>
        </w:rPr>
        <w:t>th</w:t>
      </w:r>
      <w:r w:rsidR="00130249">
        <w:t xml:space="preserve"> of </w:t>
      </w:r>
      <w:r w:rsidR="003745C8" w:rsidRPr="003745C8">
        <w:t xml:space="preserve">March Plenary </w:t>
      </w:r>
      <w:r>
        <w:t>WNG</w:t>
      </w:r>
      <w:r w:rsidR="003745C8">
        <w:t xml:space="preserve"> session – authors stated nothing material changed, hence there is no reason to re-deliver. Members can review the existing material.</w:t>
      </w:r>
    </w:p>
    <w:p w:rsidR="003745C8" w:rsidRDefault="003745C8" w:rsidP="00C55867">
      <w:pPr>
        <w:pStyle w:val="ListParagraph"/>
        <w:numPr>
          <w:ilvl w:val="1"/>
          <w:numId w:val="1"/>
        </w:numPr>
      </w:pPr>
      <w:r>
        <w:t>Three presentation were delivered during the mid-week plenary</w:t>
      </w:r>
    </w:p>
    <w:p w:rsidR="003745C8" w:rsidRDefault="003745C8" w:rsidP="00C55867">
      <w:pPr>
        <w:pStyle w:val="ListParagraph"/>
        <w:numPr>
          <w:ilvl w:val="1"/>
          <w:numId w:val="1"/>
        </w:numPr>
      </w:pPr>
      <w:r>
        <w:t>This work lead to the motion to form the SG.</w:t>
      </w:r>
    </w:p>
    <w:p w:rsidR="00D10CCB" w:rsidRDefault="00D10CCB" w:rsidP="00D10CCB">
      <w:pPr>
        <w:pStyle w:val="ListParagraph"/>
        <w:numPr>
          <w:ilvl w:val="1"/>
          <w:numId w:val="1"/>
        </w:numPr>
      </w:pPr>
      <w:r w:rsidRPr="00D10CCB">
        <w:t>Scope</w:t>
      </w:r>
      <w:r w:rsidR="000F37BC">
        <w:t xml:space="preserve"> of the SG</w:t>
      </w:r>
      <w:r w:rsidRPr="00D10CCB">
        <w:t xml:space="preserve">: Post-Quantum Cryptography (PQC) Study Group: Enhance 802.11 WLAN security with post-quantum cryptography </w:t>
      </w:r>
    </w:p>
    <w:p w:rsidR="00D10CCB" w:rsidRDefault="00D10CCB" w:rsidP="00D10CCB">
      <w:pPr>
        <w:pStyle w:val="ListParagraph"/>
        <w:numPr>
          <w:ilvl w:val="1"/>
          <w:numId w:val="1"/>
        </w:numPr>
      </w:pPr>
      <w:r w:rsidRPr="00D10CCB">
        <w:t>Output</w:t>
      </w:r>
      <w:r w:rsidR="000F37BC">
        <w:t xml:space="preserve"> of the SG</w:t>
      </w:r>
      <w:r w:rsidRPr="00D10CCB">
        <w:t>: Complete a PAR and CSD at or before the May 2025 Interim session</w:t>
      </w:r>
    </w:p>
    <w:p w:rsidR="00D10CCB" w:rsidRDefault="00D10CCB" w:rsidP="00D10CCB">
      <w:pPr>
        <w:pStyle w:val="ListParagraph"/>
        <w:numPr>
          <w:ilvl w:val="1"/>
          <w:numId w:val="1"/>
        </w:numPr>
      </w:pPr>
      <w:r>
        <w:t xml:space="preserve">Timeline allows for March – April to review contributions, PAR and CSD. In </w:t>
      </w:r>
      <w:proofErr w:type="gramStart"/>
      <w:r>
        <w:t>May</w:t>
      </w:r>
      <w:proofErr w:type="gramEnd"/>
      <w:r>
        <w:t xml:space="preserve"> the aim is to approve the PAR &amp; CSD, and, if possible, have technical discussions and preparation for TG formation.</w:t>
      </w:r>
    </w:p>
    <w:p w:rsidR="000F37BC" w:rsidRDefault="000F37BC" w:rsidP="000F37BC">
      <w:pPr>
        <w:pStyle w:val="ListParagraph"/>
        <w:numPr>
          <w:ilvl w:val="0"/>
          <w:numId w:val="1"/>
        </w:numPr>
      </w:pPr>
      <w:r>
        <w:t xml:space="preserve">Teleconference plan: Chair put </w:t>
      </w:r>
      <w:r w:rsidR="00130249">
        <w:t xml:space="preserve">in </w:t>
      </w:r>
      <w:r>
        <w:t xml:space="preserve">a fair amount of effort to </w:t>
      </w:r>
      <w:r w:rsidR="00130249">
        <w:t xml:space="preserve">set up a meeting that would allow wide </w:t>
      </w:r>
      <w:r>
        <w:t xml:space="preserve">participation. Mondays look the best </w:t>
      </w:r>
      <w:proofErr w:type="gramStart"/>
      <w:r>
        <w:t>at the moment</w:t>
      </w:r>
      <w:proofErr w:type="gramEnd"/>
      <w:r>
        <w:t>.</w:t>
      </w:r>
    </w:p>
    <w:p w:rsidR="00130249" w:rsidRDefault="000F37BC" w:rsidP="000F37BC">
      <w:pPr>
        <w:pStyle w:val="ListParagraph"/>
        <w:numPr>
          <w:ilvl w:val="1"/>
          <w:numId w:val="1"/>
        </w:numPr>
      </w:pPr>
      <w:r>
        <w:t>There was a question regarding a golden timeslot, as the currently proposed 1PM ET slot is not friendly for Asia. Asking for 9AM ET.</w:t>
      </w:r>
    </w:p>
    <w:p w:rsidR="000F37BC" w:rsidRDefault="000F37BC" w:rsidP="00130249">
      <w:pPr>
        <w:pStyle w:val="ListParagraph"/>
        <w:numPr>
          <w:ilvl w:val="2"/>
          <w:numId w:val="1"/>
        </w:numPr>
      </w:pPr>
      <w:r>
        <w:lastRenderedPageBreak/>
        <w:t>Chair will look into finding a friendlier slot for 21</w:t>
      </w:r>
      <w:r w:rsidRPr="000F37BC">
        <w:rPr>
          <w:vertAlign w:val="superscript"/>
        </w:rPr>
        <w:t>st</w:t>
      </w:r>
      <w:r>
        <w:t xml:space="preserve"> of April. </w:t>
      </w:r>
      <w:r w:rsidR="00650526">
        <w:t>The meeting on the 7</w:t>
      </w:r>
      <w:r w:rsidR="00650526" w:rsidRPr="00650526">
        <w:rPr>
          <w:vertAlign w:val="superscript"/>
        </w:rPr>
        <w:t>th</w:t>
      </w:r>
      <w:r w:rsidR="00650526">
        <w:t xml:space="preserve"> of </w:t>
      </w:r>
      <w:r>
        <w:t xml:space="preserve">April will stay </w:t>
      </w:r>
      <w:r w:rsidR="00650526">
        <w:t xml:space="preserve">scheduled </w:t>
      </w:r>
      <w:r>
        <w:t>1PM – 3PM.</w:t>
      </w:r>
    </w:p>
    <w:p w:rsidR="000F37BC" w:rsidRDefault="000F37BC" w:rsidP="000F37BC">
      <w:pPr>
        <w:pStyle w:val="ListParagraph"/>
        <w:numPr>
          <w:ilvl w:val="0"/>
          <w:numId w:val="1"/>
        </w:numPr>
      </w:pPr>
      <w:r w:rsidRPr="000F37BC">
        <w:t xml:space="preserve">Project Authorization Request </w:t>
      </w:r>
      <w:r>
        <w:t xml:space="preserve">- PAR </w:t>
      </w:r>
    </w:p>
    <w:p w:rsidR="000F37BC" w:rsidRDefault="000F37BC" w:rsidP="000F37BC">
      <w:pPr>
        <w:pStyle w:val="ListParagraph"/>
        <w:numPr>
          <w:ilvl w:val="1"/>
          <w:numId w:val="1"/>
        </w:numPr>
      </w:pPr>
      <w:r w:rsidRPr="000F37BC">
        <w:t>Scope of the project</w:t>
      </w:r>
      <w:r>
        <w:t xml:space="preserve"> – section 5.2.b was rephrased </w:t>
      </w:r>
      <w:r w:rsidR="00650526">
        <w:t xml:space="preserve">before the meeting </w:t>
      </w:r>
      <w:r>
        <w:t xml:space="preserve">as a list comprised out of </w:t>
      </w:r>
      <w:proofErr w:type="gramStart"/>
      <w:r>
        <w:t>4</w:t>
      </w:r>
      <w:proofErr w:type="gramEnd"/>
      <w:r>
        <w:t xml:space="preserve"> bullet points.</w:t>
      </w:r>
    </w:p>
    <w:p w:rsidR="000128D4" w:rsidRDefault="000F37BC" w:rsidP="000F37BC">
      <w:pPr>
        <w:pStyle w:val="ListParagraph"/>
        <w:numPr>
          <w:ilvl w:val="1"/>
          <w:numId w:val="1"/>
        </w:numPr>
      </w:pPr>
      <w:r>
        <w:t xml:space="preserve">Question on the last bullet point </w:t>
      </w:r>
      <w:r w:rsidR="00B36453">
        <w:t xml:space="preserve">of section 5.2.b </w:t>
      </w:r>
      <w:r>
        <w:t xml:space="preserve">– </w:t>
      </w:r>
      <w:r w:rsidRPr="000F37BC">
        <w:t>modifications to symmetric key handshaking</w:t>
      </w:r>
      <w:r>
        <w:t>: are these mod</w:t>
      </w:r>
      <w:r w:rsidR="000128D4">
        <w:t>ifications absolutely required?</w:t>
      </w:r>
    </w:p>
    <w:p w:rsidR="000F37BC" w:rsidRDefault="000F37BC" w:rsidP="000128D4">
      <w:pPr>
        <w:pStyle w:val="ListParagraph"/>
        <w:numPr>
          <w:ilvl w:val="2"/>
          <w:numId w:val="1"/>
        </w:numPr>
      </w:pPr>
      <w:r>
        <w:t xml:space="preserve">The text was amended to </w:t>
      </w:r>
      <w:proofErr w:type="gramStart"/>
      <w:r>
        <w:t>add</w:t>
      </w:r>
      <w:proofErr w:type="gramEnd"/>
      <w:r>
        <w:t xml:space="preserve"> “as needed” to avoid later misunderstandings.</w:t>
      </w:r>
    </w:p>
    <w:p w:rsidR="000128D4" w:rsidRDefault="000F37BC" w:rsidP="000F37BC">
      <w:pPr>
        <w:pStyle w:val="ListParagraph"/>
        <w:numPr>
          <w:ilvl w:val="1"/>
          <w:numId w:val="1"/>
        </w:numPr>
      </w:pPr>
      <w:r>
        <w:t>Question on the PAR’s scope being wide enough to allow modifications of the digests’ size</w:t>
      </w:r>
      <w:r w:rsidR="000128D4">
        <w:t xml:space="preserve"> for secure hashing algorithms.</w:t>
      </w:r>
    </w:p>
    <w:p w:rsidR="000F37BC" w:rsidRDefault="000F37BC" w:rsidP="000128D4">
      <w:pPr>
        <w:pStyle w:val="ListParagraph"/>
        <w:numPr>
          <w:ilvl w:val="2"/>
          <w:numId w:val="1"/>
        </w:numPr>
      </w:pPr>
      <w:r>
        <w:t>The conclusion was that the scope is wide enough.</w:t>
      </w:r>
    </w:p>
    <w:p w:rsidR="000128D4" w:rsidRDefault="000F37BC" w:rsidP="000F37BC">
      <w:pPr>
        <w:pStyle w:val="ListParagraph"/>
        <w:numPr>
          <w:ilvl w:val="1"/>
          <w:numId w:val="1"/>
        </w:numPr>
      </w:pPr>
      <w:r>
        <w:t>Ques</w:t>
      </w:r>
      <w:r w:rsidR="00B307C6">
        <w:t xml:space="preserve">tion on the last bullet point of </w:t>
      </w:r>
      <w:r w:rsidR="00B307C6">
        <w:t>section 5.2.b</w:t>
      </w:r>
      <w:r w:rsidR="00B307C6">
        <w:t>: w</w:t>
      </w:r>
      <w:r>
        <w:t xml:space="preserve">ho requires </w:t>
      </w:r>
      <w:r w:rsidR="000128D4">
        <w:t>this update?</w:t>
      </w:r>
    </w:p>
    <w:p w:rsidR="000F37BC" w:rsidRDefault="000F37BC" w:rsidP="000128D4">
      <w:pPr>
        <w:pStyle w:val="ListParagraph"/>
        <w:numPr>
          <w:ilvl w:val="2"/>
          <w:numId w:val="1"/>
        </w:numPr>
      </w:pPr>
      <w:r>
        <w:t>There is no clear answer to this question, hence</w:t>
      </w:r>
      <w:r w:rsidR="0042268D">
        <w:t xml:space="preserve"> why the text was amended to </w:t>
      </w:r>
      <w:proofErr w:type="gramStart"/>
      <w:r w:rsidR="0042268D">
        <w:t>say</w:t>
      </w:r>
      <w:proofErr w:type="gramEnd"/>
      <w:r w:rsidR="0042268D">
        <w:t xml:space="preserve"> “as needed”.</w:t>
      </w:r>
    </w:p>
    <w:p w:rsidR="000128D4" w:rsidRDefault="0042268D" w:rsidP="000F37BC">
      <w:pPr>
        <w:pStyle w:val="ListParagraph"/>
        <w:numPr>
          <w:ilvl w:val="1"/>
          <w:numId w:val="1"/>
        </w:numPr>
      </w:pPr>
      <w:r>
        <w:t>Question on existing protocols using digital signatures in the SG’s s</w:t>
      </w:r>
      <w:r w:rsidR="000128D4">
        <w:t>cope.</w:t>
      </w:r>
    </w:p>
    <w:p w:rsidR="0042268D" w:rsidRDefault="0042268D" w:rsidP="000128D4">
      <w:pPr>
        <w:pStyle w:val="ListParagraph"/>
        <w:numPr>
          <w:ilvl w:val="2"/>
          <w:numId w:val="1"/>
        </w:numPr>
      </w:pPr>
      <w:r>
        <w:t>FILS uses digital signatures.</w:t>
      </w:r>
    </w:p>
    <w:p w:rsidR="000128D4" w:rsidRDefault="0042268D" w:rsidP="000F37BC">
      <w:pPr>
        <w:pStyle w:val="ListParagraph"/>
        <w:numPr>
          <w:ilvl w:val="1"/>
          <w:numId w:val="1"/>
        </w:numPr>
      </w:pPr>
      <w:r>
        <w:t xml:space="preserve">Question on symmetric key </w:t>
      </w:r>
      <w:r w:rsidR="00B307C6">
        <w:t xml:space="preserve">cryptography </w:t>
      </w:r>
      <w:r>
        <w:t>being public key cryptography or not</w:t>
      </w:r>
      <w:r w:rsidR="000128D4">
        <w:t>.</w:t>
      </w:r>
    </w:p>
    <w:p w:rsidR="0042268D" w:rsidRDefault="0042268D" w:rsidP="000128D4">
      <w:pPr>
        <w:pStyle w:val="ListParagraph"/>
        <w:numPr>
          <w:ilvl w:val="2"/>
          <w:numId w:val="1"/>
        </w:numPr>
      </w:pPr>
      <w:r>
        <w:t xml:space="preserve">Public key cryptography </w:t>
      </w:r>
      <w:proofErr w:type="gramStart"/>
      <w:r>
        <w:t>is handled</w:t>
      </w:r>
      <w:proofErr w:type="gramEnd"/>
      <w:r>
        <w:t xml:space="preserve"> by </w:t>
      </w:r>
      <w:proofErr w:type="spellStart"/>
      <w:r>
        <w:t>subpoint</w:t>
      </w:r>
      <w:proofErr w:type="spellEnd"/>
      <w:r>
        <w:t xml:space="preserve"> b) of section 5.2.b of the PAR. </w:t>
      </w:r>
      <w:proofErr w:type="spellStart"/>
      <w:r>
        <w:t>Subpoint</w:t>
      </w:r>
      <w:proofErr w:type="spellEnd"/>
      <w:r>
        <w:t xml:space="preserve"> d) of the s</w:t>
      </w:r>
      <w:r w:rsidR="00B36453">
        <w:t xml:space="preserve">ame </w:t>
      </w:r>
      <w:r>
        <w:t>section handles symmetric key cryptography.</w:t>
      </w:r>
    </w:p>
    <w:p w:rsidR="000128D4" w:rsidRDefault="0042268D" w:rsidP="000F37BC">
      <w:pPr>
        <w:pStyle w:val="ListParagraph"/>
        <w:numPr>
          <w:ilvl w:val="1"/>
          <w:numId w:val="1"/>
        </w:numPr>
      </w:pPr>
      <w:r>
        <w:t>Question on</w:t>
      </w:r>
      <w:r w:rsidR="00B36453">
        <w:t xml:space="preserve"> leaving the PAR open for addition of new data confidentiality or integrity protocols. </w:t>
      </w:r>
    </w:p>
    <w:p w:rsidR="0042268D" w:rsidRDefault="00B36453" w:rsidP="000128D4">
      <w:pPr>
        <w:pStyle w:val="ListParagraph"/>
        <w:numPr>
          <w:ilvl w:val="2"/>
          <w:numId w:val="1"/>
        </w:numPr>
      </w:pPr>
      <w:r>
        <w:t>We would like to limit the scope as much as possible.</w:t>
      </w:r>
    </w:p>
    <w:p w:rsidR="000128D4" w:rsidRDefault="00B36453" w:rsidP="00B36453">
      <w:pPr>
        <w:pStyle w:val="ListParagraph"/>
        <w:numPr>
          <w:ilvl w:val="1"/>
          <w:numId w:val="1"/>
        </w:numPr>
      </w:pPr>
      <w:r>
        <w:t>Question on “this amendment adds support” phrasing</w:t>
      </w:r>
      <w:r w:rsidR="000128D4">
        <w:t>.</w:t>
      </w:r>
    </w:p>
    <w:p w:rsidR="00B36453" w:rsidRDefault="00B36453" w:rsidP="000128D4">
      <w:pPr>
        <w:pStyle w:val="ListParagraph"/>
        <w:numPr>
          <w:ilvl w:val="2"/>
          <w:numId w:val="1"/>
        </w:numPr>
      </w:pPr>
      <w:proofErr w:type="gramStart"/>
      <w:r w:rsidRPr="00B36453">
        <w:t>There was a previous feedback i</w:t>
      </w:r>
      <w:r>
        <w:t>tem that led to this phrasing</w:t>
      </w:r>
      <w:proofErr w:type="gramEnd"/>
      <w:r>
        <w:t>, m</w:t>
      </w:r>
      <w:r w:rsidRPr="00B36453">
        <w:t>ore work may follow off-line.</w:t>
      </w:r>
    </w:p>
    <w:p w:rsidR="000128D4" w:rsidRDefault="00B36453" w:rsidP="00B36453">
      <w:pPr>
        <w:pStyle w:val="ListParagraph"/>
        <w:numPr>
          <w:ilvl w:val="1"/>
          <w:numId w:val="1"/>
        </w:numPr>
      </w:pPr>
      <w:r>
        <w:t xml:space="preserve">Question for assurance that actions will be taken in all </w:t>
      </w:r>
      <w:proofErr w:type="gramStart"/>
      <w:r>
        <w:t>4</w:t>
      </w:r>
      <w:proofErr w:type="gramEnd"/>
      <w:r>
        <w:t xml:space="preserve"> areas listed in section 5.2.b and in no other area.</w:t>
      </w:r>
    </w:p>
    <w:p w:rsidR="00B36453" w:rsidRDefault="00B36453" w:rsidP="000128D4">
      <w:pPr>
        <w:pStyle w:val="ListParagraph"/>
        <w:numPr>
          <w:ilvl w:val="2"/>
          <w:numId w:val="1"/>
        </w:numPr>
      </w:pPr>
      <w:r>
        <w:t>At least the last bullet is still open.</w:t>
      </w:r>
    </w:p>
    <w:p w:rsidR="000128D4" w:rsidRDefault="00B36453" w:rsidP="00B36453">
      <w:pPr>
        <w:pStyle w:val="ListParagraph"/>
        <w:numPr>
          <w:ilvl w:val="1"/>
          <w:numId w:val="1"/>
        </w:numPr>
      </w:pPr>
      <w:r>
        <w:t xml:space="preserve">Question on </w:t>
      </w:r>
      <w:proofErr w:type="spellStart"/>
      <w:r>
        <w:t>subpoint</w:t>
      </w:r>
      <w:proofErr w:type="spellEnd"/>
      <w:r>
        <w:t xml:space="preserve"> a) of section 5.2.b</w:t>
      </w:r>
      <w:r w:rsidRPr="00B36453">
        <w:t>, “authenticated key management” – should this be “authentication key management”</w:t>
      </w:r>
      <w:r w:rsidR="000128D4">
        <w:t>.</w:t>
      </w:r>
    </w:p>
    <w:p w:rsidR="00B36453" w:rsidRDefault="00B36453" w:rsidP="000128D4">
      <w:pPr>
        <w:pStyle w:val="ListParagraph"/>
        <w:numPr>
          <w:ilvl w:val="2"/>
          <w:numId w:val="1"/>
        </w:numPr>
      </w:pPr>
      <w:r>
        <w:t xml:space="preserve">Yes, to </w:t>
      </w:r>
      <w:proofErr w:type="gramStart"/>
      <w:r>
        <w:t>be aligned</w:t>
      </w:r>
      <w:proofErr w:type="gramEnd"/>
      <w:r>
        <w:t xml:space="preserve"> with .11.</w:t>
      </w:r>
    </w:p>
    <w:p w:rsidR="000128D4" w:rsidRDefault="00B36453" w:rsidP="00B36453">
      <w:pPr>
        <w:pStyle w:val="ListParagraph"/>
        <w:numPr>
          <w:ilvl w:val="1"/>
          <w:numId w:val="1"/>
        </w:numPr>
      </w:pPr>
      <w:r>
        <w:t xml:space="preserve">Question on </w:t>
      </w:r>
      <w:proofErr w:type="spellStart"/>
      <w:r>
        <w:t>subpoint</w:t>
      </w:r>
      <w:proofErr w:type="spellEnd"/>
      <w:r>
        <w:t xml:space="preserve"> a) of section 5.2.b</w:t>
      </w:r>
      <w:r w:rsidRPr="00B36453">
        <w:t>,</w:t>
      </w:r>
      <w:r>
        <w:t xml:space="preserve"> </w:t>
      </w:r>
      <w:proofErr w:type="gramStart"/>
      <w:r>
        <w:t>should the “AKM” abbreviation be added</w:t>
      </w:r>
      <w:proofErr w:type="gramEnd"/>
      <w:r>
        <w:t>?</w:t>
      </w:r>
    </w:p>
    <w:p w:rsidR="00B36453" w:rsidRDefault="00B36453" w:rsidP="000128D4">
      <w:pPr>
        <w:pStyle w:val="ListParagraph"/>
        <w:numPr>
          <w:ilvl w:val="2"/>
          <w:numId w:val="1"/>
        </w:numPr>
      </w:pPr>
      <w:r w:rsidRPr="00B36453">
        <w:t>Yes, there is a high degree of familiarity with the abbreviation.</w:t>
      </w:r>
    </w:p>
    <w:p w:rsidR="000128D4" w:rsidRDefault="00B36453" w:rsidP="00B36453">
      <w:pPr>
        <w:pStyle w:val="ListParagraph"/>
        <w:numPr>
          <w:ilvl w:val="1"/>
          <w:numId w:val="1"/>
        </w:numPr>
      </w:pPr>
      <w:r>
        <w:t>Question on section 5.5, regarding the “disallow” wording for NIST.</w:t>
      </w:r>
    </w:p>
    <w:p w:rsidR="000128D4" w:rsidRDefault="00B36453" w:rsidP="000128D4">
      <w:pPr>
        <w:pStyle w:val="ListParagraph"/>
        <w:numPr>
          <w:ilvl w:val="2"/>
          <w:numId w:val="1"/>
        </w:numPr>
      </w:pPr>
      <w:r w:rsidRPr="00B36453">
        <w:t>NIST’s IR 8547 does sta</w:t>
      </w:r>
      <w:r w:rsidR="000128D4">
        <w:t>te “disallow” in section 4.1.2.</w:t>
      </w:r>
    </w:p>
    <w:p w:rsidR="00B36453" w:rsidRDefault="00B36453" w:rsidP="000128D4">
      <w:pPr>
        <w:pStyle w:val="ListParagraph"/>
        <w:numPr>
          <w:ilvl w:val="2"/>
          <w:numId w:val="1"/>
        </w:numPr>
      </w:pPr>
      <w:r w:rsidRPr="00B36453">
        <w:t xml:space="preserve">However, NIST’s scope is </w:t>
      </w:r>
      <w:r>
        <w:t>not global</w:t>
      </w:r>
      <w:r w:rsidRPr="00B36453">
        <w:t xml:space="preserve"> and the wording should reflect that.</w:t>
      </w:r>
    </w:p>
    <w:p w:rsidR="000128D4" w:rsidRDefault="00B36453" w:rsidP="00B36453">
      <w:pPr>
        <w:pStyle w:val="ListParagraph"/>
        <w:numPr>
          <w:ilvl w:val="1"/>
          <w:numId w:val="1"/>
        </w:numPr>
      </w:pPr>
      <w:r>
        <w:t xml:space="preserve">Question on section 5.2.b: </w:t>
      </w:r>
      <w:r w:rsidRPr="00B36453">
        <w:t>Should a “may” be added to avoid discussions on meeting all 4 points?</w:t>
      </w:r>
      <w:r>
        <w:t xml:space="preserve"> </w:t>
      </w:r>
    </w:p>
    <w:p w:rsidR="00B36453" w:rsidRDefault="00B36453" w:rsidP="000128D4">
      <w:pPr>
        <w:pStyle w:val="ListParagraph"/>
        <w:numPr>
          <w:ilvl w:val="2"/>
          <w:numId w:val="1"/>
        </w:numPr>
      </w:pPr>
      <w:r>
        <w:t xml:space="preserve">As there was an earlier comment in the same spirit this </w:t>
      </w:r>
      <w:proofErr w:type="gramStart"/>
      <w:r>
        <w:t>should be further looked into</w:t>
      </w:r>
      <w:proofErr w:type="gramEnd"/>
      <w:r>
        <w:t>.</w:t>
      </w:r>
    </w:p>
    <w:p w:rsidR="000128D4" w:rsidRDefault="00B36453" w:rsidP="00B36453">
      <w:pPr>
        <w:pStyle w:val="ListParagraph"/>
        <w:numPr>
          <w:ilvl w:val="1"/>
          <w:numId w:val="1"/>
        </w:numPr>
      </w:pPr>
      <w:r>
        <w:t>Question on adding HQC in section 8.1</w:t>
      </w:r>
    </w:p>
    <w:p w:rsidR="00B36453" w:rsidRDefault="00B36453" w:rsidP="000128D4">
      <w:pPr>
        <w:pStyle w:val="ListParagraph"/>
        <w:numPr>
          <w:ilvl w:val="2"/>
          <w:numId w:val="1"/>
        </w:numPr>
      </w:pPr>
      <w:r>
        <w:t xml:space="preserve"> HQC </w:t>
      </w:r>
      <w:proofErr w:type="gramStart"/>
      <w:r>
        <w:t>was just approved and not yet standardized, so adding it would be premature</w:t>
      </w:r>
      <w:proofErr w:type="gramEnd"/>
      <w:r>
        <w:t>.</w:t>
      </w:r>
    </w:p>
    <w:p w:rsidR="00B36453" w:rsidRDefault="00B36453" w:rsidP="00B36453">
      <w:pPr>
        <w:pStyle w:val="ListParagraph"/>
        <w:numPr>
          <w:ilvl w:val="0"/>
          <w:numId w:val="1"/>
        </w:numPr>
      </w:pPr>
      <w:r>
        <w:t>C</w:t>
      </w:r>
      <w:r w:rsidRPr="00B36453">
        <w:t xml:space="preserve">riteria for </w:t>
      </w:r>
      <w:r>
        <w:t>S</w:t>
      </w:r>
      <w:r w:rsidRPr="00B36453">
        <w:t xml:space="preserve">tandards </w:t>
      </w:r>
      <w:r>
        <w:t>D</w:t>
      </w:r>
      <w:r w:rsidRPr="00B36453">
        <w:t>evelopment</w:t>
      </w:r>
      <w:r>
        <w:t xml:space="preserve"> – CSD</w:t>
      </w:r>
    </w:p>
    <w:p w:rsidR="00B36453" w:rsidRDefault="00B36453" w:rsidP="00B36453">
      <w:pPr>
        <w:pStyle w:val="ListParagraph"/>
        <w:numPr>
          <w:ilvl w:val="1"/>
          <w:numId w:val="1"/>
        </w:numPr>
      </w:pPr>
      <w:r>
        <w:t xml:space="preserve">The CSD now has more content, so </w:t>
      </w:r>
      <w:proofErr w:type="gramStart"/>
      <w:r>
        <w:t>can be read</w:t>
      </w:r>
      <w:proofErr w:type="gramEnd"/>
      <w:r>
        <w:t xml:space="preserve"> as a brand new document. Focus </w:t>
      </w:r>
      <w:proofErr w:type="gramStart"/>
      <w:r>
        <w:t>is put</w:t>
      </w:r>
      <w:proofErr w:type="gramEnd"/>
      <w:r>
        <w:t xml:space="preserve"> on controversial areas.</w:t>
      </w:r>
    </w:p>
    <w:p w:rsidR="000128D4" w:rsidRDefault="00B36453" w:rsidP="00B36453">
      <w:pPr>
        <w:pStyle w:val="ListParagraph"/>
        <w:numPr>
          <w:ilvl w:val="1"/>
          <w:numId w:val="1"/>
        </w:numPr>
      </w:pPr>
      <w:r>
        <w:t>Question on the need for a CSD – is there a need for a CSD?</w:t>
      </w:r>
    </w:p>
    <w:p w:rsidR="00B36453" w:rsidRDefault="00B36453" w:rsidP="000128D4">
      <w:pPr>
        <w:pStyle w:val="ListParagraph"/>
        <w:numPr>
          <w:ilvl w:val="2"/>
          <w:numId w:val="1"/>
        </w:numPr>
      </w:pPr>
      <w:r>
        <w:t>Chair intends to clarify, but</w:t>
      </w:r>
      <w:r w:rsidR="00D65D2A">
        <w:t xml:space="preserve"> for the moment we should </w:t>
      </w:r>
      <w:proofErr w:type="gramStart"/>
      <w:r w:rsidR="00D65D2A">
        <w:t>proceed</w:t>
      </w:r>
      <w:proofErr w:type="gramEnd"/>
      <w:r w:rsidR="00D65D2A">
        <w:t xml:space="preserve"> </w:t>
      </w:r>
      <w:r w:rsidR="000128D4">
        <w:t>assuming</w:t>
      </w:r>
      <w:r w:rsidR="00D65D2A">
        <w:t xml:space="preserve"> it is needed.</w:t>
      </w:r>
    </w:p>
    <w:p w:rsidR="000128D4" w:rsidRDefault="00D65D2A" w:rsidP="00B36453">
      <w:pPr>
        <w:pStyle w:val="ListParagraph"/>
        <w:numPr>
          <w:ilvl w:val="1"/>
          <w:numId w:val="1"/>
        </w:numPr>
      </w:pPr>
      <w:r>
        <w:t>Question on adding non-US timelines.</w:t>
      </w:r>
    </w:p>
    <w:p w:rsidR="00D65D2A" w:rsidRDefault="00D65D2A" w:rsidP="000128D4">
      <w:pPr>
        <w:pStyle w:val="ListParagraph"/>
        <w:numPr>
          <w:ilvl w:val="2"/>
          <w:numId w:val="1"/>
        </w:numPr>
      </w:pPr>
      <w:r>
        <w:t xml:space="preserve">Yes, additions </w:t>
      </w:r>
      <w:proofErr w:type="gramStart"/>
      <w:r>
        <w:t>should be made</w:t>
      </w:r>
      <w:proofErr w:type="gramEnd"/>
      <w:r>
        <w:t xml:space="preserve"> wherever possible.</w:t>
      </w:r>
    </w:p>
    <w:p w:rsidR="000128D4" w:rsidRDefault="00D65D2A" w:rsidP="00B36453">
      <w:pPr>
        <w:pStyle w:val="ListParagraph"/>
        <w:numPr>
          <w:ilvl w:val="1"/>
          <w:numId w:val="1"/>
        </w:numPr>
      </w:pPr>
      <w:r>
        <w:t>Question on the need to review the CSD, if it may not be require</w:t>
      </w:r>
      <w:r w:rsidR="000128D4">
        <w:t>d.</w:t>
      </w:r>
    </w:p>
    <w:p w:rsidR="000128D4" w:rsidRDefault="00D65D2A" w:rsidP="000128D4">
      <w:pPr>
        <w:pStyle w:val="ListParagraph"/>
        <w:numPr>
          <w:ilvl w:val="2"/>
          <w:numId w:val="1"/>
        </w:numPr>
      </w:pPr>
      <w:r>
        <w:t xml:space="preserve">Earlier contributor clarified that the CSD is indeed required, only the </w:t>
      </w:r>
      <w:proofErr w:type="spellStart"/>
      <w:r>
        <w:t>coex</w:t>
      </w:r>
      <w:proofErr w:type="spellEnd"/>
      <w:r>
        <w:t xml:space="preserve"> </w:t>
      </w:r>
      <w:proofErr w:type="spellStart"/>
      <w:r>
        <w:t>componenet</w:t>
      </w:r>
      <w:proofErr w:type="spellEnd"/>
      <w:r>
        <w:t xml:space="preserve"> is</w:t>
      </w:r>
      <w:r w:rsidR="000128D4">
        <w:t xml:space="preserve"> not.</w:t>
      </w:r>
    </w:p>
    <w:p w:rsidR="00D65D2A" w:rsidRDefault="00D65D2A" w:rsidP="000128D4">
      <w:pPr>
        <w:pStyle w:val="ListParagraph"/>
        <w:numPr>
          <w:ilvl w:val="2"/>
          <w:numId w:val="1"/>
        </w:numPr>
      </w:pPr>
      <w:r>
        <w:t>The CA document is already marked “No” in the CSD.</w:t>
      </w:r>
    </w:p>
    <w:p w:rsidR="000128D4" w:rsidRDefault="00D65D2A" w:rsidP="00D65D2A">
      <w:pPr>
        <w:pStyle w:val="ListParagraph"/>
        <w:numPr>
          <w:ilvl w:val="1"/>
          <w:numId w:val="1"/>
        </w:numPr>
      </w:pPr>
      <w:r>
        <w:t>Question on fragmenting frames being a factor for Known Cost Factors.</w:t>
      </w:r>
    </w:p>
    <w:p w:rsidR="00D65D2A" w:rsidRDefault="00D65D2A" w:rsidP="000128D4">
      <w:pPr>
        <w:pStyle w:val="ListParagraph"/>
        <w:numPr>
          <w:ilvl w:val="2"/>
          <w:numId w:val="1"/>
        </w:numPr>
      </w:pPr>
      <w:r w:rsidRPr="00D65D2A">
        <w:t xml:space="preserve">The text </w:t>
      </w:r>
      <w:proofErr w:type="gramStart"/>
      <w:r w:rsidRPr="00D65D2A">
        <w:t>was added</w:t>
      </w:r>
      <w:proofErr w:type="gramEnd"/>
      <w:r w:rsidRPr="00D65D2A">
        <w:t xml:space="preserve"> to reflect the burden on devices, rather than the financial cost</w:t>
      </w:r>
      <w:r>
        <w:t xml:space="preserve"> – probably too much detail</w:t>
      </w:r>
      <w:r w:rsidRPr="00D65D2A">
        <w:t>.</w:t>
      </w:r>
    </w:p>
    <w:p w:rsidR="000128D4" w:rsidRDefault="00D65D2A" w:rsidP="00D65D2A">
      <w:pPr>
        <w:pStyle w:val="ListParagraph"/>
        <w:numPr>
          <w:ilvl w:val="1"/>
          <w:numId w:val="1"/>
        </w:numPr>
      </w:pPr>
      <w:r>
        <w:t>Question on what the minor increase in operational costs will be.</w:t>
      </w:r>
    </w:p>
    <w:p w:rsidR="00D65D2A" w:rsidRDefault="00D65D2A" w:rsidP="000128D4">
      <w:pPr>
        <w:pStyle w:val="ListParagraph"/>
        <w:numPr>
          <w:ilvl w:val="2"/>
          <w:numId w:val="1"/>
        </w:numPr>
      </w:pPr>
      <w:proofErr w:type="gramStart"/>
      <w:r>
        <w:lastRenderedPageBreak/>
        <w:t>Probably there will not be one</w:t>
      </w:r>
      <w:proofErr w:type="gramEnd"/>
      <w:r>
        <w:t xml:space="preserve">, </w:t>
      </w:r>
      <w:proofErr w:type="gramStart"/>
      <w:r>
        <w:t>document was updated</w:t>
      </w:r>
      <w:proofErr w:type="gramEnd"/>
      <w:r>
        <w:t>.</w:t>
      </w:r>
    </w:p>
    <w:p w:rsidR="00D65D2A" w:rsidRDefault="00D65D2A" w:rsidP="00D65D2A">
      <w:pPr>
        <w:pStyle w:val="ListParagraph"/>
        <w:numPr>
          <w:ilvl w:val="0"/>
          <w:numId w:val="1"/>
        </w:numPr>
      </w:pPr>
      <w:r>
        <w:t>Chair issues a re-reminder to fill in attendance.</w:t>
      </w:r>
      <w:r w:rsidR="00461EBF">
        <w:t xml:space="preserve"> Next meeting will be on the 7</w:t>
      </w:r>
      <w:r w:rsidR="00461EBF" w:rsidRPr="00461EBF">
        <w:rPr>
          <w:vertAlign w:val="superscript"/>
        </w:rPr>
        <w:t>th</w:t>
      </w:r>
      <w:r w:rsidR="00461EBF">
        <w:t xml:space="preserve"> of April at 1PM ET, via teleconference.</w:t>
      </w:r>
      <w:bookmarkStart w:id="0" w:name="_GoBack"/>
      <w:bookmarkEnd w:id="0"/>
    </w:p>
    <w:p w:rsidR="00D65D2A" w:rsidRDefault="00D65D2A" w:rsidP="00D65D2A">
      <w:pPr>
        <w:pStyle w:val="ListParagraph"/>
        <w:numPr>
          <w:ilvl w:val="0"/>
          <w:numId w:val="1"/>
        </w:numPr>
      </w:pPr>
      <w:r>
        <w:t>Adjourned at 13:01 ET.</w:t>
      </w:r>
    </w:p>
    <w:p w:rsidR="00CA09B2" w:rsidRDefault="00CA09B2"/>
    <w:p w:rsidR="00CA09B2" w:rsidRDefault="00D10CCB">
      <w:pPr>
        <w:rPr>
          <w:b/>
          <w:sz w:val="24"/>
        </w:rPr>
      </w:pPr>
      <w:r>
        <w:rPr>
          <w:b/>
          <w:sz w:val="24"/>
        </w:rPr>
        <w:t xml:space="preserve">Appendix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- Attendance</w:t>
      </w:r>
      <w:r w:rsidR="00CA09B2">
        <w:rPr>
          <w:b/>
          <w:sz w:val="24"/>
        </w:rPr>
        <w:t>:</w:t>
      </w:r>
    </w:p>
    <w:tbl>
      <w:tblPr>
        <w:tblW w:w="9240" w:type="dxa"/>
        <w:tblInd w:w="-5" w:type="dxa"/>
        <w:tblLook w:val="04A0" w:firstRow="1" w:lastRow="0" w:firstColumn="1" w:lastColumn="0" w:noHBand="0" w:noVBand="1"/>
      </w:tblPr>
      <w:tblGrid>
        <w:gridCol w:w="1056"/>
        <w:gridCol w:w="1278"/>
        <w:gridCol w:w="2720"/>
        <w:gridCol w:w="4460"/>
      </w:tblGrid>
      <w:tr w:rsidR="004A616B" w:rsidRPr="004A616B" w:rsidTr="004A616B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616B" w:rsidRPr="004A616B" w:rsidRDefault="004A616B" w:rsidP="004A616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bookmarkStart w:id="1" w:name="RANGE!A1:D50"/>
            <w:r w:rsidRPr="004A616B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Breakout</w:t>
            </w:r>
            <w:bookmarkEnd w:id="1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616B" w:rsidRPr="004A616B" w:rsidRDefault="004A616B" w:rsidP="004A616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Timestamp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616B" w:rsidRPr="004A616B" w:rsidRDefault="004A616B" w:rsidP="004A616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Name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616B" w:rsidRPr="004A616B" w:rsidRDefault="004A616B" w:rsidP="004A616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Affiliation</w:t>
            </w:r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 xml:space="preserve">baron, </w:t>
            </w:r>
            <w:proofErr w:type="spellStart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stephane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Canon Research Centre France</w:t>
            </w:r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proofErr w:type="spellStart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Baykas</w:t>
            </w:r>
            <w:proofErr w:type="spellEnd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 xml:space="preserve">, </w:t>
            </w:r>
            <w:proofErr w:type="spellStart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Tuncer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Self</w:t>
            </w:r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Bhandaru, Nehru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Broadcom Corporation</w:t>
            </w:r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Campiglio, Ugo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Cisco Systems, Inc.</w:t>
            </w:r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Carty, Clark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Juniper Networks, Inc.</w:t>
            </w:r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Chappell, Matthew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Cox Communications Inc.</w:t>
            </w:r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 xml:space="preserve">Li, </w:t>
            </w:r>
            <w:proofErr w:type="spellStart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Weiyi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proofErr w:type="spellStart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Spreadtrum</w:t>
            </w:r>
            <w:proofErr w:type="spellEnd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 xml:space="preserve"> Communication USA, </w:t>
            </w:r>
            <w:proofErr w:type="spellStart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Inc</w:t>
            </w:r>
            <w:proofErr w:type="spellEnd"/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Lungu, Alexandru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SAMSUNG ELECTRONICS</w:t>
            </w:r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proofErr w:type="spellStart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Manoharan</w:t>
            </w:r>
            <w:proofErr w:type="spellEnd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 xml:space="preserve">, </w:t>
            </w:r>
            <w:proofErr w:type="spellStart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Jegan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Cisco Systems, Inc.</w:t>
            </w:r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McCann, Stephen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Huawei Technologies Co., Ltd</w:t>
            </w:r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Montemurro, Michael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Huawei Technologies Co., Ltd</w:t>
            </w:r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proofErr w:type="spellStart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Nezou</w:t>
            </w:r>
            <w:proofErr w:type="spellEnd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, Patrice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Canon Research Centre France</w:t>
            </w:r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Orr, Stephen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Cisco Systems, Inc.</w:t>
            </w:r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proofErr w:type="spellStart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Pettersson</w:t>
            </w:r>
            <w:proofErr w:type="spellEnd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, Charlie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Ericsson AB</w:t>
            </w:r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proofErr w:type="spellStart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Kurapov</w:t>
            </w:r>
            <w:proofErr w:type="spellEnd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, Anton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Wireless Networks Lab</w:t>
            </w:r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RISON, Mark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Samsung Cambridge Solution Centre</w:t>
            </w:r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Sand, Stephan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 xml:space="preserve">German Aerospace </w:t>
            </w:r>
            <w:proofErr w:type="spellStart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Center</w:t>
            </w:r>
            <w:proofErr w:type="spellEnd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 xml:space="preserve"> (DLR)</w:t>
            </w:r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proofErr w:type="spellStart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Schelstraete</w:t>
            </w:r>
            <w:proofErr w:type="spellEnd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 xml:space="preserve">, </w:t>
            </w:r>
            <w:proofErr w:type="spellStart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Sigurd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proofErr w:type="spellStart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MaxLinear</w:t>
            </w:r>
            <w:proofErr w:type="spellEnd"/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proofErr w:type="spellStart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Sevin</w:t>
            </w:r>
            <w:proofErr w:type="spellEnd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, Julien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Canon Research Centre France</w:t>
            </w:r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Sun, Bo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proofErr w:type="spellStart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Sanechips</w:t>
            </w:r>
            <w:proofErr w:type="spellEnd"/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Swartz, Matt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Cisco</w:t>
            </w:r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proofErr w:type="spellStart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Thakore</w:t>
            </w:r>
            <w:proofErr w:type="spellEnd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 xml:space="preserve">, </w:t>
            </w:r>
            <w:proofErr w:type="spellStart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Darshak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Cable Television Laboratories Inc. (</w:t>
            </w:r>
            <w:proofErr w:type="spellStart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CableLabs</w:t>
            </w:r>
            <w:proofErr w:type="spellEnd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)</w:t>
            </w:r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 xml:space="preserve">Wang, </w:t>
            </w:r>
            <w:proofErr w:type="spellStart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Zisheng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ZTE Corporation</w:t>
            </w:r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Yang, Jay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ZTE Corporation</w:t>
            </w:r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Rodriguez, Stephen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Cisco Systems, Inc.</w:t>
            </w:r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Kumar, Manish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NXP Semiconductors</w:t>
            </w:r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Kim, Sang</w:t>
            </w:r>
            <w:r w:rsidR="00D65D2A">
              <w:rPr>
                <w:rFonts w:ascii="Calibri" w:hAnsi="Calibri" w:cs="Calibri"/>
                <w:color w:val="000000"/>
                <w:szCs w:val="22"/>
                <w:lang w:eastAsia="en-GB"/>
              </w:rPr>
              <w:t xml:space="preserve"> </w:t>
            </w:r>
            <w:r w:rsidR="00D65D2A"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Gook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LG ELECTRONICS</w:t>
            </w:r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Kandala, Srinivas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SAMSUNG</w:t>
            </w:r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 xml:space="preserve">Choi, </w:t>
            </w:r>
            <w:proofErr w:type="spellStart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Jinsoo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LG ELECTRONICS</w:t>
            </w:r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 xml:space="preserve">Contreras </w:t>
            </w:r>
            <w:proofErr w:type="spellStart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Albesa</w:t>
            </w:r>
            <w:proofErr w:type="spellEnd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,</w:t>
            </w:r>
            <w:r w:rsidR="00D65D2A">
              <w:rPr>
                <w:rFonts w:ascii="Calibri" w:hAnsi="Calibri" w:cs="Calibri"/>
                <w:color w:val="000000"/>
                <w:szCs w:val="22"/>
                <w:lang w:eastAsia="en-GB"/>
              </w:rPr>
              <w:t xml:space="preserve"> </w:t>
            </w:r>
            <w:r w:rsidR="00D65D2A"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Javier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Cisco Systems, Inc.</w:t>
            </w:r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 xml:space="preserve">Cui, </w:t>
            </w:r>
            <w:proofErr w:type="spellStart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Yaoshen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TP-Link Systems Inc.</w:t>
            </w:r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proofErr w:type="spellStart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DeLaOlivaDelgado</w:t>
            </w:r>
            <w:proofErr w:type="spellEnd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, Antonio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proofErr w:type="spellStart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InterDigital</w:t>
            </w:r>
            <w:proofErr w:type="spellEnd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, Inc.</w:t>
            </w:r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proofErr w:type="spellStart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Dumdei</w:t>
            </w:r>
            <w:proofErr w:type="spellEnd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, Alan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Cisco Systems</w:t>
            </w:r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Eastlake 3rd,</w:t>
            </w:r>
            <w:r w:rsidR="00D65D2A">
              <w:rPr>
                <w:rFonts w:ascii="Calibri" w:hAnsi="Calibri" w:cs="Calibri"/>
                <w:color w:val="000000"/>
                <w:szCs w:val="22"/>
                <w:lang w:eastAsia="en-GB"/>
              </w:rPr>
              <w:t xml:space="preserve"> </w:t>
            </w:r>
            <w:r w:rsidR="00D65D2A"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Donald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INDEPENDENT</w:t>
            </w:r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 xml:space="preserve">Fan, </w:t>
            </w:r>
            <w:proofErr w:type="spellStart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Shuang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proofErr w:type="spellStart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Sanechips</w:t>
            </w:r>
            <w:proofErr w:type="spellEnd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 xml:space="preserve"> Technology Co., Ltd.</w:t>
            </w:r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proofErr w:type="spellStart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Ficara</w:t>
            </w:r>
            <w:proofErr w:type="spellEnd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, Domenico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Cisco Systems, Inc.</w:t>
            </w:r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Fujimori, Yuki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Canon Research Centre France</w:t>
            </w:r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proofErr w:type="spellStart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Georgiev</w:t>
            </w:r>
            <w:proofErr w:type="spellEnd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 xml:space="preserve">, </w:t>
            </w:r>
            <w:proofErr w:type="spellStart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Zahari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Cisco Systems, Inc.</w:t>
            </w:r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lastRenderedPageBreak/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 xml:space="preserve">GUIGNARD, </w:t>
            </w:r>
            <w:proofErr w:type="spellStart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Romain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Canon Research Centre France</w:t>
            </w:r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 xml:space="preserve">Gupta, </w:t>
            </w:r>
            <w:proofErr w:type="spellStart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Binita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Cisco Systems, Inc.</w:t>
            </w:r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proofErr w:type="spellStart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Halasz</w:t>
            </w:r>
            <w:proofErr w:type="spellEnd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, David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Morse Micro</w:t>
            </w:r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Hamilton, Mark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Ruckus/</w:t>
            </w:r>
            <w:proofErr w:type="spellStart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CommScope</w:t>
            </w:r>
            <w:proofErr w:type="spellEnd"/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Harkins, Daniel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Aruba Networks, Inc.</w:t>
            </w:r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Hart, Brian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Cisco Systems, Inc.</w:t>
            </w:r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Huang, Po-Kai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Intel</w:t>
            </w:r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 xml:space="preserve">Hussein, </w:t>
            </w:r>
            <w:proofErr w:type="spellStart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Abdalla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Huawei Technologies Co., Ltd</w:t>
            </w:r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 xml:space="preserve">Jang, </w:t>
            </w:r>
            <w:proofErr w:type="spellStart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Insun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LG ELECTRONICS</w:t>
            </w:r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Yee, James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proofErr w:type="spellStart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MediaTek</w:t>
            </w:r>
            <w:proofErr w:type="spellEnd"/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 xml:space="preserve"> Inc.</w:t>
            </w:r>
          </w:p>
        </w:tc>
      </w:tr>
      <w:tr w:rsidR="004A616B" w:rsidRPr="004A616B" w:rsidTr="004A616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PQC SG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03/27/2025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Zuniga, Juan</w:t>
            </w:r>
            <w:r w:rsidR="000128D4">
              <w:rPr>
                <w:rFonts w:ascii="Calibri" w:hAnsi="Calibri" w:cs="Calibri"/>
                <w:color w:val="000000"/>
                <w:szCs w:val="22"/>
                <w:lang w:eastAsia="en-GB"/>
              </w:rPr>
              <w:t xml:space="preserve"> </w:t>
            </w:r>
            <w:r w:rsidR="000128D4"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Carlos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B" w:rsidRPr="004A616B" w:rsidRDefault="004A616B" w:rsidP="004A616B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color w:val="000000"/>
                <w:szCs w:val="22"/>
                <w:lang w:eastAsia="en-GB"/>
              </w:rPr>
              <w:t>Cisco Systems, Inc.</w:t>
            </w:r>
          </w:p>
        </w:tc>
      </w:tr>
    </w:tbl>
    <w:p w:rsidR="004A616B" w:rsidRDefault="004A616B">
      <w:pPr>
        <w:rPr>
          <w:b/>
          <w:sz w:val="24"/>
        </w:rPr>
      </w:pPr>
    </w:p>
    <w:sectPr w:rsidR="004A616B" w:rsidSect="009273F6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800" w:rsidRDefault="00B13800">
      <w:r>
        <w:separator/>
      </w:r>
    </w:p>
  </w:endnote>
  <w:endnote w:type="continuationSeparator" w:id="0">
    <w:p w:rsidR="00B13800" w:rsidRDefault="00B1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BC" w:rsidRDefault="00461EBF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0F37BC">
      <w:tab/>
      <w:t xml:space="preserve">page </w:t>
    </w:r>
    <w:r w:rsidR="000F37BC">
      <w:fldChar w:fldCharType="begin"/>
    </w:r>
    <w:r w:rsidR="000F37BC">
      <w:instrText xml:space="preserve">page </w:instrText>
    </w:r>
    <w:r w:rsidR="000F37BC">
      <w:fldChar w:fldCharType="separate"/>
    </w:r>
    <w:r>
      <w:rPr>
        <w:noProof/>
      </w:rPr>
      <w:t>4</w:t>
    </w:r>
    <w:r w:rsidR="000F37BC">
      <w:fldChar w:fldCharType="end"/>
    </w:r>
    <w:r w:rsidR="000F37BC">
      <w:tab/>
    </w:r>
    <w:r w:rsidR="00B13800">
      <w:fldChar w:fldCharType="begin"/>
    </w:r>
    <w:r w:rsidR="00B13800">
      <w:instrText xml:space="preserve"> COMMENTS  \* MERGEFORMAT </w:instrText>
    </w:r>
    <w:r w:rsidR="00B13800">
      <w:fldChar w:fldCharType="separate"/>
    </w:r>
    <w:r w:rsidR="000F37BC">
      <w:t>Alex Lungu, SAMSUNG</w:t>
    </w:r>
    <w:r w:rsidR="00B13800">
      <w:fldChar w:fldCharType="end"/>
    </w:r>
  </w:p>
  <w:p w:rsidR="000F37BC" w:rsidRDefault="000F37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800" w:rsidRDefault="00B13800">
      <w:r>
        <w:separator/>
      </w:r>
    </w:p>
  </w:footnote>
  <w:footnote w:type="continuationSeparator" w:id="0">
    <w:p w:rsidR="00B13800" w:rsidRDefault="00B13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BC" w:rsidRDefault="00B13800" w:rsidP="008D5345">
    <w:pPr>
      <w:pStyle w:val="Header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307C6">
      <w:t>April 2025</w:t>
    </w:r>
    <w:r>
      <w:fldChar w:fldCharType="end"/>
    </w:r>
    <w:r w:rsidR="000F37BC">
      <w:tab/>
    </w:r>
    <w:r w:rsidR="000F37BC">
      <w:tab/>
    </w:r>
    <w:r>
      <w:fldChar w:fldCharType="begin"/>
    </w:r>
    <w:r>
      <w:instrText xml:space="preserve"> TITLE  \* MERGEFORMAT </w:instrText>
    </w:r>
    <w:r>
      <w:fldChar w:fldCharType="separate"/>
    </w:r>
    <w:r w:rsidR="00CC53E8">
      <w:t>IEEE 802.11-25/0572r0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10CFD"/>
    <w:multiLevelType w:val="hybridMultilevel"/>
    <w:tmpl w:val="0B6697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177A3"/>
    <w:multiLevelType w:val="hybridMultilevel"/>
    <w:tmpl w:val="185AA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92451"/>
    <w:multiLevelType w:val="hybridMultilevel"/>
    <w:tmpl w:val="C2A25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68"/>
    <w:rsid w:val="0000216F"/>
    <w:rsid w:val="000128D4"/>
    <w:rsid w:val="0002332B"/>
    <w:rsid w:val="00053EBC"/>
    <w:rsid w:val="000F37BC"/>
    <w:rsid w:val="00107547"/>
    <w:rsid w:val="00110274"/>
    <w:rsid w:val="00130249"/>
    <w:rsid w:val="00136868"/>
    <w:rsid w:val="00182D83"/>
    <w:rsid w:val="00191ECF"/>
    <w:rsid w:val="001C197D"/>
    <w:rsid w:val="001D723B"/>
    <w:rsid w:val="0020597A"/>
    <w:rsid w:val="00235919"/>
    <w:rsid w:val="0029020B"/>
    <w:rsid w:val="002B49CC"/>
    <w:rsid w:val="002D44BE"/>
    <w:rsid w:val="002F690D"/>
    <w:rsid w:val="003745C8"/>
    <w:rsid w:val="00382812"/>
    <w:rsid w:val="003D6A1A"/>
    <w:rsid w:val="0042268D"/>
    <w:rsid w:val="00442037"/>
    <w:rsid w:val="00461EBF"/>
    <w:rsid w:val="004A616B"/>
    <w:rsid w:val="004B064B"/>
    <w:rsid w:val="004C366C"/>
    <w:rsid w:val="00541B11"/>
    <w:rsid w:val="00554AA9"/>
    <w:rsid w:val="00574924"/>
    <w:rsid w:val="005760CA"/>
    <w:rsid w:val="005E72E7"/>
    <w:rsid w:val="00603BBB"/>
    <w:rsid w:val="0062440B"/>
    <w:rsid w:val="00650526"/>
    <w:rsid w:val="0066260F"/>
    <w:rsid w:val="00673CF5"/>
    <w:rsid w:val="006C0727"/>
    <w:rsid w:val="006C1EF7"/>
    <w:rsid w:val="006E145F"/>
    <w:rsid w:val="0074773B"/>
    <w:rsid w:val="00754F61"/>
    <w:rsid w:val="00770572"/>
    <w:rsid w:val="007B654C"/>
    <w:rsid w:val="008D5345"/>
    <w:rsid w:val="00907110"/>
    <w:rsid w:val="009273F6"/>
    <w:rsid w:val="009341BF"/>
    <w:rsid w:val="0097229A"/>
    <w:rsid w:val="00973279"/>
    <w:rsid w:val="009F2FBC"/>
    <w:rsid w:val="00A168A6"/>
    <w:rsid w:val="00A70322"/>
    <w:rsid w:val="00AA427C"/>
    <w:rsid w:val="00AC2536"/>
    <w:rsid w:val="00B13800"/>
    <w:rsid w:val="00B307C6"/>
    <w:rsid w:val="00B36453"/>
    <w:rsid w:val="00BA25F5"/>
    <w:rsid w:val="00BD79FF"/>
    <w:rsid w:val="00BE68C2"/>
    <w:rsid w:val="00C271A6"/>
    <w:rsid w:val="00C31319"/>
    <w:rsid w:val="00C55867"/>
    <w:rsid w:val="00C77A36"/>
    <w:rsid w:val="00C80D94"/>
    <w:rsid w:val="00C874D8"/>
    <w:rsid w:val="00CA09B2"/>
    <w:rsid w:val="00CC53E8"/>
    <w:rsid w:val="00D10CCB"/>
    <w:rsid w:val="00D14A57"/>
    <w:rsid w:val="00D17890"/>
    <w:rsid w:val="00D3483F"/>
    <w:rsid w:val="00D473D4"/>
    <w:rsid w:val="00D56E7C"/>
    <w:rsid w:val="00D65D2A"/>
    <w:rsid w:val="00DC5A7B"/>
    <w:rsid w:val="00EB45AC"/>
    <w:rsid w:val="00EF08D1"/>
    <w:rsid w:val="00EF7BDE"/>
    <w:rsid w:val="00F00517"/>
    <w:rsid w:val="00F92E25"/>
    <w:rsid w:val="00FD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F2490A"/>
  <w15:chartTrackingRefBased/>
  <w15:docId w15:val="{7D30207F-BBF0-42A3-90BF-3DBBF838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260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71A6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4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6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5/11-25-0510r02-0PQC-pqc-sg-agenda-03-27-2025.ppt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entor.iee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5/11-25-0462-02-0000-post-quantum-crypto-project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lungu\Documents\Custom%20Office%20Templates\IE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 template.dotx</Template>
  <TotalTime>51</TotalTime>
  <Pages>5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802.11-25/0572r0</dc:title>
  <dc:subject>Submission</dc:subject>
  <dc:creator>Daniel Alexandru Lungu</dc:creator>
  <cp:keywords>April 2025</cp:keywords>
  <dc:description>Alex Lungu, SAMSUNG</dc:description>
  <cp:lastModifiedBy>Daniel Alexandru Lungu</cp:lastModifiedBy>
  <cp:revision>12</cp:revision>
  <cp:lastPrinted>1900-01-01T08:00:00Z</cp:lastPrinted>
  <dcterms:created xsi:type="dcterms:W3CDTF">2025-03-31T13:20:00Z</dcterms:created>
  <dcterms:modified xsi:type="dcterms:W3CDTF">2025-04-01T08:34:00Z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