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676211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10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473771E7">
                <wp:simplePos x="0" y="0"/>
                <wp:positionH relativeFrom="column">
                  <wp:posOffset>-63230</wp:posOffset>
                </wp:positionH>
                <wp:positionV relativeFrom="paragraph">
                  <wp:posOffset>205671</wp:posOffset>
                </wp:positionV>
                <wp:extent cx="5943600" cy="3741907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41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691CF0FE" w14:textId="2F0B6C80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to detect available BPE AP MLDs through their Privacy Beacons. This submission allows STA to send a frame to solicit Privacy Beacons from the BPE APs in proximity to speed up the BPE AP detection. 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2pt;width:468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691CF0FE" w14:textId="2F0B6C80" w:rsidR="00171177" w:rsidRDefault="00171177" w:rsidP="00171177">
                      <w:pPr>
                        <w:jc w:val="both"/>
                      </w:pPr>
                      <w:r>
                        <w:t xml:space="preserve">Currently, a BPE STA may only passively scan to detect available BPE AP MLDs through their Privacy Beacons. This submission allows STA to send a frame to solicit Privacy Beacons from the BPE APs in proximity to speed up the BPE AP detection. 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62D6C843" w14:textId="37B19CEA" w:rsidR="00F92E25" w:rsidRPr="00442731" w:rsidRDefault="00C70E19" w:rsidP="00442731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 xml:space="preserve">802.11bi </w:t>
      </w:r>
      <w:r w:rsidR="00442731">
        <w:rPr>
          <w:rFonts w:eastAsiaTheme="minorEastAsia"/>
        </w:rPr>
        <w:t>comments [1]</w:t>
      </w:r>
      <w:r w:rsidRPr="002112C0">
        <w:rPr>
          <w:rFonts w:eastAsiaTheme="minorEastAsia"/>
        </w:rPr>
        <w:t>:</w:t>
      </w:r>
    </w:p>
    <w:p w14:paraId="320E59DE" w14:textId="77777777" w:rsidR="00C70E19" w:rsidRDefault="00C70E19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C70E19" w14:paraId="510A3B28" w14:textId="77777777" w:rsidTr="0035113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31E34C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E9D27F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3D1D96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A50053" w14:textId="77777777" w:rsidR="00C70E19" w:rsidRDefault="00C70E19" w:rsidP="003511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C70E19" w14:paraId="3BC53DAE" w14:textId="77777777" w:rsidTr="0035113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408E" w14:textId="77777777" w:rsidR="00C70E19" w:rsidRDefault="00C70E19" w:rsidP="0035113B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44F3" w14:textId="77777777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156A" w14:textId="1BB40466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857395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5601" w14:textId="77777777" w:rsidR="00C70E19" w:rsidRDefault="00C70E19" w:rsidP="003511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Revised. Agree in principle. The submission 11-24-1579r9 defines the BSS Privacy Beaconing.</w:t>
            </w:r>
          </w:p>
        </w:tc>
      </w:tr>
    </w:tbl>
    <w:p w14:paraId="3F18CDDE" w14:textId="77777777" w:rsidR="00171177" w:rsidRDefault="00C70E19" w:rsidP="00C70E19">
      <w:pPr>
        <w:pStyle w:val="Heading3"/>
      </w:pPr>
      <w:r>
        <w:t xml:space="preserve"> </w:t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12029C72" w14:textId="2E5981FF" w:rsidR="00CA09B2" w:rsidRDefault="00CA09B2"/>
    <w:p w14:paraId="09387C76" w14:textId="77777777" w:rsidR="00CA09B2" w:rsidRDefault="00CA09B2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7CF05F86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ed.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17671D45" w14:textId="09D8429D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5642678D" w14:textId="339ED0D2" w:rsidR="00B35308" w:rsidRPr="00171177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49DCD33F" w14:textId="2506358B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</w:p>
    <w:p w14:paraId="37A0E40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325835E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1341891A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54356231" w14:textId="60F9B924" w:rsidR="00B35308" w:rsidRPr="00181B82" w:rsidRDefault="00B35308" w:rsidP="00B35308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="00857395" w:rsidRPr="00181B82">
        <w:rPr>
          <w:rFonts w:eastAsiaTheme="minorEastAsia"/>
          <w:sz w:val="20"/>
        </w:rPr>
        <w:t>GTK,</w:t>
      </w:r>
      <w:r w:rsidRPr="00181B82">
        <w:rPr>
          <w:rFonts w:eastAsiaTheme="minorEastAsia"/>
          <w:sz w:val="20"/>
        </w:rPr>
        <w:t xml:space="preserve"> and it is receivable only for the BPE non-AP MLDs associated with the BPE AP MLD of the transmitting BPE AP. The AAD of the frame is constructed as defined in clause 12.5.4.3.3 (Construct AAD). </w:t>
      </w:r>
    </w:p>
    <w:p w14:paraId="1F04D10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D41AF1" w14:textId="09BE5506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3097F942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07E88C07" w14:textId="67367E4B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9–XX</w:t>
      </w:r>
      <w:r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7F50A6CE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541C2ADD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57A54E0E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7BB04CE5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Identity Hash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>
        <w:rPr>
          <w:rFonts w:eastAsiaTheme="minorEastAsia"/>
          <w:color w:val="000000" w:themeColor="text1"/>
          <w:sz w:val="20"/>
        </w:rPr>
        <w:t>BPE AP MLD a</w:t>
      </w:r>
      <w:r w:rsidRPr="00CA5367">
        <w:rPr>
          <w:rFonts w:eastAsiaTheme="minorEastAsia"/>
          <w:color w:val="000000" w:themeColor="text1"/>
          <w:sz w:val="20"/>
        </w:rPr>
        <w:t>ddress resolution”,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</w:t>
      </w:r>
      <w:r>
        <w:rPr>
          <w:rFonts w:eastAsiaTheme="minorEastAsia"/>
          <w:color w:val="000000" w:themeColor="text1"/>
          <w:sz w:val="20"/>
        </w:rPr>
        <w:t>10</w:t>
      </w:r>
      <w:r w:rsidRPr="00CA5367">
        <w:rPr>
          <w:rFonts w:eastAsiaTheme="minorEastAsia"/>
          <w:color w:val="000000" w:themeColor="text1"/>
          <w:sz w:val="20"/>
        </w:rPr>
        <w:t>–X</w:t>
      </w:r>
      <w:r>
        <w:rPr>
          <w:rFonts w:eastAsiaTheme="minorEastAsia"/>
          <w:color w:val="000000" w:themeColor="text1"/>
          <w:sz w:val="20"/>
        </w:rPr>
        <w:t>1</w:t>
      </w:r>
      <w:r w:rsidRPr="00CA5367">
        <w:rPr>
          <w:rFonts w:eastAsiaTheme="minorEastAsia"/>
          <w:color w:val="000000" w:themeColor="text1"/>
          <w:sz w:val="20"/>
        </w:rPr>
        <w:t>)</w:t>
      </w:r>
    </w:p>
    <w:p w14:paraId="3582D6EB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777BB43C" w14:textId="292D19FE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5FBE4AD8" w14:textId="4F3BA5F7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>Identity Key is 128-bit identifier of the tested AP MLD</w:t>
      </w:r>
      <w:r>
        <w:rPr>
          <w:rFonts w:eastAsiaTheme="minorEastAsia"/>
          <w:color w:val="000000" w:themeColor="text1"/>
          <w:sz w:val="20"/>
        </w:rPr>
        <w:t>.</w:t>
      </w:r>
    </w:p>
    <w:p w14:paraId="224A33A3" w14:textId="3B7D16AE" w:rsidR="0017117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621A4CC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97F137" w14:textId="65D09015" w:rsidR="0017117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6B938D1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25FFE468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64EA1E27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0493BD1A" w14:textId="70665555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686144">
        <w:rPr>
          <w:rFonts w:eastAsiaTheme="minorEastAsia"/>
          <w:color w:val="000000" w:themeColor="text1"/>
          <w:sz w:val="20"/>
        </w:rPr>
        <w:t>n associated</w:t>
      </w:r>
      <w:r>
        <w:rPr>
          <w:rFonts w:eastAsiaTheme="minorEastAsia"/>
          <w:color w:val="000000" w:themeColor="text1"/>
          <w:sz w:val="20"/>
        </w:rPr>
        <w:t xml:space="preserve"> BPE non-AP MLD and a BPE AP MLD may use the procedure defined in 12.14.3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33EE9506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0D0323F6" w14:textId="7BD38709" w:rsidR="00171177" w:rsidRDefault="00171177" w:rsidP="00B35308">
      <w:pPr>
        <w:rPr>
          <w:rFonts w:eastAsiaTheme="minorEastAsia"/>
          <w:color w:val="000000" w:themeColor="text1"/>
          <w:sz w:val="20"/>
        </w:rPr>
      </w:pPr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2C8D903E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in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4F325896" w14:textId="77777777" w:rsidR="000302AD" w:rsidRDefault="000302AD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7AFF1AEA" w14:textId="6EBDCCB2" w:rsidR="00686144" w:rsidRDefault="00686144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 w:rsidR="00596041"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413CA5FC" w14:textId="5A300098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2DF6D4D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34F9AC7B" w14:textId="68516A4B" w:rsidR="00596041" w:rsidRPr="00596041" w:rsidRDefault="00596041" w:rsidP="00596041">
      <w:pPr>
        <w:rPr>
          <w:rFonts w:eastAsiaTheme="minorEastAsia"/>
          <w:color w:val="4472C4" w:themeColor="accent1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</w:t>
      </w:r>
      <w:r w:rsidR="00641CEB">
        <w:rPr>
          <w:rFonts w:eastAsiaTheme="minorEastAsia"/>
          <w:color w:val="4472C4" w:themeColor="accent1"/>
          <w:sz w:val="20"/>
          <w:u w:val="single"/>
        </w:rPr>
        <w:t>unprotected</w:t>
      </w:r>
      <w:r w:rsidR="002739E4"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 w:rsidR="00442731"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>, to solicit 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>A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BPE </w:t>
      </w:r>
      <w:r>
        <w:rPr>
          <w:rFonts w:eastAsiaTheme="minorEastAsia"/>
          <w:color w:val="4472C4" w:themeColor="accent1"/>
          <w:sz w:val="20"/>
          <w:u w:val="single"/>
        </w:rPr>
        <w:t xml:space="preserve">non-AP STA may detect from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received </w:t>
      </w:r>
      <w:r>
        <w:rPr>
          <w:rFonts w:eastAsiaTheme="minorEastAsia"/>
          <w:color w:val="4472C4" w:themeColor="accent1"/>
          <w:sz w:val="20"/>
          <w:u w:val="single"/>
        </w:rPr>
        <w:t xml:space="preserve">Privacy Beacons whether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the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transmitting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AP MLD information </w:t>
      </w:r>
      <w:r>
        <w:rPr>
          <w:rFonts w:eastAsiaTheme="minorEastAsia"/>
          <w:color w:val="4472C4" w:themeColor="accent1"/>
          <w:sz w:val="20"/>
          <w:u w:val="single"/>
        </w:rPr>
        <w:t xml:space="preserve">is preshared </w:t>
      </w:r>
      <w:r w:rsidR="00ED62EE">
        <w:rPr>
          <w:rFonts w:eastAsiaTheme="minorEastAsia"/>
          <w:color w:val="4472C4" w:themeColor="accent1"/>
          <w:sz w:val="20"/>
          <w:u w:val="single"/>
        </w:rPr>
        <w:t>to the STA</w:t>
      </w:r>
      <w:r>
        <w:rPr>
          <w:rFonts w:eastAsiaTheme="minorEastAsia"/>
          <w:color w:val="4472C4" w:themeColor="accent1"/>
          <w:sz w:val="20"/>
          <w:u w:val="single"/>
        </w:rPr>
        <w:t>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596041">
        <w:rPr>
          <w:rFonts w:eastAsiaTheme="minorEastAsia"/>
          <w:color w:val="4472C4" w:themeColor="accent1"/>
          <w:sz w:val="20"/>
          <w:u w:val="single"/>
        </w:rPr>
        <w:lastRenderedPageBreak/>
        <w:t>beaconing</w:t>
      </w:r>
      <w:r>
        <w:rPr>
          <w:rFonts w:eastAsiaTheme="minorEastAsia"/>
          <w:color w:val="4472C4" w:themeColor="accent1"/>
          <w:sz w:val="20"/>
          <w:u w:val="single"/>
        </w:rPr>
        <w:t xml:space="preserve">).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AP should transmit a Privacy Beacon frame within a </w:t>
      </w:r>
      <w:r w:rsidRPr="00596041">
        <w:rPr>
          <w:rFonts w:eastAsiaTheme="minorEastAsia"/>
          <w:i/>
          <w:iCs/>
          <w:color w:val="4472C4" w:themeColor="accent1"/>
          <w:sz w:val="20"/>
          <w:u w:val="single"/>
        </w:rPr>
        <w:t>dot11PrivacyBeaconResponseTime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, if </w:t>
      </w:r>
      <w:r w:rsidR="00171177">
        <w:rPr>
          <w:rFonts w:eastAsiaTheme="minorEastAsia"/>
          <w:color w:val="4472C4" w:themeColor="accent1"/>
          <w:sz w:val="20"/>
          <w:u w:val="single"/>
        </w:rPr>
        <w:t>it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 has received a Privacy Beacon Solicit Request frame. </w:t>
      </w:r>
    </w:p>
    <w:p w14:paraId="22747B35" w14:textId="1F0C0BD0" w:rsidR="00B35308" w:rsidRPr="006346AB" w:rsidRDefault="006C0BCB" w:rsidP="006B52F1">
      <w:pPr>
        <w:rPr>
          <w:rFonts w:eastAsiaTheme="minorEastAsia"/>
          <w:color w:val="4472C4" w:themeColor="accent1"/>
          <w:sz w:val="20"/>
          <w:u w:val="single"/>
        </w:rPr>
      </w:pPr>
      <w:r>
        <w:rPr>
          <w:rFonts w:eastAsiaTheme="minorEastAsia"/>
          <w:color w:val="4472C4" w:themeColor="accent1"/>
          <w:sz w:val="20"/>
          <w:u w:val="single"/>
        </w:rPr>
        <w:t xml:space="preserve">  </w:t>
      </w:r>
    </w:p>
    <w:p w14:paraId="69A76F60" w14:textId="49BAF1A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0D344F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="00171177" w:rsidRPr="00171177">
        <w:rPr>
          <w:rFonts w:eastAsiaTheme="minorEastAsia"/>
          <w:color w:val="0070C0"/>
          <w:sz w:val="20"/>
          <w:u w:val="single"/>
        </w:rPr>
        <w:t>with a BPE AP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by sending frames with </w:t>
      </w:r>
      <w:r w:rsidR="006B52F1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 w:rsidR="006B52F1"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43FDEAD7" w14:textId="77777777" w:rsidR="00B35308" w:rsidRDefault="00B35308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77777777" w:rsidR="00596041" w:rsidRPr="00616BFC" w:rsidRDefault="00596041" w:rsidP="0035113B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4 </w:t>
            </w:r>
            <w:r w:rsidR="00171177">
              <w:rPr>
                <w:rFonts w:eastAsiaTheme="minorEastAsia"/>
                <w:color w:val="00B0F0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26888FB2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10.71.8.2</w:t>
      </w:r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7F2174E2" w14:textId="0A23BA9D" w:rsidR="00B35308" w:rsidRDefault="00442731" w:rsidP="00B35308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p w14:paraId="6D586ED8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C214" w14:textId="77777777" w:rsidR="00BA245E" w:rsidRDefault="00BA245E">
      <w:r>
        <w:separator/>
      </w:r>
    </w:p>
  </w:endnote>
  <w:endnote w:type="continuationSeparator" w:id="0">
    <w:p w14:paraId="5E882AD1" w14:textId="77777777" w:rsidR="00BA245E" w:rsidRDefault="00BA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A821" w14:textId="77777777" w:rsidR="00BA245E" w:rsidRDefault="00BA245E">
      <w:r>
        <w:separator/>
      </w:r>
    </w:p>
  </w:footnote>
  <w:footnote w:type="continuationSeparator" w:id="0">
    <w:p w14:paraId="188BA88A" w14:textId="77777777" w:rsidR="00BA245E" w:rsidRDefault="00BA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57641829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6346AB">
        <w:t>doc.: IEEE 802.11-25/135r1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7"/>
  </w:num>
  <w:num w:numId="3" w16cid:durableId="1493713353">
    <w:abstractNumId w:val="3"/>
  </w:num>
  <w:num w:numId="4" w16cid:durableId="1639414197">
    <w:abstractNumId w:val="5"/>
  </w:num>
  <w:num w:numId="5" w16cid:durableId="1759787507">
    <w:abstractNumId w:val="1"/>
  </w:num>
  <w:num w:numId="6" w16cid:durableId="1805393221">
    <w:abstractNumId w:val="4"/>
  </w:num>
  <w:num w:numId="7" w16cid:durableId="228224420">
    <w:abstractNumId w:val="2"/>
  </w:num>
  <w:num w:numId="8" w16cid:durableId="1739161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302AD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427F4"/>
    <w:rsid w:val="0074773B"/>
    <w:rsid w:val="00754F61"/>
    <w:rsid w:val="00770572"/>
    <w:rsid w:val="00811BAE"/>
    <w:rsid w:val="00814203"/>
    <w:rsid w:val="00857395"/>
    <w:rsid w:val="0086064E"/>
    <w:rsid w:val="00863BB0"/>
    <w:rsid w:val="0088486E"/>
    <w:rsid w:val="008D5345"/>
    <w:rsid w:val="008E3166"/>
    <w:rsid w:val="00907110"/>
    <w:rsid w:val="009273F6"/>
    <w:rsid w:val="00970BBB"/>
    <w:rsid w:val="0097229A"/>
    <w:rsid w:val="00972D9B"/>
    <w:rsid w:val="009758F3"/>
    <w:rsid w:val="009C393D"/>
    <w:rsid w:val="009F2FBC"/>
    <w:rsid w:val="00A70322"/>
    <w:rsid w:val="00AA427C"/>
    <w:rsid w:val="00AC2536"/>
    <w:rsid w:val="00B2747D"/>
    <w:rsid w:val="00B35308"/>
    <w:rsid w:val="00B36313"/>
    <w:rsid w:val="00B9270E"/>
    <w:rsid w:val="00BA245E"/>
    <w:rsid w:val="00BA25F5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4</Pages>
  <Words>986</Words>
  <Characters>5238</Characters>
  <Application>Microsoft Office Word</Application>
  <DocSecurity>0</DocSecurity>
  <Lines>165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802.11-25/135r0</vt:lpstr>
    </vt:vector>
  </TitlesOfParts>
  <Manager/>
  <Company>Apple Inc.</Company>
  <LinksUpToDate>false</LinksUpToDate>
  <CharactersWithSpaces>6178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802.11-25/135r1</dc:title>
  <dc:subject>Submission</dc:subject>
  <dc:creator>Jarkko Kneckt</dc:creator>
  <cp:keywords>January 2025</cp:keywords>
  <dc:description>Jarkko Kneckt, Apple</dc:description>
  <cp:lastModifiedBy>Jarkko Kneckt</cp:lastModifiedBy>
  <cp:revision>2</cp:revision>
  <cp:lastPrinted>1900-01-01T08:00:00Z</cp:lastPrinted>
  <dcterms:created xsi:type="dcterms:W3CDTF">2025-01-13T22:59:00Z</dcterms:created>
  <dcterms:modified xsi:type="dcterms:W3CDTF">2025-01-13T22:59:00Z</dcterms:modified>
  <cp:category/>
</cp:coreProperties>
</file>