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A0F0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78"/>
        <w:gridCol w:w="1784"/>
      </w:tblGrid>
      <w:tr w:rsidR="00CA09B2" w14:paraId="5FB28BFD" w14:textId="77777777" w:rsidTr="002D6CBD">
        <w:trPr>
          <w:trHeight w:val="485"/>
          <w:jc w:val="center"/>
        </w:trPr>
        <w:tc>
          <w:tcPr>
            <w:tcW w:w="9576" w:type="dxa"/>
            <w:gridSpan w:val="5"/>
            <w:vAlign w:val="center"/>
          </w:tcPr>
          <w:p w14:paraId="1FDF970D" w14:textId="78420189" w:rsidR="00CA09B2" w:rsidRDefault="00A534A5" w:rsidP="004F2EE0">
            <w:pPr>
              <w:pStyle w:val="T2"/>
            </w:pPr>
            <w:r w:rsidRPr="00A534A5">
              <w:tab/>
              <w:t xml:space="preserve">PDT MAC UHR </w:t>
            </w:r>
            <w:r w:rsidR="00B778A9">
              <w:rPr>
                <w:rFonts w:hint="eastAsia"/>
                <w:lang w:eastAsia="zh-CN"/>
              </w:rPr>
              <w:t>Acknowledge</w:t>
            </w:r>
            <w:r w:rsidR="00B778A9">
              <w:t>ment</w:t>
            </w:r>
            <w:r w:rsidR="0067276A" w:rsidRPr="0067276A">
              <w:t xml:space="preserve"> Procedure</w:t>
            </w:r>
          </w:p>
        </w:tc>
      </w:tr>
      <w:tr w:rsidR="00CA09B2" w14:paraId="2E07352C" w14:textId="77777777" w:rsidTr="002D6CBD">
        <w:trPr>
          <w:trHeight w:val="359"/>
          <w:jc w:val="center"/>
        </w:trPr>
        <w:tc>
          <w:tcPr>
            <w:tcW w:w="9576" w:type="dxa"/>
            <w:gridSpan w:val="5"/>
            <w:vAlign w:val="center"/>
          </w:tcPr>
          <w:p w14:paraId="5FB14093" w14:textId="77777777" w:rsidR="00CA09B2" w:rsidRDefault="00CA09B2" w:rsidP="003D289F">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81788D">
              <w:rPr>
                <w:b w:val="0"/>
                <w:sz w:val="20"/>
              </w:rPr>
              <w:t>02</w:t>
            </w:r>
          </w:p>
        </w:tc>
      </w:tr>
      <w:tr w:rsidR="00CA09B2" w14:paraId="55647378" w14:textId="77777777" w:rsidTr="002D6CBD">
        <w:trPr>
          <w:cantSplit/>
          <w:jc w:val="center"/>
        </w:trPr>
        <w:tc>
          <w:tcPr>
            <w:tcW w:w="9576" w:type="dxa"/>
            <w:gridSpan w:val="5"/>
            <w:vAlign w:val="center"/>
          </w:tcPr>
          <w:p w14:paraId="658FB6CB" w14:textId="77777777" w:rsidR="00CA09B2" w:rsidRDefault="00CA09B2">
            <w:pPr>
              <w:pStyle w:val="T2"/>
              <w:spacing w:after="0"/>
              <w:ind w:left="0" w:right="0"/>
              <w:jc w:val="left"/>
              <w:rPr>
                <w:sz w:val="20"/>
              </w:rPr>
            </w:pPr>
            <w:r>
              <w:rPr>
                <w:sz w:val="20"/>
              </w:rPr>
              <w:t>Author(s):</w:t>
            </w:r>
          </w:p>
        </w:tc>
      </w:tr>
      <w:tr w:rsidR="00CA09B2" w14:paraId="45A7C2A4" w14:textId="77777777" w:rsidTr="00A534A5">
        <w:trPr>
          <w:jc w:val="center"/>
        </w:trPr>
        <w:tc>
          <w:tcPr>
            <w:tcW w:w="1336" w:type="dxa"/>
            <w:vAlign w:val="center"/>
          </w:tcPr>
          <w:p w14:paraId="09AEA7C0" w14:textId="77777777" w:rsidR="00CA09B2" w:rsidRDefault="00CA09B2">
            <w:pPr>
              <w:pStyle w:val="T2"/>
              <w:spacing w:after="0"/>
              <w:ind w:left="0" w:right="0"/>
              <w:jc w:val="left"/>
              <w:rPr>
                <w:sz w:val="20"/>
              </w:rPr>
            </w:pPr>
            <w:r>
              <w:rPr>
                <w:sz w:val="20"/>
              </w:rPr>
              <w:t>Name</w:t>
            </w:r>
          </w:p>
        </w:tc>
        <w:tc>
          <w:tcPr>
            <w:tcW w:w="2064" w:type="dxa"/>
            <w:vAlign w:val="center"/>
          </w:tcPr>
          <w:p w14:paraId="0C662C79" w14:textId="77777777" w:rsidR="00CA09B2" w:rsidRDefault="0062440B">
            <w:pPr>
              <w:pStyle w:val="T2"/>
              <w:spacing w:after="0"/>
              <w:ind w:left="0" w:right="0"/>
              <w:jc w:val="left"/>
              <w:rPr>
                <w:sz w:val="20"/>
              </w:rPr>
            </w:pPr>
            <w:r>
              <w:rPr>
                <w:sz w:val="20"/>
              </w:rPr>
              <w:t>Affiliation</w:t>
            </w:r>
          </w:p>
        </w:tc>
        <w:tc>
          <w:tcPr>
            <w:tcW w:w="2814" w:type="dxa"/>
            <w:vAlign w:val="center"/>
          </w:tcPr>
          <w:p w14:paraId="46C4C884" w14:textId="77777777" w:rsidR="00CA09B2" w:rsidRDefault="00CA09B2">
            <w:pPr>
              <w:pStyle w:val="T2"/>
              <w:spacing w:after="0"/>
              <w:ind w:left="0" w:right="0"/>
              <w:jc w:val="left"/>
              <w:rPr>
                <w:sz w:val="20"/>
              </w:rPr>
            </w:pPr>
            <w:r>
              <w:rPr>
                <w:sz w:val="20"/>
              </w:rPr>
              <w:t>Address</w:t>
            </w:r>
          </w:p>
        </w:tc>
        <w:tc>
          <w:tcPr>
            <w:tcW w:w="1578" w:type="dxa"/>
            <w:vAlign w:val="center"/>
          </w:tcPr>
          <w:p w14:paraId="064D5064" w14:textId="77777777" w:rsidR="00CA09B2" w:rsidRDefault="00CA09B2">
            <w:pPr>
              <w:pStyle w:val="T2"/>
              <w:spacing w:after="0"/>
              <w:ind w:left="0" w:right="0"/>
              <w:jc w:val="left"/>
              <w:rPr>
                <w:sz w:val="20"/>
              </w:rPr>
            </w:pPr>
            <w:r>
              <w:rPr>
                <w:sz w:val="20"/>
              </w:rPr>
              <w:t>Phone</w:t>
            </w:r>
          </w:p>
        </w:tc>
        <w:tc>
          <w:tcPr>
            <w:tcW w:w="1784" w:type="dxa"/>
            <w:vAlign w:val="center"/>
          </w:tcPr>
          <w:p w14:paraId="5F11B709" w14:textId="77777777" w:rsidR="00CA09B2" w:rsidRDefault="00CA09B2">
            <w:pPr>
              <w:pStyle w:val="T2"/>
              <w:spacing w:after="0"/>
              <w:ind w:left="0" w:right="0"/>
              <w:jc w:val="left"/>
              <w:rPr>
                <w:sz w:val="20"/>
              </w:rPr>
            </w:pPr>
            <w:r>
              <w:rPr>
                <w:sz w:val="20"/>
              </w:rPr>
              <w:t>email</w:t>
            </w:r>
          </w:p>
        </w:tc>
      </w:tr>
      <w:tr w:rsidR="00CA09B2" w14:paraId="376B734D" w14:textId="77777777" w:rsidTr="00A534A5">
        <w:trPr>
          <w:jc w:val="center"/>
        </w:trPr>
        <w:tc>
          <w:tcPr>
            <w:tcW w:w="1336" w:type="dxa"/>
            <w:vAlign w:val="center"/>
          </w:tcPr>
          <w:p w14:paraId="4FE2D668" w14:textId="77777777" w:rsidR="00CA09B2" w:rsidRDefault="00A534A5">
            <w:pPr>
              <w:pStyle w:val="T2"/>
              <w:spacing w:after="0"/>
              <w:ind w:left="0" w:right="0"/>
              <w:rPr>
                <w:b w:val="0"/>
                <w:sz w:val="20"/>
              </w:rPr>
            </w:pPr>
            <w:r>
              <w:rPr>
                <w:b w:val="0"/>
                <w:sz w:val="20"/>
              </w:rPr>
              <w:t>Ming Gan</w:t>
            </w:r>
          </w:p>
        </w:tc>
        <w:tc>
          <w:tcPr>
            <w:tcW w:w="2064" w:type="dxa"/>
            <w:vAlign w:val="center"/>
          </w:tcPr>
          <w:p w14:paraId="4C4842E6" w14:textId="77777777" w:rsidR="00CA09B2" w:rsidRDefault="00A534A5">
            <w:pPr>
              <w:pStyle w:val="T2"/>
              <w:spacing w:after="0"/>
              <w:ind w:left="0" w:right="0"/>
              <w:rPr>
                <w:b w:val="0"/>
                <w:sz w:val="20"/>
              </w:rPr>
            </w:pPr>
            <w:r>
              <w:rPr>
                <w:b w:val="0"/>
                <w:sz w:val="20"/>
              </w:rPr>
              <w:t>Huawei</w:t>
            </w:r>
          </w:p>
        </w:tc>
        <w:tc>
          <w:tcPr>
            <w:tcW w:w="2814" w:type="dxa"/>
            <w:vAlign w:val="center"/>
          </w:tcPr>
          <w:p w14:paraId="0B3B59B5" w14:textId="77777777" w:rsidR="00CA09B2" w:rsidRDefault="00CA09B2" w:rsidP="004F2EE0">
            <w:pPr>
              <w:pStyle w:val="T2"/>
              <w:spacing w:after="0"/>
              <w:ind w:left="0" w:right="0"/>
              <w:rPr>
                <w:b w:val="0"/>
                <w:sz w:val="20"/>
              </w:rPr>
            </w:pPr>
          </w:p>
        </w:tc>
        <w:tc>
          <w:tcPr>
            <w:tcW w:w="1578" w:type="dxa"/>
            <w:vAlign w:val="center"/>
          </w:tcPr>
          <w:p w14:paraId="7EED3AA9" w14:textId="77777777" w:rsidR="00CA09B2" w:rsidRDefault="00CA09B2">
            <w:pPr>
              <w:pStyle w:val="T2"/>
              <w:spacing w:after="0"/>
              <w:ind w:left="0" w:right="0"/>
              <w:rPr>
                <w:b w:val="0"/>
                <w:sz w:val="20"/>
              </w:rPr>
            </w:pPr>
          </w:p>
        </w:tc>
        <w:tc>
          <w:tcPr>
            <w:tcW w:w="1784" w:type="dxa"/>
            <w:vAlign w:val="center"/>
          </w:tcPr>
          <w:p w14:paraId="6DF0514A" w14:textId="77777777" w:rsidR="00CA09B2" w:rsidRDefault="00A534A5" w:rsidP="00225321">
            <w:pPr>
              <w:pStyle w:val="T2"/>
              <w:spacing w:after="0"/>
              <w:ind w:left="0" w:right="0"/>
              <w:rPr>
                <w:b w:val="0"/>
                <w:sz w:val="16"/>
              </w:rPr>
            </w:pPr>
            <w:r>
              <w:rPr>
                <w:b w:val="0"/>
                <w:sz w:val="16"/>
              </w:rPr>
              <w:t>ming.gan@huawei.com</w:t>
            </w:r>
          </w:p>
        </w:tc>
      </w:tr>
      <w:tr w:rsidR="00DD73E5" w14:paraId="2E50EEC7" w14:textId="77777777" w:rsidTr="00A534A5">
        <w:trPr>
          <w:jc w:val="center"/>
        </w:trPr>
        <w:tc>
          <w:tcPr>
            <w:tcW w:w="1336" w:type="dxa"/>
            <w:vAlign w:val="center"/>
          </w:tcPr>
          <w:p w14:paraId="30332EB6" w14:textId="77777777" w:rsidR="00DD73E5" w:rsidRDefault="00DD73E5" w:rsidP="00DD73E5">
            <w:pPr>
              <w:jc w:val="center"/>
              <w:rPr>
                <w:color w:val="000000"/>
                <w:sz w:val="20"/>
                <w:lang w:val="en-US"/>
              </w:rPr>
            </w:pPr>
          </w:p>
        </w:tc>
        <w:tc>
          <w:tcPr>
            <w:tcW w:w="2064" w:type="dxa"/>
            <w:vAlign w:val="center"/>
          </w:tcPr>
          <w:p w14:paraId="3693B883" w14:textId="77777777" w:rsidR="00DD73E5" w:rsidRDefault="00DD73E5" w:rsidP="00DD73E5">
            <w:pPr>
              <w:jc w:val="center"/>
              <w:rPr>
                <w:color w:val="000000"/>
                <w:sz w:val="20"/>
              </w:rPr>
            </w:pPr>
          </w:p>
        </w:tc>
        <w:tc>
          <w:tcPr>
            <w:tcW w:w="2814" w:type="dxa"/>
            <w:vAlign w:val="center"/>
          </w:tcPr>
          <w:p w14:paraId="5C1A3C80" w14:textId="77777777" w:rsidR="00DD73E5" w:rsidRDefault="00DD73E5" w:rsidP="00DD73E5">
            <w:pPr>
              <w:pStyle w:val="T2"/>
              <w:spacing w:after="0"/>
              <w:ind w:left="0" w:right="0"/>
              <w:rPr>
                <w:b w:val="0"/>
                <w:sz w:val="20"/>
              </w:rPr>
            </w:pPr>
          </w:p>
        </w:tc>
        <w:tc>
          <w:tcPr>
            <w:tcW w:w="1578" w:type="dxa"/>
            <w:vAlign w:val="center"/>
          </w:tcPr>
          <w:p w14:paraId="758FDC34" w14:textId="77777777" w:rsidR="00DD73E5" w:rsidRDefault="00DD73E5" w:rsidP="00DD73E5">
            <w:pPr>
              <w:pStyle w:val="T2"/>
              <w:spacing w:after="0"/>
              <w:ind w:left="0" w:right="0"/>
              <w:rPr>
                <w:b w:val="0"/>
                <w:sz w:val="20"/>
              </w:rPr>
            </w:pPr>
          </w:p>
        </w:tc>
        <w:tc>
          <w:tcPr>
            <w:tcW w:w="1784" w:type="dxa"/>
            <w:vAlign w:val="center"/>
          </w:tcPr>
          <w:p w14:paraId="2AFFB1B3" w14:textId="77777777" w:rsidR="00DD73E5" w:rsidRDefault="00DD73E5" w:rsidP="00DD73E5">
            <w:pPr>
              <w:pStyle w:val="T2"/>
              <w:spacing w:after="0"/>
              <w:ind w:left="0" w:right="0"/>
              <w:rPr>
                <w:b w:val="0"/>
                <w:sz w:val="16"/>
              </w:rPr>
            </w:pPr>
          </w:p>
        </w:tc>
      </w:tr>
    </w:tbl>
    <w:p w14:paraId="71E51E75" w14:textId="77777777" w:rsidR="00CA09B2" w:rsidRDefault="00673CF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9D1721D" wp14:editId="5313B34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B3B05" w14:textId="77777777" w:rsidR="00BD5F9F" w:rsidRDefault="00BD5F9F">
                            <w:pPr>
                              <w:pStyle w:val="T1"/>
                              <w:spacing w:after="120"/>
                            </w:pPr>
                            <w:r>
                              <w:t>Abstract</w:t>
                            </w:r>
                          </w:p>
                          <w:p w14:paraId="30A3F95F" w14:textId="77777777" w:rsidR="00BD5F9F" w:rsidRDefault="00BD5F9F">
                            <w:pPr>
                              <w:jc w:val="both"/>
                            </w:pPr>
                            <w:r>
                              <w:t xml:space="preserve">This document contains Proposed Draft Text (PDT) for the </w:t>
                            </w:r>
                            <w:r w:rsidR="00654A90" w:rsidRPr="00654A90">
                              <w:t>UHR Acknolwedgement Procedure</w:t>
                            </w:r>
                            <w:r>
                              <w:t xml:space="preserve"> of the proposed TGbn (UHR, Ultra High Reliability) amendment to the 802.11 standard.</w:t>
                            </w:r>
                          </w:p>
                          <w:p w14:paraId="1DA28117" w14:textId="77777777" w:rsidR="00E86B66" w:rsidRDefault="00E86B66">
                            <w:pPr>
                              <w:jc w:val="both"/>
                            </w:pPr>
                          </w:p>
                          <w:p w14:paraId="7E3EFF15" w14:textId="77777777" w:rsidR="00E86B66" w:rsidRDefault="00E86B66">
                            <w:pPr>
                              <w:jc w:val="both"/>
                            </w:pPr>
                          </w:p>
                          <w:p w14:paraId="51CCBD84" w14:textId="77777777" w:rsidR="00E86B66" w:rsidRDefault="00E86B66">
                            <w:pPr>
                              <w:jc w:val="both"/>
                            </w:pPr>
                          </w:p>
                          <w:p w14:paraId="368F5894" w14:textId="77777777" w:rsidR="00E86B66" w:rsidRDefault="00E86B66" w:rsidP="00E86B66">
                            <w:pPr>
                              <w:jc w:val="both"/>
                            </w:pPr>
                            <w:r>
                              <w:t>Revisions:</w:t>
                            </w:r>
                          </w:p>
                          <w:p w14:paraId="3446079F" w14:textId="77777777" w:rsidR="00E86B66" w:rsidRDefault="00E86B66" w:rsidP="00E86B66">
                            <w:pPr>
                              <w:jc w:val="both"/>
                            </w:pPr>
                          </w:p>
                          <w:p w14:paraId="7D9F4124" w14:textId="77777777" w:rsidR="00E86B66" w:rsidRDefault="00E86B66" w:rsidP="00E86B66">
                            <w:pPr>
                              <w:pStyle w:val="a8"/>
                              <w:numPr>
                                <w:ilvl w:val="0"/>
                                <w:numId w:val="29"/>
                              </w:numPr>
                              <w:contextualSpacing w:val="0"/>
                            </w:pPr>
                            <w:r>
                              <w:t>Rev 0: Initial version of the document.</w:t>
                            </w:r>
                          </w:p>
                          <w:p w14:paraId="6192EEDF" w14:textId="77777777" w:rsidR="00E86B66" w:rsidRPr="00E86B66" w:rsidRDefault="00E86B6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1721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5CB3B05" w14:textId="77777777" w:rsidR="00BD5F9F" w:rsidRDefault="00BD5F9F">
                      <w:pPr>
                        <w:pStyle w:val="T1"/>
                        <w:spacing w:after="120"/>
                      </w:pPr>
                      <w:r>
                        <w:t>Abstract</w:t>
                      </w:r>
                    </w:p>
                    <w:p w14:paraId="30A3F95F" w14:textId="77777777" w:rsidR="00BD5F9F" w:rsidRDefault="00BD5F9F">
                      <w:pPr>
                        <w:jc w:val="both"/>
                      </w:pPr>
                      <w:r>
                        <w:t xml:space="preserve">This document contains Proposed Draft Text (PDT) for the </w:t>
                      </w:r>
                      <w:r w:rsidR="00654A90" w:rsidRPr="00654A90">
                        <w:t xml:space="preserve">UHR </w:t>
                      </w:r>
                      <w:proofErr w:type="spellStart"/>
                      <w:r w:rsidR="00654A90" w:rsidRPr="00654A90">
                        <w:t>Acknolwedgement</w:t>
                      </w:r>
                      <w:proofErr w:type="spellEnd"/>
                      <w:r w:rsidR="00654A90" w:rsidRPr="00654A90">
                        <w:t xml:space="preserve"> Procedure</w:t>
                      </w:r>
                      <w:r>
                        <w:t xml:space="preserve"> of the proposed </w:t>
                      </w:r>
                      <w:proofErr w:type="spellStart"/>
                      <w:r>
                        <w:t>TGbn</w:t>
                      </w:r>
                      <w:proofErr w:type="spellEnd"/>
                      <w:r>
                        <w:t xml:space="preserve"> (UHR, Ultra High Reliability) amendment to the 802.11 standard.</w:t>
                      </w:r>
                    </w:p>
                    <w:p w14:paraId="1DA28117" w14:textId="77777777" w:rsidR="00E86B66" w:rsidRDefault="00E86B66">
                      <w:pPr>
                        <w:jc w:val="both"/>
                      </w:pPr>
                    </w:p>
                    <w:p w14:paraId="7E3EFF15" w14:textId="77777777" w:rsidR="00E86B66" w:rsidRDefault="00E86B66">
                      <w:pPr>
                        <w:jc w:val="both"/>
                      </w:pPr>
                    </w:p>
                    <w:p w14:paraId="51CCBD84" w14:textId="77777777" w:rsidR="00E86B66" w:rsidRDefault="00E86B66">
                      <w:pPr>
                        <w:jc w:val="both"/>
                      </w:pPr>
                    </w:p>
                    <w:p w14:paraId="368F5894" w14:textId="77777777" w:rsidR="00E86B66" w:rsidRDefault="00E86B66" w:rsidP="00E86B66">
                      <w:pPr>
                        <w:jc w:val="both"/>
                      </w:pPr>
                      <w:r>
                        <w:t>Revisions:</w:t>
                      </w:r>
                    </w:p>
                    <w:p w14:paraId="3446079F" w14:textId="77777777" w:rsidR="00E86B66" w:rsidRDefault="00E86B66" w:rsidP="00E86B66">
                      <w:pPr>
                        <w:jc w:val="both"/>
                      </w:pPr>
                    </w:p>
                    <w:p w14:paraId="7D9F4124" w14:textId="77777777" w:rsidR="00E86B66" w:rsidRDefault="00E86B66" w:rsidP="00E86B66">
                      <w:pPr>
                        <w:pStyle w:val="a8"/>
                        <w:numPr>
                          <w:ilvl w:val="0"/>
                          <w:numId w:val="29"/>
                        </w:numPr>
                        <w:contextualSpacing w:val="0"/>
                      </w:pPr>
                      <w:r>
                        <w:t>Rev 0: Initial version of the document.</w:t>
                      </w:r>
                    </w:p>
                    <w:p w14:paraId="6192EEDF" w14:textId="77777777" w:rsidR="00E86B66" w:rsidRPr="00E86B66" w:rsidRDefault="00E86B66">
                      <w:pPr>
                        <w:jc w:val="both"/>
                      </w:pPr>
                    </w:p>
                  </w:txbxContent>
                </v:textbox>
              </v:shape>
            </w:pict>
          </mc:Fallback>
        </mc:AlternateContent>
      </w:r>
    </w:p>
    <w:p w14:paraId="7DCE6A5B" w14:textId="77777777" w:rsidR="00CA09B2" w:rsidRDefault="00CA09B2" w:rsidP="00F01403">
      <w:pPr>
        <w:pStyle w:val="1"/>
      </w:pPr>
      <w:r>
        <w:br w:type="page"/>
      </w:r>
    </w:p>
    <w:p w14:paraId="72D32F00" w14:textId="77777777" w:rsidR="00E86B66" w:rsidRPr="00361A5B" w:rsidRDefault="00E86B66" w:rsidP="00E86B66">
      <w:pPr>
        <w:numPr>
          <w:ilvl w:val="0"/>
          <w:numId w:val="3"/>
        </w:numPr>
        <w:ind w:left="357" w:hanging="357"/>
        <w:contextualSpacing/>
        <w:jc w:val="both"/>
        <w:rPr>
          <w:rFonts w:eastAsia="宋体"/>
          <w:b/>
        </w:rPr>
      </w:pPr>
      <w:r w:rsidRPr="00361A5B">
        <w:rPr>
          <w:rFonts w:eastAsia="宋体"/>
          <w:b/>
        </w:rPr>
        <w:lastRenderedPageBreak/>
        <w:t>Introduction</w:t>
      </w:r>
    </w:p>
    <w:p w14:paraId="2ABEFC47" w14:textId="77777777" w:rsidR="00E86B66" w:rsidRPr="00361A5B" w:rsidRDefault="00E86B66" w:rsidP="00E86B66">
      <w:pPr>
        <w:ind w:left="720"/>
        <w:contextualSpacing/>
        <w:jc w:val="both"/>
        <w:rPr>
          <w:rFonts w:eastAsia="宋体"/>
          <w:b/>
          <w:sz w:val="20"/>
        </w:rPr>
      </w:pPr>
    </w:p>
    <w:p w14:paraId="7BE0EB35" w14:textId="77777777" w:rsidR="00E86B66" w:rsidRPr="00361A5B" w:rsidRDefault="00E86B66" w:rsidP="00E86B66">
      <w:pPr>
        <w:jc w:val="both"/>
        <w:rPr>
          <w:rFonts w:eastAsia="宋体"/>
          <w:sz w:val="21"/>
        </w:rPr>
      </w:pPr>
      <w:r w:rsidRPr="00361A5B">
        <w:rPr>
          <w:rFonts w:eastAsia="宋体"/>
          <w:sz w:val="21"/>
        </w:rPr>
        <w:t>Interpretation of a Motion to Adopt</w:t>
      </w:r>
    </w:p>
    <w:p w14:paraId="7EAC5207" w14:textId="77777777" w:rsidR="00E86B66" w:rsidRPr="00361A5B" w:rsidRDefault="00E86B66" w:rsidP="00E86B66">
      <w:pPr>
        <w:jc w:val="both"/>
        <w:rPr>
          <w:rFonts w:eastAsia="宋体"/>
          <w:sz w:val="21"/>
          <w:lang w:eastAsia="ko-KR"/>
        </w:rPr>
      </w:pPr>
    </w:p>
    <w:p w14:paraId="33D3C776" w14:textId="77777777" w:rsidR="00E86B66" w:rsidRPr="00361A5B" w:rsidRDefault="00E86B66" w:rsidP="00E86B66">
      <w:pPr>
        <w:jc w:val="both"/>
        <w:rPr>
          <w:rFonts w:eastAsia="宋体"/>
          <w:sz w:val="21"/>
          <w:lang w:eastAsia="ko-KR"/>
        </w:rPr>
      </w:pPr>
      <w:r w:rsidRPr="00361A5B">
        <w:rPr>
          <w:rFonts w:eastAsia="宋体"/>
          <w:sz w:val="21"/>
          <w:lang w:eastAsia="ko-KR"/>
        </w:rPr>
        <w:t>A motion to approve this submission means that the editing instructions and any changed or added material are actioned in the TGbn Draft. The introduction and the explanation of the proposed changes are not part of the adopted material.</w:t>
      </w:r>
    </w:p>
    <w:p w14:paraId="5E97C984" w14:textId="77777777" w:rsidR="00E86B66" w:rsidRPr="00361A5B" w:rsidRDefault="00E86B66" w:rsidP="00E86B66">
      <w:pPr>
        <w:jc w:val="both"/>
        <w:rPr>
          <w:rFonts w:eastAsia="宋体"/>
          <w:sz w:val="16"/>
          <w:lang w:eastAsia="ko-KR"/>
        </w:rPr>
      </w:pPr>
    </w:p>
    <w:p w14:paraId="001AAA05" w14:textId="77777777" w:rsidR="00E86B66" w:rsidRPr="00361A5B" w:rsidRDefault="00E86B66" w:rsidP="00E86B66">
      <w:pPr>
        <w:jc w:val="both"/>
        <w:rPr>
          <w:b/>
          <w:bCs/>
          <w:i/>
          <w:iCs/>
          <w:lang w:eastAsia="ko-KR"/>
        </w:rPr>
      </w:pPr>
      <w:r w:rsidRPr="00361A5B">
        <w:rPr>
          <w:b/>
          <w:bCs/>
          <w:i/>
          <w:iCs/>
          <w:lang w:eastAsia="ko-KR"/>
        </w:rPr>
        <w:t>Editing instructions formatted like this are intended to be copied into the TGbn Draft (i.e. they are instructions to the 802.11 editor on how to merge the text with the baseline documents).</w:t>
      </w:r>
    </w:p>
    <w:p w14:paraId="19F925DC" w14:textId="77777777" w:rsidR="00E86B66" w:rsidRDefault="00E86B66" w:rsidP="00E86B66">
      <w:pPr>
        <w:jc w:val="both"/>
        <w:rPr>
          <w:rFonts w:eastAsia="Malgun Gothic"/>
          <w:sz w:val="16"/>
          <w:lang w:eastAsia="ko-KR"/>
        </w:rPr>
      </w:pPr>
    </w:p>
    <w:p w14:paraId="062E2A90" w14:textId="51F8F6BC" w:rsidR="00E86B66" w:rsidRDefault="00E86B66" w:rsidP="00E86B66">
      <w:pPr>
        <w:rPr>
          <w:b/>
          <w:bCs/>
          <w:i/>
          <w:iCs/>
          <w:lang w:eastAsia="ko-KR"/>
        </w:rPr>
      </w:pPr>
      <w:r>
        <w:rPr>
          <w:b/>
          <w:bCs/>
          <w:i/>
          <w:iCs/>
          <w:lang w:eastAsia="ko-KR"/>
        </w:rPr>
        <w:t>TGbe</w:t>
      </w:r>
      <w:r w:rsidRPr="004F3AF6">
        <w:rPr>
          <w:b/>
          <w:bCs/>
          <w:i/>
          <w:iCs/>
          <w:lang w:eastAsia="ko-KR"/>
        </w:rPr>
        <w:t xml:space="preserve"> Editor: Editi</w:t>
      </w:r>
      <w:r>
        <w:rPr>
          <w:b/>
          <w:bCs/>
          <w:i/>
          <w:iCs/>
          <w:lang w:eastAsia="ko-KR"/>
        </w:rPr>
        <w:t>ng instructions preceded by “TGbn</w:t>
      </w:r>
      <w:r w:rsidRPr="004F3AF6">
        <w:rPr>
          <w:b/>
          <w:bCs/>
          <w:i/>
          <w:iCs/>
          <w:lang w:eastAsia="ko-KR"/>
        </w:rPr>
        <w:t xml:space="preserve"> Edi</w:t>
      </w:r>
      <w:r>
        <w:rPr>
          <w:b/>
          <w:bCs/>
          <w:i/>
          <w:iCs/>
          <w:lang w:eastAsia="ko-KR"/>
        </w:rPr>
        <w:t>tor” are instructions to the TGb</w:t>
      </w:r>
      <w:r w:rsidR="001A0910">
        <w:rPr>
          <w:rFonts w:hint="eastAsia"/>
          <w:b/>
          <w:bCs/>
          <w:i/>
          <w:iCs/>
          <w:lang w:eastAsia="zh-CN"/>
        </w:rPr>
        <w:t>n</w:t>
      </w:r>
      <w:r w:rsidRPr="004F3AF6">
        <w:rPr>
          <w:b/>
          <w:bCs/>
          <w:i/>
          <w:iCs/>
          <w:lang w:eastAsia="ko-KR"/>
        </w:rPr>
        <w:t xml:space="preserve"> editor to mod</w:t>
      </w:r>
      <w:r>
        <w:rPr>
          <w:b/>
          <w:bCs/>
          <w:i/>
          <w:iCs/>
          <w:lang w:eastAsia="ko-KR"/>
        </w:rPr>
        <w:t>ify existing material in the TGb</w:t>
      </w:r>
      <w:r w:rsidR="001A0910">
        <w:rPr>
          <w:rFonts w:hint="eastAsia"/>
          <w:b/>
          <w:bCs/>
          <w:i/>
          <w:iCs/>
          <w:lang w:eastAsia="zh-CN"/>
        </w:rPr>
        <w:t>n</w:t>
      </w:r>
      <w:r w:rsidRPr="004F3AF6">
        <w:rPr>
          <w:b/>
          <w:bCs/>
          <w:i/>
          <w:iCs/>
          <w:lang w:eastAsia="ko-KR"/>
        </w:rPr>
        <w:t xml:space="preserve"> draft.  As a result </w:t>
      </w:r>
      <w:r>
        <w:rPr>
          <w:b/>
          <w:bCs/>
          <w:i/>
          <w:iCs/>
          <w:lang w:eastAsia="ko-KR"/>
        </w:rPr>
        <w:t>of adopting the changes, the TGbn</w:t>
      </w:r>
      <w:r w:rsidRPr="004F3AF6">
        <w:rPr>
          <w:b/>
          <w:bCs/>
          <w:i/>
          <w:iCs/>
          <w:lang w:eastAsia="ko-KR"/>
        </w:rPr>
        <w:t xml:space="preserve"> editor will execute the instructions </w:t>
      </w:r>
      <w:r>
        <w:rPr>
          <w:b/>
          <w:bCs/>
          <w:i/>
          <w:iCs/>
          <w:lang w:eastAsia="ko-KR"/>
        </w:rPr>
        <w:t>rather than copy them to the TGbn</w:t>
      </w:r>
      <w:r w:rsidRPr="004F3AF6">
        <w:rPr>
          <w:b/>
          <w:bCs/>
          <w:i/>
          <w:iCs/>
          <w:lang w:eastAsia="ko-KR"/>
        </w:rPr>
        <w:t xml:space="preserve"> Draft.</w:t>
      </w:r>
    </w:p>
    <w:p w14:paraId="34239CA7" w14:textId="77777777" w:rsidR="00E86B66" w:rsidRPr="00361A5B" w:rsidRDefault="00E86B66" w:rsidP="00E86B66">
      <w:pPr>
        <w:jc w:val="both"/>
        <w:rPr>
          <w:rFonts w:eastAsia="Malgun Gothic"/>
          <w:sz w:val="16"/>
          <w:lang w:eastAsia="ko-KR"/>
        </w:rPr>
      </w:pPr>
    </w:p>
    <w:p w14:paraId="553D837F" w14:textId="77777777" w:rsidR="00E86B66" w:rsidRPr="00361A5B" w:rsidRDefault="00E86B66" w:rsidP="00E86B66">
      <w:pPr>
        <w:ind w:left="720"/>
        <w:contextualSpacing/>
        <w:jc w:val="both"/>
        <w:rPr>
          <w:rFonts w:eastAsia="宋体"/>
          <w:b/>
          <w:sz w:val="20"/>
        </w:rPr>
      </w:pPr>
    </w:p>
    <w:p w14:paraId="33EA8078" w14:textId="77777777" w:rsidR="00E86B66" w:rsidRPr="00361A5B" w:rsidRDefault="00E86B66" w:rsidP="00E86B66">
      <w:pPr>
        <w:ind w:left="720"/>
        <w:contextualSpacing/>
        <w:jc w:val="both"/>
        <w:rPr>
          <w:rFonts w:eastAsia="宋体"/>
          <w:b/>
          <w:sz w:val="20"/>
        </w:rPr>
      </w:pPr>
    </w:p>
    <w:p w14:paraId="464F538F" w14:textId="77777777" w:rsidR="00E86B66" w:rsidRPr="00361A5B" w:rsidRDefault="00E86B66" w:rsidP="00E86B66">
      <w:pPr>
        <w:contextualSpacing/>
        <w:jc w:val="both"/>
        <w:rPr>
          <w:rFonts w:eastAsia="宋体"/>
          <w:b/>
        </w:rPr>
      </w:pPr>
    </w:p>
    <w:p w14:paraId="6C45783A" w14:textId="77777777" w:rsidR="00E86B66" w:rsidRPr="00361A5B" w:rsidRDefault="00E86B66" w:rsidP="00E86B66">
      <w:pPr>
        <w:numPr>
          <w:ilvl w:val="0"/>
          <w:numId w:val="3"/>
        </w:numPr>
        <w:ind w:left="357" w:hanging="357"/>
        <w:contextualSpacing/>
        <w:jc w:val="both"/>
        <w:rPr>
          <w:rFonts w:eastAsia="宋体"/>
          <w:b/>
        </w:rPr>
      </w:pPr>
      <w:r w:rsidRPr="00361A5B">
        <w:rPr>
          <w:rFonts w:eastAsia="宋体"/>
          <w:b/>
        </w:rPr>
        <w:t>Proposed spec text</w:t>
      </w:r>
    </w:p>
    <w:p w14:paraId="40223CC3" w14:textId="77777777" w:rsidR="00D11057" w:rsidRDefault="00D11057" w:rsidP="00D11057"/>
    <w:p w14:paraId="7C81C9B2" w14:textId="77777777" w:rsidR="006B2865" w:rsidRDefault="006B2865"/>
    <w:p w14:paraId="1A23AF19" w14:textId="77777777" w:rsidR="007B0F84" w:rsidRPr="00E35CF9" w:rsidRDefault="007B0F84" w:rsidP="007B0F84">
      <w:pPr>
        <w:pStyle w:val="T"/>
        <w:rPr>
          <w:i/>
          <w:iCs/>
          <w:w w:val="100"/>
        </w:rPr>
      </w:pPr>
      <w:bookmarkStart w:id="0" w:name="_bookmark181"/>
      <w:bookmarkStart w:id="1" w:name="_bookmark182"/>
      <w:bookmarkEnd w:id="0"/>
      <w:bookmarkEnd w:id="1"/>
      <w:r w:rsidRPr="00E35CF9">
        <w:rPr>
          <w:b/>
          <w:i/>
          <w:iCs/>
          <w:highlight w:val="yellow"/>
        </w:rPr>
        <w:t>TGb</w:t>
      </w:r>
      <w:r>
        <w:rPr>
          <w:b/>
          <w:i/>
          <w:iCs/>
          <w:highlight w:val="yellow"/>
        </w:rPr>
        <w:t>n</w:t>
      </w:r>
      <w:r w:rsidRPr="00E35CF9">
        <w:rPr>
          <w:b/>
          <w:i/>
          <w:iCs/>
          <w:highlight w:val="yellow"/>
        </w:rPr>
        <w:t xml:space="preserve"> editor: </w:t>
      </w:r>
      <w:r>
        <w:rPr>
          <w:b/>
          <w:i/>
          <w:iCs/>
          <w:highlight w:val="yellow"/>
        </w:rPr>
        <w:t xml:space="preserve">Please add the following </w:t>
      </w:r>
      <w:r w:rsidRPr="00D101F8">
        <w:rPr>
          <w:b/>
          <w:i/>
          <w:iCs/>
          <w:highlight w:val="yellow"/>
        </w:rPr>
        <w:t xml:space="preserve">subclause </w:t>
      </w:r>
      <w:r w:rsidRPr="00654A90">
        <w:rPr>
          <w:b/>
          <w:i/>
          <w:iCs/>
          <w:highlight w:val="yellow"/>
        </w:rPr>
        <w:t>37.</w:t>
      </w:r>
      <w:r w:rsidR="00654A90" w:rsidRPr="00654A90">
        <w:rPr>
          <w:rFonts w:hint="eastAsia"/>
          <w:b/>
          <w:i/>
          <w:iCs/>
          <w:highlight w:val="yellow"/>
          <w:lang w:eastAsia="zh-CN"/>
        </w:rPr>
        <w:t>x</w:t>
      </w:r>
      <w:r w:rsidR="00E86B66" w:rsidRPr="00654A90">
        <w:rPr>
          <w:b/>
          <w:i/>
          <w:iCs/>
          <w:highlight w:val="yellow"/>
        </w:rPr>
        <w:t xml:space="preserve"> </w:t>
      </w:r>
      <w:r w:rsidR="00654A90" w:rsidRPr="00654A90">
        <w:rPr>
          <w:b/>
          <w:i/>
          <w:iCs/>
          <w:highlight w:val="yellow"/>
        </w:rPr>
        <w:t>UHR Acknolwedgement Procedure</w:t>
      </w:r>
      <w:r w:rsidRPr="00654A90">
        <w:rPr>
          <w:b/>
          <w:i/>
          <w:iCs/>
          <w:highlight w:val="yellow"/>
        </w:rPr>
        <w:t xml:space="preserve"> in 80</w:t>
      </w:r>
      <w:r w:rsidRPr="00D101F8">
        <w:rPr>
          <w:b/>
          <w:i/>
          <w:iCs/>
          <w:highlight w:val="yellow"/>
        </w:rPr>
        <w:t>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14:paraId="66010841" w14:textId="77777777" w:rsidR="00E86B66"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654A90">
        <w:rPr>
          <w:rStyle w:val="SC15323589"/>
          <w:rFonts w:hint="eastAsia"/>
          <w:szCs w:val="22"/>
          <w:lang w:eastAsia="zh-CN"/>
        </w:rPr>
        <w:t>x</w:t>
      </w:r>
      <w:r w:rsidRPr="00D101F8">
        <w:rPr>
          <w:rStyle w:val="SC15323589"/>
          <w:szCs w:val="22"/>
        </w:rPr>
        <w:t xml:space="preserve"> </w:t>
      </w:r>
      <w:r w:rsidR="00E86B66">
        <w:rPr>
          <w:rStyle w:val="SC15323589"/>
          <w:szCs w:val="22"/>
        </w:rPr>
        <w:t xml:space="preserve">UHR </w:t>
      </w:r>
      <w:r w:rsidR="00654A90" w:rsidRPr="00654A90">
        <w:rPr>
          <w:rStyle w:val="SC15323589"/>
          <w:szCs w:val="22"/>
        </w:rPr>
        <w:t>UHR Acknolwedgement Procedure</w:t>
      </w:r>
    </w:p>
    <w:p w14:paraId="50A68BF7" w14:textId="77777777" w:rsidR="00654A90" w:rsidRDefault="00654A90" w:rsidP="007B0F84">
      <w:pPr>
        <w:rPr>
          <w:rStyle w:val="SC15323589"/>
          <w:szCs w:val="22"/>
        </w:rPr>
      </w:pPr>
    </w:p>
    <w:p w14:paraId="20546138" w14:textId="77777777" w:rsidR="00654A90" w:rsidRDefault="00654A90" w:rsidP="007B0F84">
      <w:pPr>
        <w:rPr>
          <w:rStyle w:val="SC15323589"/>
          <w:szCs w:val="22"/>
          <w:lang w:eastAsia="zh-CN"/>
        </w:rPr>
      </w:pPr>
      <w:r>
        <w:rPr>
          <w:rStyle w:val="SC15323589"/>
          <w:szCs w:val="22"/>
        </w:rPr>
        <w:t>37.x</w:t>
      </w:r>
      <w:r>
        <w:rPr>
          <w:rStyle w:val="SC15323589"/>
          <w:szCs w:val="22"/>
          <w:lang w:eastAsia="zh-CN"/>
        </w:rPr>
        <w:t>.1 Overview</w:t>
      </w:r>
    </w:p>
    <w:p w14:paraId="602256B1" w14:textId="77777777" w:rsidR="00654A90" w:rsidRDefault="00654A90" w:rsidP="007B0F84">
      <w:pPr>
        <w:rPr>
          <w:rStyle w:val="SC15323589"/>
          <w:szCs w:val="22"/>
          <w:lang w:eastAsia="zh-CN"/>
        </w:rPr>
      </w:pPr>
    </w:p>
    <w:p w14:paraId="2064AABB" w14:textId="77777777" w:rsidR="00654A90" w:rsidRPr="00AC2A90" w:rsidRDefault="00654A90" w:rsidP="007B0F84">
      <w:r w:rsidRPr="00AC2A90">
        <w:t>The UHR acknowledgment procedure builds on the features defined for HT-immediate block ack (see 10.25.6 (HT-immediate block ack extensions)), HE acknowledgement (see 26.4 (HE acknowledgment procedure)) and</w:t>
      </w:r>
      <w:r w:rsidRPr="00AC2A90">
        <w:rPr>
          <w:rFonts w:hint="eastAsia"/>
        </w:rPr>
        <w:t xml:space="preserve"> </w:t>
      </w:r>
      <w:r w:rsidRPr="00AC2A90">
        <w:t xml:space="preserve">EHT </w:t>
      </w:r>
      <w:r w:rsidR="00843C1E" w:rsidRPr="00AC2A90">
        <w:t>acknowledgement (see 35.4 (EHT acknowledgment procedure)).</w:t>
      </w:r>
    </w:p>
    <w:p w14:paraId="6238B49D" w14:textId="77777777" w:rsidR="00AD41F2" w:rsidRPr="00EC4C2E" w:rsidRDefault="00AD41F2" w:rsidP="007B0F84">
      <w:pPr>
        <w:rPr>
          <w:highlight w:val="yellow"/>
        </w:rPr>
      </w:pPr>
      <w:bookmarkStart w:id="2" w:name="_GoBack"/>
      <w:bookmarkEnd w:id="2"/>
    </w:p>
    <w:p w14:paraId="3475D3B6" w14:textId="77777777" w:rsidR="00AD41F2" w:rsidRDefault="00AD41F2" w:rsidP="007B0F84">
      <w:pPr>
        <w:rPr>
          <w:sz w:val="20"/>
        </w:rPr>
      </w:pPr>
      <w:r w:rsidRPr="003578FC">
        <w:t>An UHR STA that receives a Multi-STA BlockAck frame that is a response to frames requiring acknowledgment shall examine Per AID TID Info field received in the Multi-STA BlockAck frame, and</w:t>
      </w:r>
      <w:r w:rsidRPr="003578FC">
        <w:rPr>
          <w:sz w:val="20"/>
        </w:rPr>
        <w:t xml:space="preserve"> shall process each Per AID TID Info field using the procedure defined in 26.4.2 (Acknowledgment context in a Multi-STA BlockAck frame) and TBD.</w:t>
      </w:r>
    </w:p>
    <w:p w14:paraId="1A4F77DC" w14:textId="77777777" w:rsidR="00AD41F2" w:rsidRDefault="00AD41F2" w:rsidP="007B0F84">
      <w:pPr>
        <w:rPr>
          <w:sz w:val="20"/>
        </w:rPr>
      </w:pPr>
    </w:p>
    <w:p w14:paraId="75B5E0B4" w14:textId="77777777" w:rsidR="00AD41F2" w:rsidRDefault="00AD41F2" w:rsidP="007B0F84">
      <w:pPr>
        <w:rPr>
          <w:sz w:val="20"/>
        </w:rPr>
      </w:pPr>
      <w:r>
        <w:rPr>
          <w:sz w:val="20"/>
        </w:rPr>
        <w:t>An UHR STA that responds to an UHR MU PPDU with an UHR TB PPDU follows the same rules as an HE STA that responds to an HE SU PPDU or HE ER SU PPDU with a TB PPDU as defined in 26.4.4.4 (Responding to an HE MU PPDU, HE SU PPDU, or HE ER SU PPDU with an HE TB PPDU) with the following changes:</w:t>
      </w:r>
    </w:p>
    <w:p w14:paraId="5D7A498F" w14:textId="77777777" w:rsidR="00AD41F2" w:rsidRDefault="00AD41F2" w:rsidP="007B0F84">
      <w:pPr>
        <w:rPr>
          <w:sz w:val="20"/>
        </w:rPr>
      </w:pPr>
      <w:r>
        <w:rPr>
          <w:sz w:val="20"/>
        </w:rPr>
        <w:t xml:space="preserve">—Replacing HE MU PPDU, HE SU PPDU or HE ER SU PPDU by UHR MU PPDU </w:t>
      </w:r>
    </w:p>
    <w:p w14:paraId="3764C9A4" w14:textId="77777777" w:rsidR="00AD41F2" w:rsidRDefault="00AD41F2" w:rsidP="007B0F84">
      <w:pPr>
        <w:rPr>
          <w:sz w:val="20"/>
        </w:rPr>
      </w:pPr>
      <w:r>
        <w:rPr>
          <w:sz w:val="20"/>
        </w:rPr>
        <w:t xml:space="preserve">—Replacing HE TB PPDU by UHR TB PPDU </w:t>
      </w:r>
    </w:p>
    <w:p w14:paraId="3098787D" w14:textId="77777777" w:rsidR="00AD41F2" w:rsidRDefault="00AD41F2" w:rsidP="007B0F84">
      <w:pPr>
        <w:rPr>
          <w:sz w:val="20"/>
        </w:rPr>
      </w:pPr>
      <w:r>
        <w:rPr>
          <w:sz w:val="20"/>
        </w:rPr>
        <w:t>—Replacing HE STA by UHR STA.</w:t>
      </w:r>
    </w:p>
    <w:p w14:paraId="64531A11" w14:textId="77777777" w:rsidR="00AD41F2" w:rsidRDefault="00AD41F2" w:rsidP="007B0F84">
      <w:pPr>
        <w:rPr>
          <w:sz w:val="20"/>
        </w:rPr>
      </w:pPr>
    </w:p>
    <w:p w14:paraId="631BE307" w14:textId="77777777" w:rsidR="00AD41F2" w:rsidRDefault="00AD41F2" w:rsidP="007B0F84">
      <w:pPr>
        <w:rPr>
          <w:sz w:val="20"/>
        </w:rPr>
      </w:pPr>
      <w:r>
        <w:rPr>
          <w:sz w:val="20"/>
        </w:rPr>
        <w:t>An UHR STA that responds to an UHR MU PPDU with a PPDU carrying a frame addressed to a single STA follows the same rules as an HE STA that responds to an HE MU PPDU with an SU PPDU as defined in 26.4.4.3 (Responding to an HE MU PPDU with an SU PPDU) with the following changes:</w:t>
      </w:r>
    </w:p>
    <w:p w14:paraId="3FE1701D" w14:textId="77777777" w:rsidR="00AD41F2" w:rsidRDefault="00AD41F2" w:rsidP="007B0F84">
      <w:pPr>
        <w:rPr>
          <w:sz w:val="20"/>
        </w:rPr>
      </w:pPr>
      <w:r>
        <w:rPr>
          <w:sz w:val="20"/>
        </w:rPr>
        <w:t>—Replacing HE MU PPDU by UHR MU PPDU</w:t>
      </w:r>
    </w:p>
    <w:p w14:paraId="4696E9F1" w14:textId="77777777" w:rsidR="00AD41F2" w:rsidRDefault="00AD41F2" w:rsidP="007B0F84">
      <w:pPr>
        <w:rPr>
          <w:sz w:val="20"/>
        </w:rPr>
      </w:pPr>
      <w:r>
        <w:rPr>
          <w:sz w:val="20"/>
        </w:rPr>
        <w:t>—Replacing SU PPDU by a PPDU carrying a frame addressed to a single STA</w:t>
      </w:r>
    </w:p>
    <w:p w14:paraId="2699A17D" w14:textId="77777777" w:rsidR="00AD41F2" w:rsidRDefault="00AD41F2" w:rsidP="007B0F84">
      <w:pPr>
        <w:rPr>
          <w:sz w:val="20"/>
        </w:rPr>
      </w:pPr>
      <w:r>
        <w:rPr>
          <w:sz w:val="20"/>
        </w:rPr>
        <w:t>—Replacing HE STA by UHR STA.</w:t>
      </w:r>
    </w:p>
    <w:p w14:paraId="6ED4F134" w14:textId="77777777" w:rsidR="00AD41F2" w:rsidRDefault="00AD41F2" w:rsidP="007B0F84">
      <w:pPr>
        <w:rPr>
          <w:sz w:val="20"/>
        </w:rPr>
      </w:pPr>
    </w:p>
    <w:p w14:paraId="7A364BF4" w14:textId="77777777" w:rsidR="00AD41F2" w:rsidRDefault="00AD41F2" w:rsidP="007B0F84">
      <w:pPr>
        <w:rPr>
          <w:sz w:val="20"/>
        </w:rPr>
      </w:pPr>
      <w:r>
        <w:rPr>
          <w:sz w:val="20"/>
        </w:rPr>
        <w:t>An UHR AP that responds to an UHR TB PPDU with a PPDU other than UHR MU PPDU addressed to multiple STAs follows the same rules as an HE AP that responds to an HE TB PPDU with an SU PPDU as defined in 26.4.4.5 (Responding to an HE TB PPDU with an SU PPDU) with the following changes:</w:t>
      </w:r>
    </w:p>
    <w:p w14:paraId="100CB76B" w14:textId="77777777" w:rsidR="00AD41F2" w:rsidRDefault="00AD41F2" w:rsidP="007B0F84">
      <w:pPr>
        <w:rPr>
          <w:sz w:val="20"/>
        </w:rPr>
      </w:pPr>
      <w:r>
        <w:rPr>
          <w:sz w:val="20"/>
        </w:rPr>
        <w:t>—Replacing HE TB PPDU by UHR TB PPDU</w:t>
      </w:r>
    </w:p>
    <w:p w14:paraId="52E54D60" w14:textId="77777777" w:rsidR="00AD41F2" w:rsidRDefault="00AD41F2" w:rsidP="007B0F84">
      <w:pPr>
        <w:rPr>
          <w:sz w:val="20"/>
        </w:rPr>
      </w:pPr>
      <w:r>
        <w:rPr>
          <w:sz w:val="20"/>
        </w:rPr>
        <w:t>—Replacing SU PPDU by a PPDU carrying a frame addressed to a single STA</w:t>
      </w:r>
    </w:p>
    <w:p w14:paraId="41D63CFB" w14:textId="77777777" w:rsidR="00AD41F2" w:rsidRDefault="00AD41F2" w:rsidP="007B0F84">
      <w:pPr>
        <w:rPr>
          <w:sz w:val="20"/>
        </w:rPr>
      </w:pPr>
      <w:r>
        <w:rPr>
          <w:sz w:val="20"/>
        </w:rPr>
        <w:t>—Replacing HE STA by UHR STA.</w:t>
      </w:r>
    </w:p>
    <w:p w14:paraId="52EE529B" w14:textId="77777777" w:rsidR="00AD41F2" w:rsidRDefault="00AD41F2" w:rsidP="007B0F84">
      <w:pPr>
        <w:rPr>
          <w:sz w:val="20"/>
        </w:rPr>
      </w:pPr>
    </w:p>
    <w:p w14:paraId="1BE3F3F4" w14:textId="77777777" w:rsidR="00AD41F2" w:rsidRDefault="00AD41F2" w:rsidP="007B0F84">
      <w:pPr>
        <w:rPr>
          <w:sz w:val="20"/>
        </w:rPr>
      </w:pPr>
      <w:r>
        <w:rPr>
          <w:sz w:val="20"/>
        </w:rPr>
        <w:lastRenderedPageBreak/>
        <w:t>An UHR AP that responds to an UHR TB PPDU with an UHR MU PPDU follows the same rules as an HE AP that responds to an HE TB PPDU with an HE MU PPDU as defined in 26.4.4.6 (Responding to an HE TB PPDU with an HE MU PPDU) with the following changes:</w:t>
      </w:r>
    </w:p>
    <w:p w14:paraId="1312A3D9" w14:textId="77777777" w:rsidR="00AD41F2" w:rsidRDefault="00AD41F2" w:rsidP="007B0F84">
      <w:pPr>
        <w:rPr>
          <w:sz w:val="20"/>
        </w:rPr>
      </w:pPr>
      <w:r>
        <w:rPr>
          <w:sz w:val="20"/>
        </w:rPr>
        <w:t>—Replacing HE TB PPDU by UHR TB PPDU</w:t>
      </w:r>
    </w:p>
    <w:p w14:paraId="4D2464E4" w14:textId="77777777" w:rsidR="00AD41F2" w:rsidRDefault="00AD41F2" w:rsidP="007B0F84">
      <w:pPr>
        <w:rPr>
          <w:sz w:val="20"/>
        </w:rPr>
      </w:pPr>
      <w:r>
        <w:rPr>
          <w:sz w:val="20"/>
        </w:rPr>
        <w:t>—Replacing HE MU PPDU by UHR MU PPDU</w:t>
      </w:r>
    </w:p>
    <w:p w14:paraId="083F6D5A" w14:textId="77777777" w:rsidR="00AD41F2" w:rsidRDefault="00AD41F2" w:rsidP="007B0F84">
      <w:pPr>
        <w:rPr>
          <w:sz w:val="20"/>
        </w:rPr>
      </w:pPr>
      <w:r>
        <w:rPr>
          <w:sz w:val="20"/>
        </w:rPr>
        <w:t>—Replacing HE STA by UHR STA.</w:t>
      </w:r>
    </w:p>
    <w:p w14:paraId="0452C61A" w14:textId="77777777" w:rsidR="00AC2A90" w:rsidRDefault="00AC2A90" w:rsidP="007B0F84">
      <w:pPr>
        <w:rPr>
          <w:sz w:val="20"/>
        </w:rPr>
      </w:pPr>
    </w:p>
    <w:sectPr w:rsidR="00AC2A90"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20E4F" w14:textId="77777777" w:rsidR="004C2704" w:rsidRDefault="004C2704">
      <w:r>
        <w:separator/>
      </w:r>
    </w:p>
  </w:endnote>
  <w:endnote w:type="continuationSeparator" w:id="0">
    <w:p w14:paraId="6395C628" w14:textId="77777777" w:rsidR="004C2704" w:rsidRDefault="004C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0C86" w14:textId="77777777" w:rsidR="00BD5F9F" w:rsidRDefault="006C1837" w:rsidP="00767A56">
    <w:pPr>
      <w:pStyle w:val="a4"/>
      <w:tabs>
        <w:tab w:val="clear" w:pos="6480"/>
        <w:tab w:val="center" w:pos="4680"/>
        <w:tab w:val="right" w:pos="9360"/>
      </w:tabs>
      <w:ind w:right="480"/>
      <w:jc w:val="center"/>
    </w:pPr>
    <w:fldSimple w:instr=" SUBJECT  \* MERGEFORMAT ">
      <w:r w:rsidR="00BD5F9F">
        <w:t>Submission</w:t>
      </w:r>
    </w:fldSimple>
    <w:r w:rsidR="00BD5F9F">
      <w:tab/>
      <w:t xml:space="preserve">page </w:t>
    </w:r>
    <w:r w:rsidR="00BD5F9F">
      <w:fldChar w:fldCharType="begin"/>
    </w:r>
    <w:r w:rsidR="00BD5F9F">
      <w:instrText xml:space="preserve">page </w:instrText>
    </w:r>
    <w:r w:rsidR="00BD5F9F">
      <w:fldChar w:fldCharType="separate"/>
    </w:r>
    <w:r w:rsidR="009750CB">
      <w:rPr>
        <w:noProof/>
      </w:rPr>
      <w:t>3</w:t>
    </w:r>
    <w:r w:rsidR="00BD5F9F">
      <w:fldChar w:fldCharType="end"/>
    </w:r>
    <w:r w:rsidR="00BD5F9F">
      <w:tab/>
    </w:r>
    <w:r w:rsidR="00767A56">
      <w:t xml:space="preserve">     Ming Gan, Huawei</w:t>
    </w:r>
  </w:p>
  <w:p w14:paraId="5A6E45A6" w14:textId="77777777" w:rsidR="00BD5F9F" w:rsidRPr="00767A56" w:rsidRDefault="00BD5F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1D3D7" w14:textId="77777777" w:rsidR="004C2704" w:rsidRDefault="004C2704">
      <w:r>
        <w:separator/>
      </w:r>
    </w:p>
  </w:footnote>
  <w:footnote w:type="continuationSeparator" w:id="0">
    <w:p w14:paraId="694B1E83" w14:textId="77777777" w:rsidR="004C2704" w:rsidRDefault="004C2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51908" w14:textId="77777777" w:rsidR="00BD5F9F" w:rsidRDefault="006C1837" w:rsidP="008D5345">
    <w:pPr>
      <w:pStyle w:val="a5"/>
      <w:tabs>
        <w:tab w:val="clear" w:pos="6480"/>
        <w:tab w:val="center" w:pos="4680"/>
        <w:tab w:val="right" w:pos="10080"/>
      </w:tabs>
    </w:pPr>
    <w:fldSimple w:instr=" KEYWORDS  \* MERGEFORMAT ">
      <w:r w:rsidR="00BD5F9F">
        <w:t>January 2025</w:t>
      </w:r>
    </w:fldSimple>
    <w:r w:rsidR="00BD5F9F">
      <w:tab/>
    </w:r>
    <w:r w:rsidR="00BD5F9F">
      <w:tab/>
    </w:r>
    <w:fldSimple w:instr=" TITLE  \* MERGEFORMAT ">
      <w:r w:rsidR="00BD5F9F">
        <w:t>doc.: IEEE 802.11-24/</w:t>
      </w:r>
      <w:r w:rsidR="00A534A5">
        <w:t>206</w:t>
      </w:r>
      <w:r w:rsidR="00666A32">
        <w:t>6</w:t>
      </w:r>
      <w:r w:rsidR="00A534A5">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BB0957"/>
    <w:multiLevelType w:val="hybridMultilevel"/>
    <w:tmpl w:val="C0642F98"/>
    <w:lvl w:ilvl="0" w:tplc="137A70DA">
      <w:start w:val="35"/>
      <w:numFmt w:val="bullet"/>
      <w:lvlText w:val="—"/>
      <w:lvlJc w:val="left"/>
      <w:pPr>
        <w:ind w:left="360" w:hanging="360"/>
      </w:pPr>
      <w:rPr>
        <w:rFonts w:ascii="TimesNewRomanPSMT" w:eastAsia="TimesNewRomanPSMT" w:hAnsi="Times New Roman" w:cs="TimesNewRomanPS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6"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8"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2347E6"/>
    <w:multiLevelType w:val="hybridMultilevel"/>
    <w:tmpl w:val="309E8D42"/>
    <w:lvl w:ilvl="0" w:tplc="C56C7D24">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4"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8"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
  </w:num>
  <w:num w:numId="4">
    <w:abstractNumId w:val="14"/>
  </w:num>
  <w:num w:numId="5">
    <w:abstractNumId w:val="13"/>
  </w:num>
  <w:num w:numId="6">
    <w:abstractNumId w:val="10"/>
  </w:num>
  <w:num w:numId="7">
    <w:abstractNumId w:val="27"/>
  </w:num>
  <w:num w:numId="8">
    <w:abstractNumId w:val="23"/>
  </w:num>
  <w:num w:numId="9">
    <w:abstractNumId w:val="7"/>
  </w:num>
  <w:num w:numId="10">
    <w:abstractNumId w:val="5"/>
  </w:num>
  <w:num w:numId="11">
    <w:abstractNumId w:val="21"/>
  </w:num>
  <w:num w:numId="12">
    <w:abstractNumId w:val="0"/>
  </w:num>
  <w:num w:numId="13">
    <w:abstractNumId w:val="24"/>
  </w:num>
  <w:num w:numId="14">
    <w:abstractNumId w:val="15"/>
  </w:num>
  <w:num w:numId="15">
    <w:abstractNumId w:val="22"/>
  </w:num>
  <w:num w:numId="16">
    <w:abstractNumId w:val="28"/>
  </w:num>
  <w:num w:numId="17">
    <w:abstractNumId w:val="3"/>
  </w:num>
  <w:num w:numId="18">
    <w:abstractNumId w:val="25"/>
  </w:num>
  <w:num w:numId="19">
    <w:abstractNumId w:val="12"/>
  </w:num>
  <w:num w:numId="20">
    <w:abstractNumId w:val="9"/>
  </w:num>
  <w:num w:numId="21">
    <w:abstractNumId w:val="8"/>
  </w:num>
  <w:num w:numId="22">
    <w:abstractNumId w:val="6"/>
  </w:num>
  <w:num w:numId="23">
    <w:abstractNumId w:val="18"/>
  </w:num>
  <w:num w:numId="24">
    <w:abstractNumId w:val="20"/>
  </w:num>
  <w:num w:numId="25">
    <w:abstractNumId w:val="2"/>
  </w:num>
  <w:num w:numId="26">
    <w:abstractNumId w:val="17"/>
  </w:num>
  <w:num w:numId="27">
    <w:abstractNumId w:val="19"/>
  </w:num>
  <w:num w:numId="28">
    <w:abstractNumId w:val="11"/>
  </w:num>
  <w:num w:numId="29">
    <w:abstractNumId w:val="2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1488F"/>
    <w:rsid w:val="00032785"/>
    <w:rsid w:val="00041A3F"/>
    <w:rsid w:val="0005313F"/>
    <w:rsid w:val="00053EBC"/>
    <w:rsid w:val="00062744"/>
    <w:rsid w:val="000A15D5"/>
    <w:rsid w:val="000A469F"/>
    <w:rsid w:val="000B124C"/>
    <w:rsid w:val="000B7335"/>
    <w:rsid w:val="000F0708"/>
    <w:rsid w:val="00107547"/>
    <w:rsid w:val="00110274"/>
    <w:rsid w:val="00123D23"/>
    <w:rsid w:val="00127201"/>
    <w:rsid w:val="00127AC6"/>
    <w:rsid w:val="00132FAC"/>
    <w:rsid w:val="00136190"/>
    <w:rsid w:val="00137161"/>
    <w:rsid w:val="001509BA"/>
    <w:rsid w:val="0015421A"/>
    <w:rsid w:val="00183D80"/>
    <w:rsid w:val="00185E67"/>
    <w:rsid w:val="00187474"/>
    <w:rsid w:val="001A0910"/>
    <w:rsid w:val="001B4CCB"/>
    <w:rsid w:val="001C784B"/>
    <w:rsid w:val="001D723B"/>
    <w:rsid w:val="001E09AB"/>
    <w:rsid w:val="00211C7E"/>
    <w:rsid w:val="00221567"/>
    <w:rsid w:val="00225321"/>
    <w:rsid w:val="00235919"/>
    <w:rsid w:val="00247456"/>
    <w:rsid w:val="00256AD2"/>
    <w:rsid w:val="00263AEE"/>
    <w:rsid w:val="002746C6"/>
    <w:rsid w:val="0027513E"/>
    <w:rsid w:val="0028771C"/>
    <w:rsid w:val="0029020B"/>
    <w:rsid w:val="002A4F40"/>
    <w:rsid w:val="002B49CC"/>
    <w:rsid w:val="002B7BE6"/>
    <w:rsid w:val="002D0C9B"/>
    <w:rsid w:val="002D44BE"/>
    <w:rsid w:val="002D6CBD"/>
    <w:rsid w:val="002E395D"/>
    <w:rsid w:val="002E79AF"/>
    <w:rsid w:val="002F1B74"/>
    <w:rsid w:val="002F2F35"/>
    <w:rsid w:val="00322CDF"/>
    <w:rsid w:val="003303D3"/>
    <w:rsid w:val="00351268"/>
    <w:rsid w:val="003578FC"/>
    <w:rsid w:val="003603E3"/>
    <w:rsid w:val="0036756B"/>
    <w:rsid w:val="00373689"/>
    <w:rsid w:val="00380AFF"/>
    <w:rsid w:val="00382812"/>
    <w:rsid w:val="003A41E5"/>
    <w:rsid w:val="003C4584"/>
    <w:rsid w:val="003D289F"/>
    <w:rsid w:val="003D36F2"/>
    <w:rsid w:val="003D6A1A"/>
    <w:rsid w:val="003F7C7A"/>
    <w:rsid w:val="00417056"/>
    <w:rsid w:val="0043220B"/>
    <w:rsid w:val="00441D9D"/>
    <w:rsid w:val="00442037"/>
    <w:rsid w:val="00474421"/>
    <w:rsid w:val="004759CE"/>
    <w:rsid w:val="00480EF2"/>
    <w:rsid w:val="00484FB9"/>
    <w:rsid w:val="00491D32"/>
    <w:rsid w:val="00495FBD"/>
    <w:rsid w:val="004A602B"/>
    <w:rsid w:val="004B064B"/>
    <w:rsid w:val="004B1377"/>
    <w:rsid w:val="004C256F"/>
    <w:rsid w:val="004C2704"/>
    <w:rsid w:val="004C366C"/>
    <w:rsid w:val="004C6242"/>
    <w:rsid w:val="004E3310"/>
    <w:rsid w:val="004F2EE0"/>
    <w:rsid w:val="00506116"/>
    <w:rsid w:val="005079FB"/>
    <w:rsid w:val="00554AA9"/>
    <w:rsid w:val="00574924"/>
    <w:rsid w:val="005823E8"/>
    <w:rsid w:val="005A287A"/>
    <w:rsid w:val="005A7C02"/>
    <w:rsid w:val="005E72E7"/>
    <w:rsid w:val="00603BBB"/>
    <w:rsid w:val="00623661"/>
    <w:rsid w:val="0062440B"/>
    <w:rsid w:val="00625187"/>
    <w:rsid w:val="00644EF6"/>
    <w:rsid w:val="0065158F"/>
    <w:rsid w:val="00653A85"/>
    <w:rsid w:val="00654A90"/>
    <w:rsid w:val="00666A32"/>
    <w:rsid w:val="0067276A"/>
    <w:rsid w:val="00673CF5"/>
    <w:rsid w:val="00677E8B"/>
    <w:rsid w:val="00692297"/>
    <w:rsid w:val="006B2865"/>
    <w:rsid w:val="006C0727"/>
    <w:rsid w:val="006C1837"/>
    <w:rsid w:val="006C1EF7"/>
    <w:rsid w:val="006C5DA6"/>
    <w:rsid w:val="006D29BA"/>
    <w:rsid w:val="006D3C71"/>
    <w:rsid w:val="006E0EEA"/>
    <w:rsid w:val="006E145F"/>
    <w:rsid w:val="006E7402"/>
    <w:rsid w:val="00700D83"/>
    <w:rsid w:val="00703E35"/>
    <w:rsid w:val="00730FD7"/>
    <w:rsid w:val="0074773B"/>
    <w:rsid w:val="00754F61"/>
    <w:rsid w:val="00761376"/>
    <w:rsid w:val="00767A56"/>
    <w:rsid w:val="00770572"/>
    <w:rsid w:val="00776B36"/>
    <w:rsid w:val="007B0F84"/>
    <w:rsid w:val="007D159A"/>
    <w:rsid w:val="007E111E"/>
    <w:rsid w:val="0081788D"/>
    <w:rsid w:val="00822FF9"/>
    <w:rsid w:val="00824D42"/>
    <w:rsid w:val="00843C1E"/>
    <w:rsid w:val="0087612B"/>
    <w:rsid w:val="008819E8"/>
    <w:rsid w:val="008B010C"/>
    <w:rsid w:val="008C75B7"/>
    <w:rsid w:val="008D5345"/>
    <w:rsid w:val="009020AC"/>
    <w:rsid w:val="00907110"/>
    <w:rsid w:val="009205CB"/>
    <w:rsid w:val="009273F6"/>
    <w:rsid w:val="00952522"/>
    <w:rsid w:val="00961505"/>
    <w:rsid w:val="00962534"/>
    <w:rsid w:val="0097229A"/>
    <w:rsid w:val="00974AE9"/>
    <w:rsid w:val="009750CB"/>
    <w:rsid w:val="00981787"/>
    <w:rsid w:val="009B2FAE"/>
    <w:rsid w:val="009B3A7B"/>
    <w:rsid w:val="009B4AB7"/>
    <w:rsid w:val="009F2FBC"/>
    <w:rsid w:val="00A10DCD"/>
    <w:rsid w:val="00A21634"/>
    <w:rsid w:val="00A2346C"/>
    <w:rsid w:val="00A50E46"/>
    <w:rsid w:val="00A534A5"/>
    <w:rsid w:val="00A67247"/>
    <w:rsid w:val="00A70322"/>
    <w:rsid w:val="00A772DF"/>
    <w:rsid w:val="00A84371"/>
    <w:rsid w:val="00AA34C7"/>
    <w:rsid w:val="00AA427C"/>
    <w:rsid w:val="00AC2536"/>
    <w:rsid w:val="00AC2A90"/>
    <w:rsid w:val="00AC3B3F"/>
    <w:rsid w:val="00AC43D3"/>
    <w:rsid w:val="00AC7A36"/>
    <w:rsid w:val="00AD41F2"/>
    <w:rsid w:val="00AE2686"/>
    <w:rsid w:val="00B102B7"/>
    <w:rsid w:val="00B217A5"/>
    <w:rsid w:val="00B21B2D"/>
    <w:rsid w:val="00B25489"/>
    <w:rsid w:val="00B578C5"/>
    <w:rsid w:val="00B778A9"/>
    <w:rsid w:val="00B8420D"/>
    <w:rsid w:val="00BA25F5"/>
    <w:rsid w:val="00BA73FE"/>
    <w:rsid w:val="00BB344A"/>
    <w:rsid w:val="00BC2541"/>
    <w:rsid w:val="00BD5F9F"/>
    <w:rsid w:val="00BD79FF"/>
    <w:rsid w:val="00BE2E36"/>
    <w:rsid w:val="00BE62E9"/>
    <w:rsid w:val="00BE68C2"/>
    <w:rsid w:val="00BF16DA"/>
    <w:rsid w:val="00C16AAD"/>
    <w:rsid w:val="00C31319"/>
    <w:rsid w:val="00C526FE"/>
    <w:rsid w:val="00C5344A"/>
    <w:rsid w:val="00C66130"/>
    <w:rsid w:val="00C7104C"/>
    <w:rsid w:val="00C874D8"/>
    <w:rsid w:val="00CA09B2"/>
    <w:rsid w:val="00CE6930"/>
    <w:rsid w:val="00D0134A"/>
    <w:rsid w:val="00D11057"/>
    <w:rsid w:val="00D14A57"/>
    <w:rsid w:val="00D17890"/>
    <w:rsid w:val="00D23F7B"/>
    <w:rsid w:val="00D3080B"/>
    <w:rsid w:val="00D42487"/>
    <w:rsid w:val="00D523EF"/>
    <w:rsid w:val="00D570D5"/>
    <w:rsid w:val="00D76E4D"/>
    <w:rsid w:val="00D82EB0"/>
    <w:rsid w:val="00D90D65"/>
    <w:rsid w:val="00D94A1B"/>
    <w:rsid w:val="00DA58BE"/>
    <w:rsid w:val="00DB221D"/>
    <w:rsid w:val="00DC22B9"/>
    <w:rsid w:val="00DC5A7B"/>
    <w:rsid w:val="00DC7729"/>
    <w:rsid w:val="00DD73E5"/>
    <w:rsid w:val="00E05FF5"/>
    <w:rsid w:val="00E20920"/>
    <w:rsid w:val="00E2212B"/>
    <w:rsid w:val="00E77CEF"/>
    <w:rsid w:val="00E86B66"/>
    <w:rsid w:val="00E9419C"/>
    <w:rsid w:val="00EA5846"/>
    <w:rsid w:val="00EB1E32"/>
    <w:rsid w:val="00EB63C5"/>
    <w:rsid w:val="00EC4C2E"/>
    <w:rsid w:val="00ED3D2C"/>
    <w:rsid w:val="00EF08D1"/>
    <w:rsid w:val="00EF7BDE"/>
    <w:rsid w:val="00F00517"/>
    <w:rsid w:val="00F00DD1"/>
    <w:rsid w:val="00F01403"/>
    <w:rsid w:val="00F07428"/>
    <w:rsid w:val="00F13A24"/>
    <w:rsid w:val="00F20532"/>
    <w:rsid w:val="00F23729"/>
    <w:rsid w:val="00F47FB5"/>
    <w:rsid w:val="00F50CA9"/>
    <w:rsid w:val="00F57783"/>
    <w:rsid w:val="00F6324E"/>
    <w:rsid w:val="00F654B8"/>
    <w:rsid w:val="00F830C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A3EE8"/>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612B"/>
    <w:rPr>
      <w:sz w:val="22"/>
      <w:lang w:val="en-GB"/>
    </w:rPr>
  </w:style>
  <w:style w:type="paragraph" w:styleId="1">
    <w:name w:val="heading 1"/>
    <w:basedOn w:val="a0"/>
    <w:next w:val="a0"/>
    <w:link w:val="1Char"/>
    <w:qFormat/>
    <w:pPr>
      <w:keepNext/>
      <w:keepLines/>
      <w:spacing w:before="320"/>
      <w:outlineLvl w:val="0"/>
    </w:pPr>
    <w:rPr>
      <w:rFonts w:ascii="Arial" w:hAnsi="Arial"/>
      <w:b/>
      <w:sz w:val="32"/>
      <w:u w:val="single"/>
    </w:rPr>
  </w:style>
  <w:style w:type="paragraph" w:styleId="2">
    <w:name w:val="heading 2"/>
    <w:basedOn w:val="a0"/>
    <w:next w:val="a0"/>
    <w:link w:val="2Char"/>
    <w:qFormat/>
    <w:pPr>
      <w:keepNext/>
      <w:keepLines/>
      <w:spacing w:before="280"/>
      <w:outlineLvl w:val="1"/>
    </w:pPr>
    <w:rPr>
      <w:rFonts w:ascii="Arial" w:hAnsi="Arial"/>
      <w:b/>
      <w:sz w:val="28"/>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8">
    <w:name w:val="List Paragraph"/>
    <w:basedOn w:val="a0"/>
    <w:link w:val="Char0"/>
    <w:uiPriority w:val="34"/>
    <w:qFormat/>
    <w:rsid w:val="00380AFF"/>
    <w:pPr>
      <w:ind w:left="720"/>
      <w:contextualSpacing/>
      <w:jc w:val="both"/>
    </w:pPr>
    <w:rPr>
      <w:rFonts w:eastAsia="宋体"/>
    </w:rPr>
  </w:style>
  <w:style w:type="paragraph" w:styleId="a">
    <w:name w:val="No Spacing"/>
    <w:basedOn w:val="a0"/>
    <w:uiPriority w:val="1"/>
    <w:qFormat/>
    <w:rsid w:val="00380AFF"/>
    <w:pPr>
      <w:numPr>
        <w:numId w:val="1"/>
      </w:numPr>
    </w:pPr>
    <w:rPr>
      <w:rFonts w:ascii="Calibri" w:hAnsi="Calibri" w:cs="Calibri"/>
      <w:b/>
      <w:bCs/>
      <w:sz w:val="20"/>
      <w:lang w:val="en-US"/>
    </w:rPr>
  </w:style>
  <w:style w:type="character" w:customStyle="1" w:styleId="Char0">
    <w:name w:val="列出段落 Char"/>
    <w:basedOn w:val="a1"/>
    <w:link w:val="a8"/>
    <w:uiPriority w:val="34"/>
    <w:rsid w:val="00380AFF"/>
    <w:rPr>
      <w:rFonts w:eastAsia="宋体"/>
      <w:sz w:val="22"/>
      <w:lang w:val="en-GB"/>
    </w:rPr>
  </w:style>
  <w:style w:type="character" w:customStyle="1" w:styleId="2Char">
    <w:name w:val="标题 2 Char"/>
    <w:basedOn w:val="a1"/>
    <w:link w:val="2"/>
    <w:rsid w:val="00032785"/>
    <w:rPr>
      <w:rFonts w:ascii="Arial" w:hAnsi="Arial"/>
      <w:b/>
      <w:sz w:val="28"/>
      <w:u w:val="single"/>
      <w:lang w:val="en-GB"/>
    </w:rPr>
  </w:style>
  <w:style w:type="character" w:customStyle="1" w:styleId="1Char">
    <w:name w:val="标题 1 Char"/>
    <w:basedOn w:val="a1"/>
    <w:link w:val="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a9">
    <w:name w:val="Table Grid"/>
    <w:basedOn w:val="a2"/>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a1"/>
    <w:rsid w:val="00DD73E5"/>
  </w:style>
  <w:style w:type="character" w:customStyle="1" w:styleId="qu">
    <w:name w:val="qu"/>
    <w:basedOn w:val="a1"/>
    <w:rsid w:val="00A772DF"/>
  </w:style>
  <w:style w:type="character" w:customStyle="1" w:styleId="gd">
    <w:name w:val="gd"/>
    <w:basedOn w:val="a1"/>
    <w:rsid w:val="00962534"/>
  </w:style>
  <w:style w:type="character" w:styleId="aa">
    <w:name w:val="annotation reference"/>
    <w:basedOn w:val="a1"/>
    <w:uiPriority w:val="99"/>
    <w:unhideWhenUsed/>
    <w:rsid w:val="007B0F84"/>
    <w:rPr>
      <w:rFonts w:cs="Times New Roman"/>
      <w:sz w:val="16"/>
      <w:szCs w:val="16"/>
    </w:rPr>
  </w:style>
  <w:style w:type="paragraph" w:styleId="ab">
    <w:name w:val="annotation text"/>
    <w:basedOn w:val="a0"/>
    <w:link w:val="Char1"/>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Char1">
    <w:name w:val="批注文字 Char"/>
    <w:basedOn w:val="a1"/>
    <w:link w:val="ab"/>
    <w:uiPriority w:val="99"/>
    <w:rsid w:val="007B0F84"/>
    <w:rPr>
      <w:rFonts w:eastAsiaTheme="minorEastAsia"/>
      <w:color w:val="000000"/>
      <w:w w:val="0"/>
      <w:lang w:val="en-GB"/>
    </w:rPr>
  </w:style>
  <w:style w:type="paragraph" w:customStyle="1" w:styleId="TableParagraph">
    <w:name w:val="Table Paragraph"/>
    <w:basedOn w:val="a0"/>
    <w:uiPriority w:val="1"/>
    <w:qFormat/>
    <w:rsid w:val="007B0F84"/>
    <w:pPr>
      <w:widowControl w:val="0"/>
      <w:autoSpaceDE w:val="0"/>
      <w:autoSpaceDN w:val="0"/>
    </w:pPr>
    <w:rPr>
      <w:szCs w:val="22"/>
      <w:lang w:val="en-US"/>
    </w:rPr>
  </w:style>
  <w:style w:type="paragraph" w:styleId="ac">
    <w:name w:val="Balloon Text"/>
    <w:basedOn w:val="a0"/>
    <w:link w:val="Char2"/>
    <w:rsid w:val="007B0F84"/>
    <w:rPr>
      <w:rFonts w:ascii="Segoe UI" w:hAnsi="Segoe UI" w:cs="Segoe UI"/>
      <w:sz w:val="18"/>
      <w:szCs w:val="18"/>
    </w:rPr>
  </w:style>
  <w:style w:type="character" w:customStyle="1" w:styleId="Char2">
    <w:name w:val="批注框文本 Char"/>
    <w:basedOn w:val="a1"/>
    <w:link w:val="ac"/>
    <w:rsid w:val="007B0F84"/>
    <w:rPr>
      <w:rFonts w:ascii="Segoe UI" w:hAnsi="Segoe UI" w:cs="Segoe UI"/>
      <w:sz w:val="18"/>
      <w:szCs w:val="18"/>
      <w:lang w:val="en-GB"/>
    </w:rPr>
  </w:style>
  <w:style w:type="character" w:customStyle="1" w:styleId="Char">
    <w:name w:val="页脚 Char"/>
    <w:basedOn w:val="a1"/>
    <w:link w:val="a4"/>
    <w:rsid w:val="00653A85"/>
    <w:rPr>
      <w:sz w:val="24"/>
      <w:lang w:val="en-GB"/>
    </w:rPr>
  </w:style>
  <w:style w:type="character" w:styleId="ad">
    <w:name w:val="FollowedHyperlink"/>
    <w:basedOn w:val="a1"/>
    <w:rsid w:val="00AE2686"/>
    <w:rPr>
      <w:color w:val="954F72" w:themeColor="followedHyperlink"/>
      <w:u w:val="single"/>
    </w:rPr>
  </w:style>
  <w:style w:type="paragraph" w:customStyle="1" w:styleId="Body">
    <w:name w:val="Body"/>
    <w:rsid w:val="006E0EEA"/>
    <w:pPr>
      <w:pBdr>
        <w:top w:val="nil"/>
        <w:left w:val="nil"/>
        <w:bottom w:val="nil"/>
        <w:right w:val="nil"/>
        <w:between w:val="nil"/>
        <w:bar w:val="nil"/>
      </w:pBdr>
    </w:pPr>
    <w:rPr>
      <w:rFonts w:eastAsia="Times New Roman"/>
      <w:color w:val="000000"/>
      <w:sz w:val="22"/>
      <w:szCs w:val="22"/>
      <w:u w:color="000000"/>
      <w:bdr w:val="nil"/>
      <w14:textOutline w14:w="0" w14:cap="flat" w14:cmpd="sng" w14:algn="ctr">
        <w14:noFill/>
        <w14:prstDash w14:val="solid"/>
        <w14:bevel/>
      </w14:textOutline>
    </w:rPr>
  </w:style>
  <w:style w:type="character" w:customStyle="1" w:styleId="None">
    <w:name w:val="None"/>
    <w:rsid w:val="006E0EEA"/>
  </w:style>
  <w:style w:type="paragraph" w:styleId="ae">
    <w:name w:val="annotation subject"/>
    <w:basedOn w:val="ab"/>
    <w:next w:val="ab"/>
    <w:link w:val="Char3"/>
    <w:semiHidden/>
    <w:unhideWhenUsed/>
    <w:rsid w:val="003578F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sz w:val="22"/>
    </w:rPr>
  </w:style>
  <w:style w:type="character" w:customStyle="1" w:styleId="Char3">
    <w:name w:val="批注主题 Char"/>
    <w:basedOn w:val="Char1"/>
    <w:link w:val="ae"/>
    <w:semiHidden/>
    <w:rsid w:val="003578FC"/>
    <w:rPr>
      <w:rFonts w:eastAsiaTheme="minorEastAsia"/>
      <w:b/>
      <w:bCs/>
      <w:color w:val="000000"/>
      <w:w w:val="0"/>
      <w:sz w:val="22"/>
      <w:lang w:val="en-GB"/>
    </w:rPr>
  </w:style>
  <w:style w:type="paragraph" w:styleId="af">
    <w:name w:val="Revision"/>
    <w:hidden/>
    <w:uiPriority w:val="99"/>
    <w:semiHidden/>
    <w:rsid w:val="009750C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185</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802.11-24/1762r14</vt:lpstr>
    </vt:vector>
  </TitlesOfParts>
  <Company>Broadcom</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802.11-24/1762r14</dc:title>
  <dc:subject>Submission</dc:subject>
  <dc:creator>Ming Gan</dc:creator>
  <cp:keywords>January 2025</cp:keywords>
  <dc:description>Matthew Fischer, Broadcom, et al.</dc:description>
  <cp:lastModifiedBy>Ming Gan</cp:lastModifiedBy>
  <cp:revision>17</cp:revision>
  <cp:lastPrinted>1900-01-01T08:00:00Z</cp:lastPrinted>
  <dcterms:created xsi:type="dcterms:W3CDTF">2025-01-04T12:15:00Z</dcterms:created>
  <dcterms:modified xsi:type="dcterms:W3CDTF">2025-01-13T02:54:00Z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1736302644</vt:lpwstr>
  </property>
</Properties>
</file>