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 Zhang</w:t>
            </w:r>
          </w:p>
        </w:tc>
        <w:tc>
          <w:tcPr>
            <w:tcW w:w="1420" w:type="dxa"/>
            <w:vAlign w:val="center"/>
          </w:tcPr>
          <w:p w14:paraId="7F0B234C" w14:textId="4639184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</w:t>
            </w:r>
            <w:r w:rsidR="00E02FA8">
              <w:rPr>
                <w:rFonts w:eastAsiaTheme="minor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3739D425" w:rsidR="00EC05C9" w:rsidRPr="0058567F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3214DBD5" w14:textId="1C6E191F" w:rsidR="0058567F" w:rsidRPr="007A4FF9" w:rsidRDefault="0058567F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text change on the definition</w:t>
      </w:r>
    </w:p>
    <w:p w14:paraId="46C67A07" w14:textId="3956EC7B" w:rsidR="007A4FF9" w:rsidRDefault="007A4FF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 w:rsidRPr="007A4FF9">
        <w:rPr>
          <w:rFonts w:ascii="Times New Roman" w:hAnsi="Times New Roman" w:cs="Times New Roman"/>
          <w:sz w:val="18"/>
          <w:szCs w:val="20"/>
          <w:lang w:val="en-GB" w:eastAsia="zh-CN"/>
        </w:rPr>
        <w:t>Rev 3: editorial changes</w:t>
      </w:r>
    </w:p>
    <w:p w14:paraId="56BAFE01" w14:textId="21AE0039" w:rsidR="00E02FA8" w:rsidRDefault="00E02FA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4: corrected typo</w:t>
      </w:r>
    </w:p>
    <w:p w14:paraId="2B4B4527" w14:textId="5B310E93" w:rsidR="00ED6D25" w:rsidRPr="007A4FF9" w:rsidRDefault="00ED6D25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ev 5: 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update the text to 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clarify that the essential for CBF is to use the CSI of the channel between the AP and the STAs associated with the other A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20"/>
          <w:lang w:val="en-GB" w:eastAsia="zh-CN"/>
        </w:rPr>
        <w:t>P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>, we don’t force the AP to use the CSI of the channel between the AP and its own associated STAs</w:t>
      </w:r>
    </w:p>
    <w:p w14:paraId="40B4CC5F" w14:textId="77777777" w:rsidR="00797351" w:rsidRPr="007A4FF9" w:rsidRDefault="00797351" w:rsidP="0079735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3D21044F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145F2F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5AF50C53" w14:textId="76DAF500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bookmarkStart w:id="2" w:name="_Hlk187073182"/>
      <w:r w:rsidRPr="00042BDE">
        <w:rPr>
          <w:rFonts w:ascii="TimesNewRomanPSMT" w:hAnsi="TimesNewRomanPSMT"/>
          <w:b/>
          <w:color w:val="000000"/>
          <w:sz w:val="20"/>
          <w:szCs w:val="20"/>
        </w:rPr>
        <w:t>coordinated beamforming: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>
        <w:rPr>
          <w:rFonts w:ascii="TimesNewRomanPSMT" w:hAnsi="TimesNewRomanPSMT"/>
          <w:color w:val="000000"/>
          <w:sz w:val="20"/>
          <w:szCs w:val="20"/>
        </w:rPr>
        <w:t>BF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two 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to perform concurrent transmissions</w:t>
      </w:r>
      <w:r w:rsidR="009A4C90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>
        <w:rPr>
          <w:rFonts w:ascii="TimesNewRomanPSMT" w:hAnsi="TimesNewRomanPSMT"/>
          <w:color w:val="000000"/>
          <w:sz w:val="20"/>
          <w:szCs w:val="20"/>
        </w:rPr>
        <w:t xml:space="preserve"> AP and the </w:t>
      </w:r>
      <w:r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>
        <w:rPr>
          <w:rFonts w:ascii="TimesNewRomanPSMT" w:hAnsi="TimesNewRomanPSMT"/>
          <w:color w:val="000000"/>
          <w:sz w:val="20"/>
          <w:szCs w:val="20"/>
        </w:rPr>
        <w:t xml:space="preserve"> STAs</w:t>
      </w:r>
      <w:r w:rsidR="00ED6D25">
        <w:rPr>
          <w:rFonts w:ascii="TimesNewRomanPSMT" w:hAnsi="TimesNewRomanPSMT"/>
          <w:color w:val="000000"/>
          <w:sz w:val="20"/>
          <w:szCs w:val="20"/>
        </w:rPr>
        <w:t xml:space="preserve"> of the other AP</w:t>
      </w:r>
      <w:r w:rsidR="0071206A">
        <w:rPr>
          <w:rFonts w:ascii="TimesNewRomanPSMT" w:hAnsi="TimesNewRomanPSMT"/>
          <w:color w:val="000000"/>
          <w:sz w:val="20"/>
          <w:szCs w:val="20"/>
        </w:rPr>
        <w:t xml:space="preserve"> to form nulls</w:t>
      </w:r>
      <w:r w:rsidR="008B45C1">
        <w:rPr>
          <w:rFonts w:ascii="TimesNewRomanPSMT" w:hAnsi="TimesNewRomanPSMT"/>
          <w:color w:val="000000"/>
          <w:sz w:val="20"/>
          <w:szCs w:val="20"/>
        </w:rPr>
        <w:t xml:space="preserve"> to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the antennas of the </w:t>
      </w:r>
      <w:r w:rsidR="008B45C1">
        <w:rPr>
          <w:rFonts w:ascii="TimesNewRomanPSMT" w:hAnsi="TimesNewRomanPSMT"/>
          <w:color w:val="000000"/>
          <w:sz w:val="20"/>
          <w:szCs w:val="20"/>
        </w:rPr>
        <w:t xml:space="preserve">unintended </w:t>
      </w:r>
      <w:r w:rsidR="008B45C1" w:rsidRPr="008B45C1">
        <w:rPr>
          <w:rFonts w:ascii="TimesNewRomanPSMT" w:hAnsi="TimesNewRomanPSMT"/>
          <w:color w:val="000000"/>
          <w:sz w:val="20"/>
          <w:szCs w:val="20"/>
        </w:rPr>
        <w:t>recipient STAs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2"/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2E2BA74B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Coordinated beamforming</w:t>
      </w:r>
    </w:p>
    <w:p w14:paraId="348CC1AA" w14:textId="45444641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  <w:r w:rsidR="00145F2F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</w:p>
    <w:p w14:paraId="2C212C24" w14:textId="4A6C20F9" w:rsidR="00603011" w:rsidRPr="00F5315A" w:rsidRDefault="00145F2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29]</w:t>
      </w:r>
      <w:r w:rsidR="00F5315A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F5315A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F5315A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F5315A">
        <w:rPr>
          <w:rFonts w:ascii="TimesNewRomanPSMT" w:hAnsi="TimesNewRomanPSMT"/>
          <w:color w:val="000000"/>
          <w:sz w:val="20"/>
          <w:szCs w:val="20"/>
        </w:rPr>
        <w:t>objective of 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 w:rsidR="00F5315A"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enabling 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concurrent transmissions of two APs with multiple antennas </w:t>
      </w:r>
      <w:bookmarkStart w:id="3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3"/>
      <w:r w:rsidR="00777945">
        <w:rPr>
          <w:rFonts w:ascii="TimesNewRomanPSMT" w:hAnsi="TimesNewRomanPSMT"/>
          <w:color w:val="000000"/>
          <w:sz w:val="20"/>
          <w:szCs w:val="20"/>
        </w:rPr>
        <w:t xml:space="preserve"> of the other AP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ssion.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 xml:space="preserve"> 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9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9]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41036F" w:rsidRPr="00145F2F">
        <w:rPr>
          <w:rFonts w:ascii="TimesNewRomanPSMT" w:hAnsi="TimesNewRomanPSMT"/>
          <w:color w:val="000000"/>
          <w:sz w:val="20"/>
          <w:szCs w:val="20"/>
        </w:rPr>
        <w:t xml:space="preserve"> nu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mber of participating APs in a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114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]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 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7A4FF9">
        <w:rPr>
          <w:rFonts w:ascii="TimesNewRomanPSMT" w:hAnsi="TimesNewRomanPSMT"/>
          <w:color w:val="000000"/>
          <w:sz w:val="20"/>
          <w:szCs w:val="20"/>
        </w:rPr>
        <w:t>shall be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1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356A" w14:textId="77777777" w:rsidR="008B2E23" w:rsidRDefault="008B2E23">
      <w:pPr>
        <w:spacing w:after="0" w:line="240" w:lineRule="auto"/>
      </w:pPr>
      <w:r>
        <w:separator/>
      </w:r>
    </w:p>
  </w:endnote>
  <w:endnote w:type="continuationSeparator" w:id="0">
    <w:p w14:paraId="49F6AF78" w14:textId="77777777" w:rsidR="008B2E23" w:rsidRDefault="008B2E23">
      <w:pPr>
        <w:spacing w:after="0" w:line="240" w:lineRule="auto"/>
      </w:pPr>
      <w:r>
        <w:continuationSeparator/>
      </w:r>
    </w:p>
  </w:endnote>
  <w:endnote w:type="continuationNotice" w:id="1">
    <w:p w14:paraId="4B166467" w14:textId="77777777" w:rsidR="008B2E23" w:rsidRDefault="008B2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9555" w14:textId="77777777" w:rsidR="008B2E23" w:rsidRDefault="008B2E23">
      <w:pPr>
        <w:spacing w:after="0" w:line="240" w:lineRule="auto"/>
      </w:pPr>
      <w:r>
        <w:separator/>
      </w:r>
    </w:p>
  </w:footnote>
  <w:footnote w:type="continuationSeparator" w:id="0">
    <w:p w14:paraId="71B73FE7" w14:textId="77777777" w:rsidR="008B2E23" w:rsidRDefault="008B2E23">
      <w:pPr>
        <w:spacing w:after="0" w:line="240" w:lineRule="auto"/>
      </w:pPr>
      <w:r>
        <w:continuationSeparator/>
      </w:r>
    </w:p>
  </w:footnote>
  <w:footnote w:type="continuationNotice" w:id="1">
    <w:p w14:paraId="1C3EA1BD" w14:textId="77777777" w:rsidR="008B2E23" w:rsidRDefault="008B2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3B49466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D6D25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97919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5F2F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436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0D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46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CA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21C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67F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2F14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06A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77945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4FF9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2E23"/>
    <w:rsid w:val="008B30BA"/>
    <w:rsid w:val="008B3204"/>
    <w:rsid w:val="008B3512"/>
    <w:rsid w:val="008B3571"/>
    <w:rsid w:val="008B4018"/>
    <w:rsid w:val="008B437A"/>
    <w:rsid w:val="008B45C1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22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3AB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2FA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D25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F4C828F-3C58-4EE8-A2B2-CAB9CD14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2025-01-12T05:22:00Z</dcterms:created>
  <dcterms:modified xsi:type="dcterms:W3CDTF">2025-01-12T05:28:00Z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