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comments.xml" ContentType="application/vnd.openxmlformats-officedocument.wordprocessingml.comments+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632"/>
        <w:gridCol w:w="1767"/>
        <w:gridCol w:w="2564"/>
        <w:gridCol w:w="1529"/>
        <w:gridCol w:w="2080"/>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Protecting TSF values in Beacon frames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2024-12-1</w:t>
            </w:r>
            <w:r>
              <w:rPr>
                <w:b w:val="false"/>
                <w:sz w:val="20"/>
              </w:rPr>
              <w:t>8</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52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208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Morse Micro</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152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208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529"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08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TSF values in 802.11 Beacon frames are currently unprotected, even when the frames are protected using BIP.  This submission proposes changes to add protection for the TSF value in BIP-protected frames, in a manner that is transparent to legacy devices.</w:t>
                            </w:r>
                          </w:p>
                          <w:p>
                            <w:pPr>
                              <w:pStyle w:val="FrameContents"/>
                              <w:jc w:val="both"/>
                              <w:rPr>
                                <w:color w:val="000000"/>
                              </w:rPr>
                            </w:pPr>
                            <w:r>
                              <w:rPr>
                                <w:color w:val="000000"/>
                              </w:rPr>
                            </w:r>
                          </w:p>
                          <w:p>
                            <w:pPr>
                              <w:pStyle w:val="Normal"/>
                              <w:jc w:val="start"/>
                              <w:rPr/>
                            </w:pPr>
                            <w:r>
                              <w:rPr>
                                <w:i w:val="false"/>
                                <w:iCs w:val="false"/>
                                <w:color w:val="000000"/>
                              </w:rPr>
                              <w:t>R0: Initial draft</w:t>
                            </w:r>
                          </w:p>
                          <w:p>
                            <w:pPr>
                              <w:pStyle w:val="Normal"/>
                              <w:jc w:val="start"/>
                              <w:rPr/>
                            </w:pPr>
                            <w:r>
                              <w:rPr>
                                <w:i w:val="false"/>
                                <w:iCs w:val="false"/>
                                <w:color w:val="000000"/>
                              </w:rPr>
                              <w:t>R1: Additional discussion</w:t>
                            </w:r>
                          </w:p>
                          <w:p>
                            <w:pPr>
                              <w:pStyle w:val="Normal"/>
                              <w:jc w:val="start"/>
                              <w:rPr/>
                            </w:pPr>
                            <w:r>
                              <w:rPr>
                                <w:i w:val="false"/>
                                <w:iCs w:val="false"/>
                                <w:color w:val="000000"/>
                              </w:rPr>
                              <w:t>R2: Add Timestamp check in clause 12.5.3.6</w:t>
                            </w:r>
                          </w:p>
                          <w:p>
                            <w:pPr>
                              <w:pStyle w:val="Normal"/>
                              <w:jc w:val="start"/>
                              <w:rPr>
                                <w:i w:val="false"/>
                                <w:i w:val="false"/>
                                <w:iCs w:val="false"/>
                                <w:color w:val="000000"/>
                              </w:rPr>
                            </w:pPr>
                            <w:r>
                              <w:rPr>
                                <w:color w:val="000000"/>
                              </w:rPr>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TSF values in 802.11 Beacon frames are currently unprotected, even when the frames are protected using BIP.  This submission proposes changes to add protection for the TSF value in BIP-protected frames, in a manner that is transparent to legacy devices.</w:t>
                      </w:r>
                    </w:p>
                    <w:p>
                      <w:pPr>
                        <w:pStyle w:val="FrameContents"/>
                        <w:jc w:val="both"/>
                        <w:rPr>
                          <w:color w:val="000000"/>
                        </w:rPr>
                      </w:pPr>
                      <w:r>
                        <w:rPr>
                          <w:color w:val="000000"/>
                        </w:rPr>
                      </w:r>
                    </w:p>
                    <w:p>
                      <w:pPr>
                        <w:pStyle w:val="Normal"/>
                        <w:jc w:val="start"/>
                        <w:rPr/>
                      </w:pPr>
                      <w:r>
                        <w:rPr>
                          <w:i w:val="false"/>
                          <w:iCs w:val="false"/>
                          <w:color w:val="000000"/>
                        </w:rPr>
                        <w:t>R0: Initial draft</w:t>
                      </w:r>
                    </w:p>
                    <w:p>
                      <w:pPr>
                        <w:pStyle w:val="Normal"/>
                        <w:jc w:val="start"/>
                        <w:rPr/>
                      </w:pPr>
                      <w:r>
                        <w:rPr>
                          <w:i w:val="false"/>
                          <w:iCs w:val="false"/>
                          <w:color w:val="000000"/>
                        </w:rPr>
                        <w:t>R1: Additional discussion</w:t>
                      </w:r>
                    </w:p>
                    <w:p>
                      <w:pPr>
                        <w:pStyle w:val="Normal"/>
                        <w:jc w:val="start"/>
                        <w:rPr/>
                      </w:pPr>
                      <w:r>
                        <w:rPr>
                          <w:i w:val="false"/>
                          <w:iCs w:val="false"/>
                          <w:color w:val="000000"/>
                        </w:rPr>
                        <w:t>R2: Add Timestamp check in clause 12.5.3.6</w:t>
                      </w:r>
                    </w:p>
                    <w:p>
                      <w:pPr>
                        <w:pStyle w:val="Normal"/>
                        <w:jc w:val="start"/>
                        <w:rPr>
                          <w:i w:val="false"/>
                          <w:i w:val="false"/>
                          <w:iCs w:val="false"/>
                          <w:color w:val="000000"/>
                        </w:rPr>
                      </w:pPr>
                      <w:r>
                        <w:rPr>
                          <w:color w:val="000000"/>
                        </w:rPr>
                      </w:r>
                    </w:p>
                  </w:txbxContent>
                </v:textbox>
                <w10:wrap type="none"/>
              </v:rect>
            </w:pict>
          </mc:Fallback>
        </mc:AlternateContent>
      </w:r>
      <w:r>
        <w:br w:type="page"/>
      </w:r>
    </w:p>
    <w:p>
      <w:pPr>
        <w:pStyle w:val="Heading3"/>
        <w:spacing w:before="0" w:after="60"/>
        <w:ind w:hanging="0" w:start="0"/>
        <w:rPr/>
      </w:pPr>
      <w:r>
        <w:rPr/>
        <w:t>Discussion:</w:t>
      </w:r>
    </w:p>
    <w:p>
      <w:pPr>
        <w:pStyle w:val="Normal"/>
        <w:spacing w:before="0" w:after="0"/>
        <w:rPr/>
      </w:pPr>
      <w:r>
        <w:rPr/>
      </w:r>
    </w:p>
    <w:p>
      <w:pPr>
        <w:pStyle w:val="BodyText"/>
        <w:rPr/>
      </w:pPr>
      <w:r>
        <w:rPr/>
        <w:t>In Beacon frames that are protected with BIP, the TSF remains unprotected.</w:t>
      </w:r>
    </w:p>
    <w:p>
      <w:pPr>
        <w:pStyle w:val="BodyText"/>
        <w:rPr/>
      </w:pPr>
      <w:r>
        <w:rPr/>
        <w:t>When adding integrety pretection to S1G Beacon frames, in order to minimize the amount of overhead added to the frames, they do not include an MME and instead use a MIC Element (which does not include space for a BIPN). Instead of transmitting the BIPN with the frame, the BIPN is derived from the TSBTT/TBTT. This reduces the possibility of any modification of the TSF to at most one beacon period.</w:t>
      </w:r>
    </w:p>
    <w:p>
      <w:pPr>
        <w:pStyle w:val="BodyText"/>
        <w:rPr/>
      </w:pPr>
      <w:r>
        <w:rPr/>
        <w:t>Similar to the approach for deriving the BIPN based on the TSBTT/TBTT for S1G Beacon frames that are protected using BCE, the BIPN for Beacon frames that are protected using BIP can be derived from the TBTT as:</w:t>
      </w:r>
    </w:p>
    <w:p>
      <w:pPr>
        <w:pStyle w:val="BodyText"/>
        <w:ind w:hanging="0" w:start="720"/>
        <w:rPr/>
      </w:pPr>
      <w:r>
        <w:rPr/>
        <w:t>BIPN =  CurrentTBTT / (1024 × dot11BeaconPeriod)</w:t>
      </w:r>
    </w:p>
    <w:p>
      <w:pPr>
        <w:pStyle w:val="BodyText"/>
        <w:rPr/>
      </w:pPr>
      <w:r>
        <w:rPr>
          <w:i/>
          <w:iCs/>
        </w:rPr>
        <w:t>CurrentTBTT</w:t>
      </w:r>
      <w:r>
        <w:rPr/>
        <w:t xml:space="preserve"> is the TBTT of the Beacon frame that is being protected. </w:t>
      </w:r>
    </w:p>
    <w:p>
      <w:pPr>
        <w:pStyle w:val="BodyText"/>
        <w:rPr/>
      </w:pPr>
      <w:r>
        <w:rPr>
          <w:color w:val="000000"/>
        </w:rPr>
        <w:t>At the transmitter this could be implemented as:</w:t>
      </w:r>
    </w:p>
    <w:p>
      <w:pPr>
        <w:pStyle w:val="BodyText"/>
        <w:ind w:hanging="0" w:start="720"/>
        <w:rPr>
          <w:rFonts w:ascii="Times New Roman" w:hAnsi="Times New Roman"/>
          <w:i/>
          <w:i/>
          <w:color w:val="000000"/>
        </w:rPr>
      </w:pPr>
      <w:r>
        <w:rPr>
          <w:i/>
          <w:color w:val="000000"/>
        </w:rPr>
        <w:t>Ceil(TSF/(1024 x dot11BeaconPeriod))</w:t>
      </w:r>
    </w:p>
    <w:p>
      <w:pPr>
        <w:pStyle w:val="BodyText"/>
        <w:rPr/>
      </w:pPr>
      <w:r>
        <w:rPr>
          <w:color w:val="000000"/>
        </w:rPr>
        <w:t>The receiver could use:</w:t>
      </w:r>
    </w:p>
    <w:p>
      <w:pPr>
        <w:pStyle w:val="BodyText"/>
        <w:ind w:hanging="0" w:start="720"/>
        <w:rPr>
          <w:rFonts w:ascii="Times New Roman" w:hAnsi="Times New Roman"/>
          <w:i/>
          <w:i/>
          <w:color w:val="000000"/>
        </w:rPr>
      </w:pPr>
      <w:r>
        <w:rPr>
          <w:i/>
          <w:color w:val="000000"/>
        </w:rPr>
        <w:t>Floor(TSF/(1024 x dot11BeaconPeriod))</w:t>
      </w:r>
    </w:p>
    <w:p>
      <w:pPr>
        <w:pStyle w:val="BodyText"/>
        <w:rPr/>
      </w:pPr>
      <w:r>
        <w:rPr/>
        <w:t>Calculating the BIPN in this way still satisfies the requirement that “the transmitting STA shall insert a strictly increasing integer into the MME IPN/BIPN field.” Note that the BIPN will increment by 1 for each Beacon transmission, since the CurrentTBTT increases by 1024 × dot11BeaconPeriod for each TBTT.</w:t>
      </w:r>
    </w:p>
    <w:p>
      <w:pPr>
        <w:pStyle w:val="BodyText"/>
        <w:rPr/>
      </w:pPr>
      <w:r>
        <w:rPr/>
        <w:t>The BIP integrity value is computed over the entire frame, include the MME.  Since the BIPN is derived from the CurrentTBTT, this provides protection for CurrentTBTT.</w:t>
      </w:r>
    </w:p>
    <w:p>
      <w:pPr>
        <w:pStyle w:val="BodyText"/>
        <w:rPr/>
      </w:pPr>
      <w:r>
        <w:rPr/>
        <w:t>In order for devices to take advantage of this protection, they simply need to know that the AP is using this calculation when generating the BIPN.  This can be accomplished simply by adding a flag in the RSNXE.  No signaling is required from non-AP STAs.</w:t>
      </w:r>
    </w:p>
    <w:p>
      <w:pPr>
        <w:pStyle w:val="BodyText"/>
        <w:rPr/>
      </w:pPr>
      <w:r>
        <w:rPr/>
        <w:t>For legacy devices, the frame structure and BIP algorithm is unchanged.  To those devices, this new BIPN derivation will look like any other BIPN counter, so legacy devices do not require any changes to receive and validate the BIP protection on these Beacon frames, and the level of protection provided by BIP to legacy devices remains unchanged.</w:t>
      </w:r>
    </w:p>
    <w:p>
      <w:pPr>
        <w:pStyle w:val="BodyText"/>
        <w:rPr/>
      </w:pPr>
      <w:r>
        <w:rPr/>
      </w:r>
    </w:p>
    <w:p>
      <w:pPr>
        <w:pStyle w:val="Heading3"/>
        <w:ind w:hanging="0" w:start="0"/>
        <w:rPr/>
      </w:pPr>
      <w:r>
        <w:rPr/>
        <w:t>9.4.2.240 RSNXE</w:t>
      </w:r>
    </w:p>
    <w:p>
      <w:pPr>
        <w:pStyle w:val="EditorialInstruction"/>
        <w:rPr>
          <w:b/>
          <w:bCs/>
          <w:i/>
          <w:i/>
          <w:iCs/>
        </w:rPr>
      </w:pPr>
      <w:r>
        <w:rPr>
          <w:b/>
          <w:bCs/>
          <w:i/>
          <w:iCs/>
        </w:rPr>
        <w:t>Add a new entry in Table 9-373 and update the last entry as needed:</w:t>
      </w:r>
    </w:p>
    <w:p>
      <w:pPr>
        <w:pStyle w:val="Normal"/>
        <w:spacing w:before="57" w:after="57"/>
        <w:jc w:val="center"/>
        <w:rPr>
          <w:b/>
          <w:bCs/>
        </w:rPr>
      </w:pPr>
      <w:r>
        <w:rPr>
          <w:b/>
          <w:bCs/>
          <w:i/>
          <w:iCs/>
        </w:rPr>
        <w:t>Table 9-373—Extended RSN Capabilities field</w:t>
      </w:r>
    </w:p>
    <w:tbl>
      <w:tblPr>
        <w:tblW w:w="5000" w:type="pct"/>
        <w:jc w:val="start"/>
        <w:tblInd w:w="0" w:type="dxa"/>
        <w:tblLayout w:type="fixed"/>
        <w:tblCellMar>
          <w:top w:w="0" w:type="dxa"/>
          <w:start w:w="0" w:type="dxa"/>
          <w:bottom w:w="0" w:type="dxa"/>
          <w:end w:w="0" w:type="dxa"/>
        </w:tblCellMar>
      </w:tblPr>
      <w:tblGrid>
        <w:gridCol w:w="3360"/>
        <w:gridCol w:w="3360"/>
        <w:gridCol w:w="3360"/>
      </w:tblGrid>
      <w:tr>
        <w:trPr/>
        <w:tc>
          <w:tcPr>
            <w:tcW w:w="3360" w:type="dxa"/>
            <w:tcBorders/>
          </w:tcPr>
          <w:p>
            <w:pPr>
              <w:pStyle w:val="TableContents"/>
              <w:jc w:val="center"/>
              <w:rPr>
                <w:b/>
                <w:bCs/>
              </w:rPr>
            </w:pPr>
            <w:r>
              <w:rPr>
                <w:b/>
                <w:bCs/>
              </w:rPr>
              <w:t>Bit</w:t>
            </w:r>
          </w:p>
        </w:tc>
        <w:tc>
          <w:tcPr>
            <w:tcW w:w="3360" w:type="dxa"/>
            <w:tcBorders/>
          </w:tcPr>
          <w:p>
            <w:pPr>
              <w:pStyle w:val="TableContents"/>
              <w:jc w:val="center"/>
              <w:rPr>
                <w:b/>
                <w:bCs/>
              </w:rPr>
            </w:pPr>
            <w:r>
              <w:rPr>
                <w:b/>
                <w:bCs/>
              </w:rPr>
              <w:t>Information</w:t>
            </w:r>
          </w:p>
        </w:tc>
        <w:tc>
          <w:tcPr>
            <w:tcW w:w="3360" w:type="dxa"/>
            <w:tcBorders/>
          </w:tcPr>
          <w:p>
            <w:pPr>
              <w:pStyle w:val="TableContents"/>
              <w:jc w:val="center"/>
              <w:rPr>
                <w:b/>
                <w:bCs/>
              </w:rPr>
            </w:pPr>
            <w:r>
              <w:rPr>
                <w:b/>
                <w:bCs/>
              </w:rPr>
              <w:t>Notes</w:t>
            </w:r>
          </w:p>
        </w:tc>
      </w:tr>
      <w:tr>
        <w:trPr>
          <w:trHeight w:val="1547" w:hRule="atLeast"/>
        </w:trPr>
        <w:tc>
          <w:tcPr>
            <w:tcW w:w="3360" w:type="dxa"/>
            <w:tcBorders/>
          </w:tcPr>
          <w:p>
            <w:pPr>
              <w:pStyle w:val="TableContents"/>
              <w:rPr>
                <w:u w:val="single"/>
              </w:rPr>
            </w:pPr>
            <w:r>
              <w:rPr>
                <w:u w:val="single"/>
              </w:rPr>
              <w:t>&lt;ANA&gt;</w:t>
            </w:r>
          </w:p>
        </w:tc>
        <w:tc>
          <w:tcPr>
            <w:tcW w:w="3360" w:type="dxa"/>
            <w:tcBorders/>
          </w:tcPr>
          <w:p>
            <w:pPr>
              <w:pStyle w:val="TableContents"/>
              <w:rPr>
                <w:i w:val="false"/>
                <w:i w:val="false"/>
                <w:iCs w:val="false"/>
                <w:u w:val="single"/>
              </w:rPr>
            </w:pPr>
            <w:r>
              <w:rPr>
                <w:i w:val="false"/>
                <w:iCs w:val="false"/>
                <w:u w:val="single"/>
              </w:rPr>
              <w:t>Protected TSF/Reserved</w:t>
            </w:r>
          </w:p>
        </w:tc>
        <w:tc>
          <w:tcPr>
            <w:tcW w:w="3360" w:type="dxa"/>
            <w:tcBorders/>
          </w:tcPr>
          <w:p>
            <w:pPr>
              <w:pStyle w:val="TableContents"/>
              <w:rPr>
                <w:u w:val="single"/>
              </w:rPr>
            </w:pPr>
            <w:r>
              <w:rPr>
                <w:u w:val="single"/>
              </w:rPr>
              <w:t>An AP sets the Protected TSF field to 1 to indicate that protection is enabled for the TSF in Beacon frames that it transmits. Otherwise, it sets this bit to 0. For non-AP STAs, this bit is reserved. See 12.5.3.4.</w:t>
            </w:r>
          </w:p>
        </w:tc>
      </w:tr>
    </w:tbl>
    <w:p>
      <w:pPr>
        <w:pStyle w:val="EditorialInstruction"/>
        <w:rPr>
          <w:b/>
          <w:bCs/>
          <w:i/>
          <w:i/>
          <w:iCs/>
        </w:rPr>
      </w:pPr>
      <w:r>
        <w:rPr>
          <w:b/>
          <w:bCs/>
          <w:i/>
          <w:iCs/>
        </w:rPr>
      </w:r>
    </w:p>
    <w:p>
      <w:pPr>
        <w:pStyle w:val="Heading3"/>
        <w:ind w:hanging="0" w:start="0"/>
        <w:rPr/>
      </w:pPr>
      <w:r>
        <w:rPr/>
        <w:t>12.5.3.4 BIP replay counters and packet numbers</w:t>
      </w:r>
    </w:p>
    <w:p>
      <w:pPr>
        <w:pStyle w:val="EditorialInstruction"/>
        <w:rPr/>
      </w:pPr>
      <w:r>
        <w:rPr/>
        <w:t>Change the second paragraph as shown:</w:t>
      </w:r>
    </w:p>
    <w:p>
      <w:pPr>
        <w:pStyle w:val="BodyText"/>
        <w:rPr/>
      </w:pPr>
      <w:r>
        <w:rPr/>
        <w:t xml:space="preserve">When beacon protection is enabled at </w:t>
      </w:r>
      <w:r>
        <w:rPr>
          <w:strike/>
        </w:rPr>
        <w:t>the</w:t>
      </w:r>
      <w:r>
        <w:rPr>
          <w:strike w:val="false"/>
          <w:dstrike w:val="false"/>
          <w:u w:val="single"/>
        </w:rPr>
        <w:t>a</w:t>
      </w:r>
      <w:r>
        <w:rPr/>
        <w:t xml:space="preserve"> non-</w:t>
      </w:r>
      <w:r>
        <w:rPr>
          <w:strike/>
        </w:rPr>
        <w:t>SP</w:t>
      </w:r>
      <w:r>
        <w:rPr>
          <w:strike w:val="false"/>
          <w:dstrike w:val="false"/>
          <w:u w:val="single"/>
        </w:rPr>
        <w:t>AP</w:t>
      </w:r>
      <w:r>
        <w:rPr/>
        <w:t xml:space="preserve">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The transmitter shall maintain a single BIPN for each BIGTK. When beacon protection is enabled at an S1G AP and BCE is enabled, the BIPN shall be implemented as a 48-bit representation of the number of TSBTTs or TBTTs since TSF time 0. If dot11ShortBeaconInterval is true, the BIPN shall be initialized using Equation (12-1):</w:t>
      </w:r>
    </w:p>
    <w:p>
      <w:pPr>
        <w:pStyle w:val="EditorialInstruction"/>
        <w:rPr/>
      </w:pPr>
      <w:r>
        <w:rPr/>
        <w:t>Change the text starting at page 3041, line 18 as shown:</w:t>
      </w:r>
    </w:p>
    <w:p>
      <w:pPr>
        <w:pStyle w:val="BodyText"/>
        <w:rPr/>
      </w:pPr>
      <w:r>
        <w:rPr/>
        <w:t xml:space="preserve">When beacon protection is enabled at an S1G AP and BCE is disabled, the BIPN shall be implemented as a 48-bit strictly increasing integer, initialized to 1 when the corresponding BIGTK is initialized. For non-S1G STAs, </w:t>
      </w:r>
      <w:r>
        <w:rPr>
          <w:u w:val="single"/>
        </w:rPr>
        <w:t xml:space="preserve">when dot11ProtectedTSF is false </w:t>
      </w:r>
      <w:r>
        <w:rPr/>
        <w:t xml:space="preserve">the BIPN shall be implemented as a 48-bit strictly increasing integer, </w:t>
      </w:r>
      <w:commentRangeStart w:id="0"/>
      <w:r>
        <w:rPr/>
        <w:t>initialized to 1 when the corresponding BIGTK is initialized</w:t>
      </w:r>
      <w:r>
        <w:rPr/>
      </w:r>
      <w:commentRangeEnd w:id="0"/>
      <w:r>
        <w:commentReference w:id="0"/>
      </w:r>
      <w:r>
        <w:rPr/>
        <w:t>.</w:t>
      </w:r>
      <w:r>
        <w:rPr>
          <w:u w:val="single"/>
        </w:rPr>
        <w:t xml:space="preserve"> For non-S1G STAs, when dot11ProtectedTSF is true:</w:t>
      </w:r>
    </w:p>
    <w:p>
      <w:pPr>
        <w:pStyle w:val="BodyText"/>
        <w:numPr>
          <w:ilvl w:val="0"/>
          <w:numId w:val="1"/>
        </w:numPr>
        <w:rPr/>
      </w:pPr>
      <w:r>
        <w:rPr>
          <w:u w:val="single"/>
        </w:rPr>
        <w:t>The BIPN shall be initialized using Equation (12-2).</w:t>
      </w:r>
    </w:p>
    <w:p>
      <w:pPr>
        <w:pStyle w:val="BodyText"/>
        <w:numPr>
          <w:ilvl w:val="0"/>
          <w:numId w:val="1"/>
        </w:numPr>
        <w:rPr/>
      </w:pPr>
      <w:r>
        <w:rPr>
          <w:u w:val="single"/>
        </w:rPr>
        <w:t>When adding protection to, or checking protection on, a Beacon frame, the BIPN shall be calculated using Equation (12-4), where CurrentTBTT is the TBTT of the Beacon frame that is being protected, in µs.</w:t>
      </w:r>
    </w:p>
    <w:p>
      <w:pPr>
        <w:pStyle w:val="BodyText"/>
        <w:rPr/>
      </w:pPr>
      <w:r>
        <w:rPr/>
      </w:r>
    </w:p>
    <w:p>
      <w:pPr>
        <w:pStyle w:val="Heading3"/>
        <w:ind w:hanging="0" w:start="0"/>
        <w:rPr/>
      </w:pPr>
      <w:r>
        <w:rPr/>
        <w:t>12.5.3.6 BIP reception</w:t>
      </w:r>
    </w:p>
    <w:p>
      <w:pPr>
        <w:pStyle w:val="EditorialInstruction"/>
        <w:ind w:hanging="0" w:start="0"/>
        <w:rPr/>
      </w:pPr>
      <w:r>
        <w:rPr/>
        <w:t>Modify setp (b)(3) as shown:</w:t>
      </w:r>
    </w:p>
    <w:p>
      <w:pPr>
        <w:pStyle w:val="Normal"/>
        <w:ind w:hanging="0" w:start="720"/>
        <w:rPr/>
      </w:pPr>
      <w:r>
        <w:rPr/>
        <w:t>3) If the frame is a protected Beacon frame or a protected S1G Beacon frame,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r>
        <w:rPr>
          <w:u w:val="single"/>
        </w:rPr>
        <w:t xml:space="preserve"> For non-S1G STAs, when dot11ProtectedTSF is true, the receiver shall calculate a BIPN for the frame using Equation (12-4), and compare this calculated BIPN to the integer value from the received MME IPN/BIPN field.  If the two values are not equal, the receiver shall discard the frame and increment the dot11RSNAStatsCMACReplays counter by 1.</w:t>
      </w:r>
    </w:p>
    <w:p>
      <w:pPr>
        <w:pStyle w:val="Normal"/>
        <w:ind w:hanging="0" w:start="720"/>
        <w:rPr/>
      </w:pPr>
      <w:r>
        <w:rPr/>
      </w:r>
    </w:p>
    <w:p>
      <w:pPr>
        <w:pStyle w:val="Heading3"/>
        <w:ind w:hanging="0" w:start="0"/>
        <w:rPr/>
      </w:pPr>
      <w:r>
        <w:rPr/>
        <w:t>C.3 MIB detail</w:t>
      </w:r>
    </w:p>
    <w:p>
      <w:pPr>
        <w:pStyle w:val="EditorialInstruction"/>
        <w:rPr/>
      </w:pPr>
      <w:r>
        <w:rPr/>
        <w:t>Add the following entry to the end of the Dot11StationConfigEntry{} list:</w:t>
      </w:r>
    </w:p>
    <w:p>
      <w:pPr>
        <w:pStyle w:val="BodyText"/>
        <w:rPr/>
      </w:pPr>
      <w:r>
        <w:rPr/>
        <w:tab/>
      </w:r>
      <w:r>
        <w:rPr>
          <w:u w:val="single"/>
        </w:rPr>
        <w:t>dot11ProtectedTSF</w:t>
        <w:tab/>
        <w:tab/>
        <w:tab/>
        <w:tab/>
        <w:tab/>
        <w:t>TruthValue</w:t>
      </w:r>
    </w:p>
    <w:p>
      <w:pPr>
        <w:pStyle w:val="BodyText"/>
        <w:rPr/>
      </w:pPr>
      <w:r>
        <w:rPr/>
      </w:r>
    </w:p>
    <w:p>
      <w:pPr>
        <w:pStyle w:val="EditorialInstruction"/>
        <w:rPr/>
      </w:pPr>
      <w:r>
        <w:rPr/>
        <w:t>Add the following new entry to the dot11StationConfig TABLE:</w:t>
      </w:r>
    </w:p>
    <w:p>
      <w:pPr>
        <w:pStyle w:val="BodyText"/>
        <w:rPr>
          <w:u w:val="single"/>
        </w:rPr>
      </w:pPr>
      <w:r>
        <w:rPr>
          <w:u w:val="single"/>
        </w:rPr>
        <w:t>dot11ProtectedTSF OBJECT-TYPE</w:t>
      </w:r>
    </w:p>
    <w:p>
      <w:pPr>
        <w:pStyle w:val="BodyText"/>
        <w:rPr>
          <w:u w:val="single"/>
        </w:rPr>
      </w:pPr>
      <w:r>
        <w:rPr>
          <w:u w:val="single"/>
        </w:rPr>
        <w:tab/>
        <w:t>SYNTAX TruthValue</w:t>
      </w:r>
    </w:p>
    <w:p>
      <w:pPr>
        <w:pStyle w:val="BodyText"/>
        <w:rPr>
          <w:u w:val="single"/>
        </w:rPr>
      </w:pPr>
      <w:r>
        <w:rPr>
          <w:u w:val="single"/>
        </w:rPr>
        <w:tab/>
        <w:t>MAX-ACCESS read-write</w:t>
      </w:r>
    </w:p>
    <w:p>
      <w:pPr>
        <w:pStyle w:val="BodyText"/>
        <w:rPr>
          <w:u w:val="single"/>
        </w:rPr>
      </w:pPr>
      <w:r>
        <w:rPr>
          <w:u w:val="single"/>
        </w:rPr>
        <w:tab/>
        <w:t>STATUS current</w:t>
      </w:r>
    </w:p>
    <w:p>
      <w:pPr>
        <w:pStyle w:val="BodyText"/>
        <w:rPr>
          <w:u w:val="single"/>
        </w:rPr>
      </w:pPr>
      <w:r>
        <w:rPr>
          <w:u w:val="single"/>
        </w:rPr>
        <w:tab/>
        <w:t>DESCRIPTION</w:t>
      </w:r>
    </w:p>
    <w:p>
      <w:pPr>
        <w:pStyle w:val="BodyText"/>
        <w:widowControl/>
        <w:suppressAutoHyphens w:val="true"/>
        <w:bidi w:val="0"/>
        <w:spacing w:lineRule="auto" w:line="276" w:before="0" w:after="0"/>
        <w:ind w:hanging="0" w:start="1440" w:end="0"/>
        <w:jc w:val="start"/>
        <w:rPr>
          <w:u w:val="single"/>
        </w:rPr>
      </w:pPr>
      <w:r>
        <w:rPr>
          <w:u w:val="single"/>
        </w:rPr>
        <w:t>"This is a control variable.</w:t>
      </w:r>
    </w:p>
    <w:p>
      <w:pPr>
        <w:pStyle w:val="BodyText"/>
        <w:widowControl/>
        <w:suppressAutoHyphens w:val="true"/>
        <w:bidi w:val="0"/>
        <w:spacing w:lineRule="auto" w:line="276" w:before="0" w:after="0"/>
        <w:ind w:hanging="0" w:start="1440" w:end="0"/>
        <w:jc w:val="start"/>
        <w:rPr>
          <w:u w:val="single"/>
        </w:rPr>
      </w:pPr>
      <w:r>
        <w:rPr>
          <w:u w:val="single"/>
        </w:rPr>
        <w:t>It is written by the SME or external management entity.</w:t>
      </w:r>
    </w:p>
    <w:p>
      <w:pPr>
        <w:pStyle w:val="BodyText"/>
        <w:widowControl/>
        <w:suppressAutoHyphens w:val="true"/>
        <w:bidi w:val="0"/>
        <w:spacing w:lineRule="auto" w:line="276" w:before="0" w:after="0"/>
        <w:ind w:hanging="0" w:start="1440" w:end="0"/>
        <w:jc w:val="start"/>
        <w:rPr>
          <w:u w:val="single"/>
        </w:rPr>
      </w:pPr>
      <w:r>
        <w:rPr>
          <w:u w:val="single"/>
        </w:rPr>
        <w:t>Changes take effect for the next MLME-START.request primitive or MLME-JOIN.request primitive.</w:t>
      </w:r>
    </w:p>
    <w:p>
      <w:pPr>
        <w:pStyle w:val="BodyText"/>
        <w:widowControl/>
        <w:suppressAutoHyphens w:val="true"/>
        <w:bidi w:val="0"/>
        <w:spacing w:lineRule="auto" w:line="276" w:before="0" w:after="0"/>
        <w:ind w:hanging="0" w:start="1440" w:end="0"/>
        <w:jc w:val="start"/>
        <w:rPr>
          <w:u w:val="single"/>
        </w:rPr>
      </w:pPr>
      <w:r>
        <w:rPr>
          <w:u w:val="single"/>
        </w:rPr>
        <w:t>The purpose of dot11ProtectedTSF is to enable the use of protection for the TSF in Beacon frames when BIPN is in use."</w:t>
      </w:r>
    </w:p>
    <w:p>
      <w:pPr>
        <w:pStyle w:val="BodyText"/>
        <w:rPr>
          <w:u w:val="single"/>
        </w:rPr>
      </w:pPr>
      <w:r>
        <w:rPr>
          <w:u w:val="single"/>
        </w:rPr>
        <w:tab/>
        <w:t>DEFVAL { false }</w:t>
      </w:r>
    </w:p>
    <w:p>
      <w:pPr>
        <w:pStyle w:val="BodyText"/>
        <w:rPr>
          <w:u w:val="single"/>
        </w:rPr>
      </w:pPr>
      <w:r>
        <w:rPr>
          <w:u w:val="single"/>
        </w:rPr>
        <w:t>::= { dot11StationConfigEntry &lt;ANA&gt; }</w:t>
      </w:r>
      <w:r>
        <w:br w:type="page"/>
      </w:r>
    </w:p>
    <w:p>
      <w:pPr>
        <w:pStyle w:val="Normal"/>
        <w:spacing w:before="0" w:after="0"/>
        <w:rPr>
          <w:b/>
          <w:sz w:val="24"/>
        </w:rPr>
      </w:pPr>
      <w:r>
        <w:rPr>
          <w:b/>
          <w:sz w:val="24"/>
        </w:rPr>
        <w:t>References:</w:t>
      </w:r>
    </w:p>
    <w:p>
      <w:pPr>
        <w:pStyle w:val="Normal"/>
        <w:rPr/>
      </w:pPr>
      <w:r>
        <w:rPr/>
      </w:r>
    </w:p>
    <w:p>
      <w:pPr>
        <w:pStyle w:val="Normal"/>
        <w:rPr/>
      </w:pPr>
      <w:hyperlink r:id="rId2">
        <w:r>
          <w:rPr>
            <w:rStyle w:val="Hyperlink"/>
          </w:rPr>
          <w:t>Draft P802.11REVme_D7.0.pdf</w:t>
        </w:r>
      </w:hyperlink>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080" w:right="1080" w:gutter="0" w:header="432" w:top="1080" w:footer="432" w:bottom="108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Henry Ptasinski" w:date="2024-12-17T13:48:23Z" w:initials="HP">
    <w:p>
      <w:pPr>
        <w:overflowPunct w:val="true"/>
        <w:rPr/>
      </w:pPr>
      <w:r>
        <w:rPr>
          <w:rFonts w:ascii="Liberation Serif" w:hAnsi="Liberation Serif" w:eastAsia="DejaVu Sans" w:cs="Noto Sans Arabic UI"/>
          <w:b w:val="false"/>
          <w:bCs w:val="false"/>
          <w:i w:val="false"/>
          <w:iCs w:val="false"/>
          <w:caps w:val="false"/>
          <w:smallCaps w:val="false"/>
          <w:strike w:val="false"/>
          <w:dstrike w:val="false"/>
          <w:outline w:val="false"/>
          <w:shadow w:val="false"/>
          <w:emboss w:val="false"/>
          <w:imprint w:val="false"/>
          <w:spacing w:val="0"/>
          <w:w w:val="100"/>
          <w:position w:val="0"/>
          <w:sz w:val="16"/>
          <w:sz w:val="16"/>
          <w:szCs w:val="24"/>
          <w:u w:val="none"/>
          <w:shd w:fill="auto" w:val="clear"/>
          <w:vertAlign w:val="baseline"/>
          <w:em w:val="none"/>
          <w:lang w:val="en-US" w:eastAsia="en-US" w:bidi="en-US"/>
        </w:rPr>
        <w:t xml:space="preserve">This was added around REVmc-D4.3 (definitely sometime after REVmc-D4.0), in response to CID 6564 </w:t>
      </w:r>
    </w:p>
    <w:p>
      <w:pPr>
        <w:overflowPunct w:val="true"/>
        <w:rPr/>
      </w:pPr>
      <w:r>
        <w:rPr>
          <w:rFonts w:ascii="Liberation Serif" w:hAnsi="Liberation Serif" w:eastAsia="DejaVu Sans" w:cs="Noto Sans Arabic UI"/>
          <w:b w:val="false"/>
          <w:bCs w:val="false"/>
          <w:i w:val="false"/>
          <w:iCs w:val="false"/>
          <w:caps w:val="false"/>
          <w:smallCaps w:val="false"/>
          <w:strike w:val="false"/>
          <w:dstrike w:val="false"/>
          <w:outline w:val="false"/>
          <w:shadow w:val="false"/>
          <w:emboss w:val="false"/>
          <w:imprint w:val="false"/>
          <w:spacing w:val="0"/>
          <w:w w:val="100"/>
          <w:position w:val="0"/>
          <w:sz w:val="16"/>
          <w:sz w:val="16"/>
          <w:szCs w:val="24"/>
          <w:u w:val="none"/>
          <w:shd w:fill="auto" w:val="clear"/>
          <w:vertAlign w:val="baseline"/>
          <w:em w:val="none"/>
          <w:lang w:val="en-US" w:eastAsia="en-US" w:bidi="en-US"/>
        </w:rPr>
        <w:t>regarding the meaning of “sequential” in regards to checking PN values, via doc 11-15/1132r2. This text was not present in 11-15/1132r1. No explanation was provided in the doc, and there doesn’t appear to be any cryptographic requirement to start at 1.</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Noto Sans Devanagari">
    <w:charset w:val="01" w:characterSet="utf-8"/>
    <w:family w:val="roman"/>
    <w:pitch w:val="variable"/>
  </w:font>
  <w:font w:name="Noto Sans">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5</w:t>
    </w:r>
    <w:r>
      <w:rPr/>
      <w:fldChar w:fldCharType="end"/>
    </w:r>
    <w:r>
      <w:rPr/>
      <w:tab/>
    </w:r>
    <w:r>
      <w:rPr/>
      <w:fldChar w:fldCharType="begin"/>
    </w:r>
    <w:r>
      <w:rPr/>
      <w:instrText xml:space="preserve"> COMMENTS </w:instrText>
    </w:r>
    <w:r>
      <w:rPr/>
      <w:fldChar w:fldCharType="separate"/>
    </w:r>
    <w:r>
      <w:rPr/>
      <w:t>Henry Ptasinski, Element78 Communications LLC</w:t>
    </w:r>
    <w:r>
      <w:rP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5</w:t>
    </w:r>
    <w:r>
      <w:rPr/>
      <w:fldChar w:fldCharType="end"/>
    </w:r>
    <w:r>
      <w:rPr/>
      <w:tab/>
    </w:r>
    <w:r>
      <w:rPr/>
      <w:fldChar w:fldCharType="begin"/>
    </w:r>
    <w:r>
      <w:rPr/>
      <w:instrText xml:space="preserve"> COMMENTS </w:instrText>
    </w:r>
    <w:r>
      <w:rPr/>
      <w:fldChar w:fldCharType="separate"/>
    </w:r>
    <w:r>
      <w:rPr/>
      <w:t>Henry Ptasinski, Element78 Communications LLC</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December, 2024</w:t>
    </w:r>
    <w:r>
      <w:rPr/>
      <w:fldChar w:fldCharType="end"/>
    </w:r>
    <w:r>
      <w:rPr/>
      <w:tab/>
      <w:tab/>
    </w:r>
    <w:r>
      <w:rPr/>
      <w:fldChar w:fldCharType="begin"/>
    </w:r>
    <w:r>
      <w:rPr/>
      <w:instrText xml:space="preserve"> TITLE </w:instrText>
    </w:r>
    <w:r>
      <w:rPr/>
      <w:fldChar w:fldCharType="separate"/>
    </w:r>
    <w:r>
      <w:rPr/>
      <w:t>doc.: IEEE 802.11-24/1919r2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December, 2024</w:t>
    </w:r>
    <w:r>
      <w:rPr/>
      <w:fldChar w:fldCharType="end"/>
    </w:r>
    <w:r>
      <w:rPr/>
      <w:tab/>
      <w:tab/>
    </w:r>
    <w:r>
      <w:rPr/>
      <w:fldChar w:fldCharType="begin"/>
    </w:r>
    <w:r>
      <w:rPr/>
      <w:instrText xml:space="preserve"> TITLE </w:instrText>
    </w:r>
    <w:r>
      <w:rPr/>
      <w:fldChar w:fldCharType="separate"/>
    </w:r>
    <w:r>
      <w:rPr/>
      <w:t>doc.: IEEE 802.11-24/1919r2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30"/>
  <w:mirrorMargins/>
  <w:defaultTabStop w:val="720"/>
  <w:autoHyphenation w:val="true"/>
  <w:doNotHyphenateCaps/>
  <w:compat>
    <w:doNotBreakWrappedTable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DefaultDrawingStyle">
    <w:name w:val="Default Drawing Style"/>
    <w:qFormat/>
    <w:pPr>
      <w:widowControl w:val="false"/>
      <w:suppressAutoHyphens w:val="true"/>
      <w:overflowPunct w:val="false"/>
      <w:bidi w:val="0"/>
      <w:spacing w:lineRule="atLeast" w:line="200" w:before="0"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36"/>
      <w:szCs w:val="24"/>
      <w:u w:val="none"/>
      <w:em w:val="none"/>
      <w:lang w:val="en-US" w:eastAsia="en-US" w:bidi="ar-SA"/>
    </w:rPr>
  </w:style>
  <w:style w:type="paragraph" w:styleId="Objectwithoutfill">
    <w:name w:val="Object without fill"/>
    <w:basedOn w:val="DefaultDrawingStyle"/>
    <w:qFormat/>
    <w:pPr>
      <w:spacing w:lineRule="atLeast" w:line="200" w:before="0" w:after="0"/>
    </w:pPr>
    <w:rPr>
      <w:rFonts w:ascii="Noto Sans Devanagari" w:hAnsi="Noto Sans Devanagari"/>
      <w:b w:val="false"/>
      <w:i w:val="false"/>
      <w:caps w:val="false"/>
      <w:smallCaps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Noto Sans Devanagari" w:hAnsi="Noto Sans Devanagari"/>
      <w:b w:val="false"/>
      <w:i w:val="false"/>
      <w:caps w:val="false"/>
      <w:smallCaps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val="false"/>
      <w:suppressAutoHyphens w:val="true"/>
      <w:overflowPunct w:val="false"/>
      <w:bidi w:val="0"/>
      <w:spacing w:before="0" w:after="0"/>
      <w:jc w:val="start"/>
    </w:pPr>
    <w:rPr>
      <w:rFonts w:ascii="Liberation Sans" w:hAnsi="Liberation Sans" w:eastAsia="Noto Sans" w:cs="Times New Roman"/>
      <w:color w:val="auto"/>
      <w:kern w:val="0"/>
      <w:sz w:val="36"/>
      <w:szCs w:val="24"/>
      <w:lang w:val="en-US" w:eastAsia="en-US"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Title2ContentoverContentLTGliederung1">
    <w:name w:val="Title, 2 Content over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overContentLTGliederung2">
    <w:name w:val="Title, 2 Content over Content~LT~Gliederung 2"/>
    <w:basedOn w:val="Title2Contentover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overContentLTGliederung3">
    <w:name w:val="Title, 2 Content over Content~LT~Gliederung 3"/>
    <w:basedOn w:val="Title2Contentover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overContentLTGliederung4">
    <w:name w:val="Title, 2 Content over Content~LT~Gliederung 4"/>
    <w:basedOn w:val="Title2Contentover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5">
    <w:name w:val="Title, 2 Content over Content~LT~Gliederung 5"/>
    <w:basedOn w:val="Title2Contentover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6">
    <w:name w:val="Title, 2 Content over Content~LT~Gliederung 6"/>
    <w:basedOn w:val="Title2Contentover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7">
    <w:name w:val="Title, 2 Content over Content~LT~Gliederung 7"/>
    <w:basedOn w:val="Title2Contentover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8">
    <w:name w:val="Title, 2 Content over Content~LT~Gliederung 8"/>
    <w:basedOn w:val="Title2Contentover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9">
    <w:name w:val="Title, 2 Content over Content~LT~Gliederung 9"/>
    <w:basedOn w:val="Title2Contentover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Titel">
    <w:name w:val="Title, 2 Content over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overContentLTUntertitel">
    <w:name w:val="Title, 2 Content over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overContentLTNotizen">
    <w:name w:val="Title, 2 Content over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overContentLTHintergrundobjekte">
    <w:name w:val="Title, 2 Content over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overContentLTHintergrund">
    <w:name w:val="Title, 2 Content over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
    <w:name w:val="default"/>
    <w:qFormat/>
    <w:pPr>
      <w:widowControl w:val="false"/>
      <w:suppressAutoHyphens w:val="true"/>
      <w:overflowPunct w:val="false"/>
      <w:bidi w:val="0"/>
      <w:spacing w:before="0" w:after="0"/>
      <w:jc w:val="start"/>
    </w:pPr>
    <w:rPr>
      <w:rFonts w:ascii="Noto Sans Devanagari" w:hAnsi="Noto Sans Devanagari" w:eastAsia="Noto Sans" w:cs="Times New Roman"/>
      <w:color w:val="auto"/>
      <w:kern w:val="2"/>
      <w:sz w:val="36"/>
      <w:szCs w:val="24"/>
      <w:lang w:val="en-US" w:eastAsia="en-US" w:bidi="ar-SA"/>
    </w:rPr>
  </w:style>
  <w:style w:type="paragraph" w:styleId="bg-none">
    <w:name w:val="bg-none"/>
    <w:basedOn w:val="default"/>
    <w:qFormat/>
    <w:pPr/>
    <w:rPr>
      <w:rFonts w:ascii="Noto Sans Devanagari" w:hAnsi="Noto Sans Devanagari"/>
      <w:color w:val="auto"/>
      <w:kern w:val="2"/>
      <w:sz w:val="36"/>
    </w:rPr>
  </w:style>
  <w:style w:type="paragraph" w:styleId="gray">
    <w:name w:val="gray"/>
    <w:basedOn w:val="default"/>
    <w:qFormat/>
    <w:pPr/>
    <w:rPr>
      <w:rFonts w:ascii="Noto Sans Devanagari" w:hAnsi="Noto Sans Devanagari"/>
      <w:color w:val="auto"/>
      <w:kern w:val="2"/>
      <w:sz w:val="36"/>
    </w:rPr>
  </w:style>
  <w:style w:type="paragraph" w:styleId="dark-gray">
    <w:name w:val="dark-gray"/>
    <w:basedOn w:val="default"/>
    <w:qFormat/>
    <w:pPr/>
    <w:rPr>
      <w:rFonts w:ascii="Noto Sans Devanagari" w:hAnsi="Noto Sans Devanagari"/>
      <w:color w:val="auto"/>
      <w:kern w:val="2"/>
      <w:sz w:val="36"/>
    </w:rPr>
  </w:style>
  <w:style w:type="paragraph" w:styleId="black">
    <w:name w:val="black"/>
    <w:basedOn w:val="default"/>
    <w:qFormat/>
    <w:pPr/>
    <w:rPr>
      <w:rFonts w:ascii="Noto Sans Devanagari" w:hAnsi="Noto Sans Devanagari"/>
      <w:color w:val="FFFFFF"/>
      <w:kern w:val="2"/>
      <w:sz w:val="36"/>
    </w:rPr>
  </w:style>
  <w:style w:type="paragraph" w:styleId="black-with-border">
    <w:name w:val="black-with-border"/>
    <w:basedOn w:val="default"/>
    <w:qFormat/>
    <w:pPr/>
    <w:rPr>
      <w:rFonts w:ascii="Noto Sans Devanagari" w:hAnsi="Noto Sans Devanagari"/>
      <w:color w:val="FFFFFF"/>
      <w:kern w:val="2"/>
      <w:sz w:val="36"/>
    </w:rPr>
  </w:style>
  <w:style w:type="paragraph" w:styleId="gray-with-border">
    <w:name w:val="gray-with-border"/>
    <w:basedOn w:val="default"/>
    <w:qFormat/>
    <w:pPr/>
    <w:rPr>
      <w:rFonts w:ascii="Noto Sans Devanagari" w:hAnsi="Noto Sans Devanagari"/>
      <w:color w:val="auto"/>
      <w:kern w:val="2"/>
      <w:sz w:val="36"/>
    </w:rPr>
  </w:style>
  <w:style w:type="paragraph" w:styleId="white">
    <w:name w:val="white"/>
    <w:basedOn w:val="default"/>
    <w:qFormat/>
    <w:pPr/>
    <w:rPr>
      <w:rFonts w:ascii="Noto Sans Devanagari" w:hAnsi="Noto Sans Devanagari"/>
      <w:color w:val="auto"/>
      <w:kern w:val="2"/>
      <w:sz w:val="36"/>
    </w:rPr>
  </w:style>
  <w:style w:type="paragraph" w:styleId="white-with-border">
    <w:name w:val="white-with-border"/>
    <w:basedOn w:val="default"/>
    <w:qFormat/>
    <w:pPr/>
    <w:rPr>
      <w:rFonts w:ascii="Noto Sans Devanagari" w:hAnsi="Noto Sans Devanagari"/>
      <w:color w:val="auto"/>
      <w:kern w:val="2"/>
      <w:sz w:val="36"/>
    </w:rPr>
  </w:style>
  <w:style w:type="paragraph" w:styleId="blue-title">
    <w:name w:val="blue-title"/>
    <w:basedOn w:val="default"/>
    <w:qFormat/>
    <w:pPr/>
    <w:rPr>
      <w:rFonts w:ascii="Noto Sans Devanagari" w:hAnsi="Noto Sans Devanagari"/>
      <w:color w:val="FFFFFF"/>
      <w:kern w:val="2"/>
      <w:sz w:val="36"/>
    </w:rPr>
  </w:style>
  <w:style w:type="paragraph" w:styleId="blue-title-with-border">
    <w:name w:val="blue-title-with-border"/>
    <w:basedOn w:val="default"/>
    <w:qFormat/>
    <w:pPr/>
    <w:rPr>
      <w:rFonts w:ascii="Noto Sans Devanagari" w:hAnsi="Noto Sans Devanagari"/>
      <w:color w:val="FFFFFF"/>
      <w:kern w:val="2"/>
      <w:sz w:val="36"/>
    </w:rPr>
  </w:style>
  <w:style w:type="paragraph" w:styleId="blue-banded">
    <w:name w:val="blue-banded"/>
    <w:basedOn w:val="default"/>
    <w:qFormat/>
    <w:pPr/>
    <w:rPr>
      <w:rFonts w:ascii="Noto Sans Devanagari" w:hAnsi="Noto Sans Devanagari"/>
      <w:color w:val="auto"/>
      <w:kern w:val="2"/>
      <w:sz w:val="36"/>
    </w:rPr>
  </w:style>
  <w:style w:type="paragraph" w:styleId="blue-normal">
    <w:name w:val="blue-normal"/>
    <w:basedOn w:val="default"/>
    <w:qFormat/>
    <w:pPr/>
    <w:rPr>
      <w:rFonts w:ascii="Noto Sans Devanagari" w:hAnsi="Noto Sans Devanagari"/>
      <w:color w:val="auto"/>
      <w:kern w:val="2"/>
      <w:sz w:val="36"/>
    </w:rPr>
  </w:style>
  <w:style w:type="paragraph" w:styleId="orange-title">
    <w:name w:val="orange-title"/>
    <w:basedOn w:val="default"/>
    <w:qFormat/>
    <w:pPr/>
    <w:rPr>
      <w:rFonts w:ascii="Noto Sans Devanagari" w:hAnsi="Noto Sans Devanagari"/>
      <w:color w:val="FFFFFF"/>
      <w:kern w:val="2"/>
      <w:sz w:val="36"/>
    </w:rPr>
  </w:style>
  <w:style w:type="paragraph" w:styleId="orange-title-with-border">
    <w:name w:val="orange-title-with-border"/>
    <w:basedOn w:val="default"/>
    <w:qFormat/>
    <w:pPr/>
    <w:rPr>
      <w:rFonts w:ascii="Noto Sans Devanagari" w:hAnsi="Noto Sans Devanagari"/>
      <w:color w:val="FFFFFF"/>
      <w:kern w:val="2"/>
      <w:sz w:val="36"/>
    </w:rPr>
  </w:style>
  <w:style w:type="paragraph" w:styleId="orange-banded">
    <w:name w:val="orange-banded"/>
    <w:basedOn w:val="default"/>
    <w:qFormat/>
    <w:pPr/>
    <w:rPr>
      <w:rFonts w:ascii="Noto Sans Devanagari" w:hAnsi="Noto Sans Devanagari"/>
      <w:color w:val="auto"/>
      <w:kern w:val="2"/>
      <w:sz w:val="36"/>
    </w:rPr>
  </w:style>
  <w:style w:type="paragraph" w:styleId="orange-normal">
    <w:name w:val="orange-normal"/>
    <w:basedOn w:val="default"/>
    <w:qFormat/>
    <w:pPr/>
    <w:rPr>
      <w:rFonts w:ascii="Noto Sans Devanagari" w:hAnsi="Noto Sans Devanagari"/>
      <w:color w:val="auto"/>
      <w:kern w:val="2"/>
      <w:sz w:val="36"/>
    </w:rPr>
  </w:style>
  <w:style w:type="paragraph" w:styleId="teal-title">
    <w:name w:val="teal-title"/>
    <w:basedOn w:val="default"/>
    <w:qFormat/>
    <w:pPr/>
    <w:rPr>
      <w:rFonts w:ascii="Noto Sans Devanagari" w:hAnsi="Noto Sans Devanagari"/>
      <w:color w:val="FFFFFF"/>
      <w:kern w:val="2"/>
      <w:sz w:val="36"/>
    </w:rPr>
  </w:style>
  <w:style w:type="paragraph" w:styleId="teal-title-with-border">
    <w:name w:val="teal-title-with-border"/>
    <w:basedOn w:val="default"/>
    <w:qFormat/>
    <w:pPr/>
    <w:rPr>
      <w:rFonts w:ascii="Noto Sans Devanagari" w:hAnsi="Noto Sans Devanagari"/>
      <w:color w:val="FFFFFF"/>
      <w:kern w:val="2"/>
      <w:sz w:val="36"/>
    </w:rPr>
  </w:style>
  <w:style w:type="paragraph" w:styleId="teal-banded">
    <w:name w:val="teal-banded"/>
    <w:basedOn w:val="default"/>
    <w:qFormat/>
    <w:pPr/>
    <w:rPr>
      <w:rFonts w:ascii="Noto Sans Devanagari" w:hAnsi="Noto Sans Devanagari"/>
      <w:color w:val="auto"/>
      <w:kern w:val="2"/>
      <w:sz w:val="36"/>
    </w:rPr>
  </w:style>
  <w:style w:type="paragraph" w:styleId="teal-normal">
    <w:name w:val="teal-normal"/>
    <w:basedOn w:val="default"/>
    <w:qFormat/>
    <w:pPr/>
    <w:rPr>
      <w:rFonts w:ascii="Noto Sans Devanagari" w:hAnsi="Noto Sans Devanagari"/>
      <w:color w:val="auto"/>
      <w:kern w:val="2"/>
      <w:sz w:val="36"/>
    </w:rPr>
  </w:style>
  <w:style w:type="paragraph" w:styleId="magenta-title">
    <w:name w:val="magenta-title"/>
    <w:basedOn w:val="default"/>
    <w:qFormat/>
    <w:pPr/>
    <w:rPr>
      <w:rFonts w:ascii="Noto Sans Devanagari" w:hAnsi="Noto Sans Devanagari"/>
      <w:color w:val="FFFFFF"/>
      <w:kern w:val="2"/>
      <w:sz w:val="36"/>
    </w:rPr>
  </w:style>
  <w:style w:type="paragraph" w:styleId="magenta-title-with-border">
    <w:name w:val="magenta-title-with-border"/>
    <w:basedOn w:val="default"/>
    <w:qFormat/>
    <w:pPr/>
    <w:rPr>
      <w:rFonts w:ascii="Noto Sans Devanagari" w:hAnsi="Noto Sans Devanagari"/>
      <w:color w:val="FFFFFF"/>
      <w:kern w:val="2"/>
      <w:sz w:val="36"/>
    </w:rPr>
  </w:style>
  <w:style w:type="paragraph" w:styleId="magenta-banded">
    <w:name w:val="magenta-banded"/>
    <w:basedOn w:val="default"/>
    <w:qFormat/>
    <w:pPr/>
    <w:rPr>
      <w:rFonts w:ascii="Noto Sans Devanagari" w:hAnsi="Noto Sans Devanagari"/>
      <w:color w:val="auto"/>
      <w:kern w:val="2"/>
      <w:sz w:val="36"/>
    </w:rPr>
  </w:style>
  <w:style w:type="paragraph" w:styleId="magenta-normal">
    <w:name w:val="magenta-normal"/>
    <w:basedOn w:val="default"/>
    <w:qFormat/>
    <w:pPr/>
    <w:rPr>
      <w:rFonts w:ascii="Noto Sans Devanagari" w:hAnsi="Noto Sans Devanagari"/>
      <w:color w:val="auto"/>
      <w:kern w:val="2"/>
      <w:sz w:val="36"/>
    </w:rPr>
  </w:style>
  <w:style w:type="paragraph" w:styleId="Backgroundobjects">
    <w:name w:val="Background objects"/>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ackground">
    <w:name w:val="Backgro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Notes">
    <w:name w:val="Notes"/>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Outline2">
    <w:name w:val="Outline 2"/>
    <w:basedOn w:val="Outline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1">
    <w:name w:val="Title, Content over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overContentLTGliederung2">
    <w:name w:val="Title, Content over Content~LT~Gliederung 2"/>
    <w:basedOn w:val="TitleContentover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overContentLTGliederung3">
    <w:name w:val="Title, Content over Content~LT~Gliederung 3"/>
    <w:basedOn w:val="TitleContentover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overContentLTGliederung4">
    <w:name w:val="Title, Content over Content~LT~Gliederung 4"/>
    <w:basedOn w:val="TitleContentover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5">
    <w:name w:val="Title, Content over Content~LT~Gliederung 5"/>
    <w:basedOn w:val="TitleContentover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6">
    <w:name w:val="Title, Content over Content~LT~Gliederung 6"/>
    <w:basedOn w:val="TitleContentover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7">
    <w:name w:val="Title, Content over Content~LT~Gliederung 7"/>
    <w:basedOn w:val="TitleContentover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8">
    <w:name w:val="Title, Content over Content~LT~Gliederung 8"/>
    <w:basedOn w:val="TitleContentover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9">
    <w:name w:val="Title, Content over Content~LT~Gliederung 9"/>
    <w:basedOn w:val="TitleContentover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Titel">
    <w:name w:val="Title, Content over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overContentLTUntertitel">
    <w:name w:val="Title, Content over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overContentLTNotizen">
    <w:name w:val="Title, Content over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overContentLTHintergrundobjekte">
    <w:name w:val="Title, Content over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overContentLTHintergrund">
    <w:name w:val="Title, Content over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4ContentLTGliederung1">
    <w:name w:val="Title, 4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4ContentLTGliederung2">
    <w:name w:val="Title, 4 Content~LT~Gliederung 2"/>
    <w:basedOn w:val="Title4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4ContentLTGliederung3">
    <w:name w:val="Title, 4 Content~LT~Gliederung 3"/>
    <w:basedOn w:val="Title4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4ContentLTGliederung4">
    <w:name w:val="Title, 4 Content~LT~Gliederung 4"/>
    <w:basedOn w:val="Title4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5">
    <w:name w:val="Title, 4 Content~LT~Gliederung 5"/>
    <w:basedOn w:val="Title4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6">
    <w:name w:val="Title, 4 Content~LT~Gliederung 6"/>
    <w:basedOn w:val="Title4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7">
    <w:name w:val="Title, 4 Content~LT~Gliederung 7"/>
    <w:basedOn w:val="Title4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8">
    <w:name w:val="Title, 4 Content~LT~Gliederung 8"/>
    <w:basedOn w:val="Title4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9">
    <w:name w:val="Title, 4 Content~LT~Gliederung 9"/>
    <w:basedOn w:val="Title4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Titel">
    <w:name w:val="Title, 4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4ContentLTUntertitel">
    <w:name w:val="Title, 4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4ContentLTNotizen">
    <w:name w:val="Title, 4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4ContentLTHintergrundobjekte">
    <w:name w:val="Title, 4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4ContentLTHintergrund">
    <w:name w:val="Title, 4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6ContentLTGliederung1">
    <w:name w:val="Title, 6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6ContentLTGliederung2">
    <w:name w:val="Title, 6 Content~LT~Gliederung 2"/>
    <w:basedOn w:val="Title6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6ContentLTGliederung3">
    <w:name w:val="Title, 6 Content~LT~Gliederung 3"/>
    <w:basedOn w:val="Title6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6ContentLTGliederung4">
    <w:name w:val="Title, 6 Content~LT~Gliederung 4"/>
    <w:basedOn w:val="Title6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5">
    <w:name w:val="Title, 6 Content~LT~Gliederung 5"/>
    <w:basedOn w:val="Title6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6">
    <w:name w:val="Title, 6 Content~LT~Gliederung 6"/>
    <w:basedOn w:val="Title6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7">
    <w:name w:val="Title, 6 Content~LT~Gliederung 7"/>
    <w:basedOn w:val="Title6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8">
    <w:name w:val="Title, 6 Content~LT~Gliederung 8"/>
    <w:basedOn w:val="Title6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9">
    <w:name w:val="Title, 6 Content~LT~Gliederung 9"/>
    <w:basedOn w:val="Title6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Titel">
    <w:name w:val="Title, 6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6ContentLTUntertitel">
    <w:name w:val="Title, 6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6ContentLTNotizen">
    <w:name w:val="Title, 6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6ContentLTHintergrundobjekte">
    <w:name w:val="Title, 6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6ContentLTHintergrund">
    <w:name w:val="Title, 6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lankSlideLTGliederung1">
    <w:name w:val="Blank Slide~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BlankSlideLTGliederung2">
    <w:name w:val="Blank Slide~LT~Gliederung 2"/>
    <w:basedOn w:val="BlankSlide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BlankSlideLTUntertitel">
    <w:name w:val="Blank Slide~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BlankSlideLTNotizen">
    <w:name w:val="Blank Slide~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BlankSlideLTHintergrundobjekte">
    <w:name w:val="Blank Slide~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lankSlideLTHintergrund">
    <w:name w:val="Blank Slide~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SlideLTGliederung1">
    <w:name w:val="Title Slide~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SlideLTGliederung2">
    <w:name w:val="Title Slide~LT~Gliederung 2"/>
    <w:basedOn w:val="TitleSlide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SlideLTGliederung3">
    <w:name w:val="Title Slide~LT~Gliederung 3"/>
    <w:basedOn w:val="TitleSlide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SlideLTGliederung4">
    <w:name w:val="Title Slide~LT~Gliederung 4"/>
    <w:basedOn w:val="TitleSlide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5">
    <w:name w:val="Title Slide~LT~Gliederung 5"/>
    <w:basedOn w:val="TitleSlide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6">
    <w:name w:val="Title Slide~LT~Gliederung 6"/>
    <w:basedOn w:val="TitleSlide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7">
    <w:name w:val="Title Slide~LT~Gliederung 7"/>
    <w:basedOn w:val="TitleSlide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8">
    <w:name w:val="Title Slide~LT~Gliederung 8"/>
    <w:basedOn w:val="TitleSlide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9">
    <w:name w:val="Title Slide~LT~Gliederung 9"/>
    <w:basedOn w:val="TitleSlide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Titel">
    <w:name w:val="Title Slide~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SlideLTUntertitel">
    <w:name w:val="Title Slide~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SlideLTNotizen">
    <w:name w:val="Title Slide~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SlideLTHintergrundobjekte">
    <w:name w:val="Title Slide~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SlideLTHintergrund">
    <w:name w:val="Title Slide~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LTGliederung1">
    <w:name w:val="Title,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LTGliederung2">
    <w:name w:val="Title, Content~LT~Gliederung 2"/>
    <w:basedOn w:val="Title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LTGliederung3">
    <w:name w:val="Title, Content~LT~Gliederung 3"/>
    <w:basedOn w:val="Title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LTGliederung4">
    <w:name w:val="Title, Content~LT~Gliederung 4"/>
    <w:basedOn w:val="Title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5">
    <w:name w:val="Title, Content~LT~Gliederung 5"/>
    <w:basedOn w:val="Title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6">
    <w:name w:val="Title, Content~LT~Gliederung 6"/>
    <w:basedOn w:val="Title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7">
    <w:name w:val="Title, Content~LT~Gliederung 7"/>
    <w:basedOn w:val="Title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8">
    <w:name w:val="Title, Content~LT~Gliederung 8"/>
    <w:basedOn w:val="Title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9">
    <w:name w:val="Title, Content~LT~Gliederung 9"/>
    <w:basedOn w:val="Title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Titel">
    <w:name w:val="Title,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LTUntertitel">
    <w:name w:val="Title,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LTNotizen">
    <w:name w:val="Title,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LTHintergrundobjekte">
    <w:name w:val="Title,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LTHintergrund">
    <w:name w:val="Title,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LTGliederung1">
    <w:name w:val="Title, 2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LTGliederung2">
    <w:name w:val="Title, 2 Content~LT~Gliederung 2"/>
    <w:basedOn w:val="Title2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LTGliederung3">
    <w:name w:val="Title, 2 Content~LT~Gliederung 3"/>
    <w:basedOn w:val="Title2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LTGliederung4">
    <w:name w:val="Title, 2 Content~LT~Gliederung 4"/>
    <w:basedOn w:val="Title2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5">
    <w:name w:val="Title, 2 Content~LT~Gliederung 5"/>
    <w:basedOn w:val="Title2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6">
    <w:name w:val="Title, 2 Content~LT~Gliederung 6"/>
    <w:basedOn w:val="Title2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7">
    <w:name w:val="Title, 2 Content~LT~Gliederung 7"/>
    <w:basedOn w:val="Title2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8">
    <w:name w:val="Title, 2 Content~LT~Gliederung 8"/>
    <w:basedOn w:val="Title2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9">
    <w:name w:val="Title, 2 Content~LT~Gliederung 9"/>
    <w:basedOn w:val="Title2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Titel">
    <w:name w:val="Title, 2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LTUntertitel">
    <w:name w:val="Title, 2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LTNotizen">
    <w:name w:val="Title, 2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LTHintergrundobjekte">
    <w:name w:val="Title, 2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LTHintergrund">
    <w:name w:val="Title, 2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OnlyLTGliederung1">
    <w:name w:val="Title Only~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OnlyLTGliederung2">
    <w:name w:val="Title Only~LT~Gliederung 2"/>
    <w:basedOn w:val="TitleOnly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OnlyLTGliederung3">
    <w:name w:val="Title Only~LT~Gliederung 3"/>
    <w:basedOn w:val="TitleOnly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OnlyLTGliederung4">
    <w:name w:val="Title Only~LT~Gliederung 4"/>
    <w:basedOn w:val="TitleOnly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5">
    <w:name w:val="Title Only~LT~Gliederung 5"/>
    <w:basedOn w:val="TitleOnly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6">
    <w:name w:val="Title Only~LT~Gliederung 6"/>
    <w:basedOn w:val="TitleOnly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7">
    <w:name w:val="Title Only~LT~Gliederung 7"/>
    <w:basedOn w:val="TitleOnly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8">
    <w:name w:val="Title Only~LT~Gliederung 8"/>
    <w:basedOn w:val="TitleOnly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9">
    <w:name w:val="Title Only~LT~Gliederung 9"/>
    <w:basedOn w:val="TitleOnly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Titel">
    <w:name w:val="Title Only~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OnlyLTUntertitel">
    <w:name w:val="Title Only~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OnlyLTNotizen">
    <w:name w:val="Title Only~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OnlyLTHintergrundobjekte">
    <w:name w:val="Title Only~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OnlyLTHintergrund">
    <w:name w:val="Title Only~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CenteredTextLTGliederung1">
    <w:name w:val="Centered Tex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CenteredTextLTGliederung2">
    <w:name w:val="Centered Text~LT~Gliederung 2"/>
    <w:basedOn w:val="CenteredTex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CenteredTextLTGliederung3">
    <w:name w:val="Centered Text~LT~Gliederung 3"/>
    <w:basedOn w:val="CenteredTex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CenteredTextLTGliederung4">
    <w:name w:val="Centered Text~LT~Gliederung 4"/>
    <w:basedOn w:val="CenteredTex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5">
    <w:name w:val="Centered Text~LT~Gliederung 5"/>
    <w:basedOn w:val="CenteredTex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6">
    <w:name w:val="Centered Text~LT~Gliederung 6"/>
    <w:basedOn w:val="CenteredTex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7">
    <w:name w:val="Centered Text~LT~Gliederung 7"/>
    <w:basedOn w:val="CenteredTex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8">
    <w:name w:val="Centered Text~LT~Gliederung 8"/>
    <w:basedOn w:val="CenteredTex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9">
    <w:name w:val="Centered Text~LT~Gliederung 9"/>
    <w:basedOn w:val="CenteredTex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Titel">
    <w:name w:val="Centered Tex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CenteredTextLTUntertitel">
    <w:name w:val="Centered Tex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CenteredTextLTNotizen">
    <w:name w:val="Centered Tex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CenteredTextLTHintergrundobjekte">
    <w:name w:val="Centered Tex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CenteredTextLTHintergrund">
    <w:name w:val="Centered Tex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andContentLTGliederung1">
    <w:name w:val="Title, 2 Content and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andContentLTGliederung2">
    <w:name w:val="Title, 2 Content and Content~LT~Gliederung 2"/>
    <w:basedOn w:val="Title2Contentand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andContentLTGliederung3">
    <w:name w:val="Title, 2 Content and Content~LT~Gliederung 3"/>
    <w:basedOn w:val="Title2Contentand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andContentLTGliederung4">
    <w:name w:val="Title, 2 Content and Content~LT~Gliederung 4"/>
    <w:basedOn w:val="Title2Contentand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5">
    <w:name w:val="Title, 2 Content and Content~LT~Gliederung 5"/>
    <w:basedOn w:val="Title2Contentand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6">
    <w:name w:val="Title, 2 Content and Content~LT~Gliederung 6"/>
    <w:basedOn w:val="Title2Contentand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7">
    <w:name w:val="Title, 2 Content and Content~LT~Gliederung 7"/>
    <w:basedOn w:val="Title2Contentand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8">
    <w:name w:val="Title, 2 Content and Content~LT~Gliederung 8"/>
    <w:basedOn w:val="Title2Contentand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9">
    <w:name w:val="Title, 2 Content and Content~LT~Gliederung 9"/>
    <w:basedOn w:val="Title2Contentand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Titel">
    <w:name w:val="Title, 2 Content and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andContentLTUntertitel">
    <w:name w:val="Title, 2 Content and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andContentLTNotizen">
    <w:name w:val="Title, 2 Content and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andContentLTHintergrundobjekte">
    <w:name w:val="Title, 2 Content and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andContentLTHintergrund">
    <w:name w:val="Title, 2 Content and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and2ContentLTGliederung1">
    <w:name w:val="Title Content and 2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and2ContentLTGliederung2">
    <w:name w:val="Title Content and 2 Content~LT~Gliederung 2"/>
    <w:basedOn w:val="TitleContentand2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and2ContentLTGliederung3">
    <w:name w:val="Title Content and 2 Content~LT~Gliederung 3"/>
    <w:basedOn w:val="TitleContentand2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and2ContentLTGliederung4">
    <w:name w:val="Title Content and 2 Content~LT~Gliederung 4"/>
    <w:basedOn w:val="TitleContentand2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5">
    <w:name w:val="Title Content and 2 Content~LT~Gliederung 5"/>
    <w:basedOn w:val="TitleContentand2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6">
    <w:name w:val="Title Content and 2 Content~LT~Gliederung 6"/>
    <w:basedOn w:val="TitleContentand2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7">
    <w:name w:val="Title Content and 2 Content~LT~Gliederung 7"/>
    <w:basedOn w:val="TitleContentand2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8">
    <w:name w:val="Title Content and 2 Content~LT~Gliederung 8"/>
    <w:basedOn w:val="TitleContentand2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9">
    <w:name w:val="Title Content and 2 Content~LT~Gliederung 9"/>
    <w:basedOn w:val="TitleContentand2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Titel">
    <w:name w:val="Title Content and 2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and2ContentLTUntertitel">
    <w:name w:val="Title Content and 2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and2ContentLTNotizen">
    <w:name w:val="Title Content and 2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and2ContentLTHintergrundobjekte">
    <w:name w:val="Title Content and 2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and2ContentLTHintergrund">
    <w:name w:val="Title Content and 2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LTGliederung1">
    <w:name w:val="Defaul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LTGliederung2">
    <w:name w:val="Default~LT~Gliederung 2"/>
    <w:basedOn w:val="Defaul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Titel">
    <w:name w:val="Defaul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LTUntertitel">
    <w:name w:val="Defaul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LTNotizen">
    <w:name w:val="Defaul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LTHintergrundobjekte">
    <w:name w:val="Defaul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LTHintergrund">
    <w:name w:val="Defaul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LTGliederung1">
    <w:name w:val="Default 1~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LTGliederung2">
    <w:name w:val="Default 1~LT~Gliederung 2"/>
    <w:basedOn w:val="Default1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LTGliederung3">
    <w:name w:val="Default 1~LT~Gliederung 3"/>
    <w:basedOn w:val="Default1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LTGliederung4">
    <w:name w:val="Default 1~LT~Gliederung 4"/>
    <w:basedOn w:val="Default1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5">
    <w:name w:val="Default 1~LT~Gliederung 5"/>
    <w:basedOn w:val="Default1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6">
    <w:name w:val="Default 1~LT~Gliederung 6"/>
    <w:basedOn w:val="Default1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7">
    <w:name w:val="Default 1~LT~Gliederung 7"/>
    <w:basedOn w:val="Default1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8">
    <w:name w:val="Default 1~LT~Gliederung 8"/>
    <w:basedOn w:val="Default1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9">
    <w:name w:val="Default 1~LT~Gliederung 9"/>
    <w:basedOn w:val="Default1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Titel">
    <w:name w:val="Default 1~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LTUntertitel">
    <w:name w:val="Default 1~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LTNotizen">
    <w:name w:val="Default 1~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LTHintergrundobjekte">
    <w:name w:val="Default 1~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LTHintergrund">
    <w:name w:val="Default 1~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2LTGliederung1">
    <w:name w:val="Default 2~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2LTGliederung2">
    <w:name w:val="Default 2~LT~Gliederung 2"/>
    <w:basedOn w:val="Default2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2LTGliederung3">
    <w:name w:val="Default 2~LT~Gliederung 3"/>
    <w:basedOn w:val="Default2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2LTGliederung4">
    <w:name w:val="Default 2~LT~Gliederung 4"/>
    <w:basedOn w:val="Default2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5">
    <w:name w:val="Default 2~LT~Gliederung 5"/>
    <w:basedOn w:val="Default2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6">
    <w:name w:val="Default 2~LT~Gliederung 6"/>
    <w:basedOn w:val="Default2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7">
    <w:name w:val="Default 2~LT~Gliederung 7"/>
    <w:basedOn w:val="Default2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8">
    <w:name w:val="Default 2~LT~Gliederung 8"/>
    <w:basedOn w:val="Default2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9">
    <w:name w:val="Default 2~LT~Gliederung 9"/>
    <w:basedOn w:val="Default2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Titel">
    <w:name w:val="Default 2~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2LTUntertitel">
    <w:name w:val="Default 2~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2LTNotizen">
    <w:name w:val="Default 2~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2LTHintergrundobjekte">
    <w:name w:val="Default 2~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2LTHintergrund">
    <w:name w:val="Default 2~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3LTGliederung1">
    <w:name w:val="Default 3~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3LTGliederung2">
    <w:name w:val="Default 3~LT~Gliederung 2"/>
    <w:basedOn w:val="Default3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3LTGliederung3">
    <w:name w:val="Default 3~LT~Gliederung 3"/>
    <w:basedOn w:val="Default3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3LTGliederung4">
    <w:name w:val="Default 3~LT~Gliederung 4"/>
    <w:basedOn w:val="Default3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5">
    <w:name w:val="Default 3~LT~Gliederung 5"/>
    <w:basedOn w:val="Default3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6">
    <w:name w:val="Default 3~LT~Gliederung 6"/>
    <w:basedOn w:val="Default3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7">
    <w:name w:val="Default 3~LT~Gliederung 7"/>
    <w:basedOn w:val="Default3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8">
    <w:name w:val="Default 3~LT~Gliederung 8"/>
    <w:basedOn w:val="Default3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9">
    <w:name w:val="Default 3~LT~Gliederung 9"/>
    <w:basedOn w:val="Default3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Titel">
    <w:name w:val="Default 3~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3LTUntertitel">
    <w:name w:val="Default 3~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3LTNotizen">
    <w:name w:val="Default 3~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3LTHintergrundobjekte">
    <w:name w:val="Default 3~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3LTHintergrund">
    <w:name w:val="Default 3~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4LTGliederung1">
    <w:name w:val="Default 4~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4LTGliederung2">
    <w:name w:val="Default 4~LT~Gliederung 2"/>
    <w:basedOn w:val="Default4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4LTGliederung3">
    <w:name w:val="Default 4~LT~Gliederung 3"/>
    <w:basedOn w:val="Default4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4LTGliederung4">
    <w:name w:val="Default 4~LT~Gliederung 4"/>
    <w:basedOn w:val="Default4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5">
    <w:name w:val="Default 4~LT~Gliederung 5"/>
    <w:basedOn w:val="Default4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6">
    <w:name w:val="Default 4~LT~Gliederung 6"/>
    <w:basedOn w:val="Default4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7">
    <w:name w:val="Default 4~LT~Gliederung 7"/>
    <w:basedOn w:val="Default4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8">
    <w:name w:val="Default 4~LT~Gliederung 8"/>
    <w:basedOn w:val="Default4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9">
    <w:name w:val="Default 4~LT~Gliederung 9"/>
    <w:basedOn w:val="Default4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Titel">
    <w:name w:val="Default 4~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4LTUntertitel">
    <w:name w:val="Default 4~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4LTNotizen">
    <w:name w:val="Default 4~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4LTHintergrundobjekte">
    <w:name w:val="Default 4~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4LTHintergrund">
    <w:name w:val="Default 4~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5LTGliederung1">
    <w:name w:val="Default 5~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5LTGliederung2">
    <w:name w:val="Default 5~LT~Gliederung 2"/>
    <w:basedOn w:val="Default5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5LTGliederung3">
    <w:name w:val="Default 5~LT~Gliederung 3"/>
    <w:basedOn w:val="Default5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5LTGliederung4">
    <w:name w:val="Default 5~LT~Gliederung 4"/>
    <w:basedOn w:val="Default5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5">
    <w:name w:val="Default 5~LT~Gliederung 5"/>
    <w:basedOn w:val="Default5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6">
    <w:name w:val="Default 5~LT~Gliederung 6"/>
    <w:basedOn w:val="Default5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7">
    <w:name w:val="Default 5~LT~Gliederung 7"/>
    <w:basedOn w:val="Default5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8">
    <w:name w:val="Default 5~LT~Gliederung 8"/>
    <w:basedOn w:val="Default5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9">
    <w:name w:val="Default 5~LT~Gliederung 9"/>
    <w:basedOn w:val="Default5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Titel">
    <w:name w:val="Default 5~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5LTUntertitel">
    <w:name w:val="Default 5~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5LTNotizen">
    <w:name w:val="Default 5~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5LTHintergrundobjekte">
    <w:name w:val="Default 5~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5LTHintergrund">
    <w:name w:val="Default 5~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6LTGliederung1">
    <w:name w:val="Default 6~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6LTGliederung2">
    <w:name w:val="Default 6~LT~Gliederung 2"/>
    <w:basedOn w:val="Default6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6LTGliederung3">
    <w:name w:val="Default 6~LT~Gliederung 3"/>
    <w:basedOn w:val="Default6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6LTGliederung4">
    <w:name w:val="Default 6~LT~Gliederung 4"/>
    <w:basedOn w:val="Default6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5">
    <w:name w:val="Default 6~LT~Gliederung 5"/>
    <w:basedOn w:val="Default6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6">
    <w:name w:val="Default 6~LT~Gliederung 6"/>
    <w:basedOn w:val="Default6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7">
    <w:name w:val="Default 6~LT~Gliederung 7"/>
    <w:basedOn w:val="Default6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8">
    <w:name w:val="Default 6~LT~Gliederung 8"/>
    <w:basedOn w:val="Default6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9">
    <w:name w:val="Default 6~LT~Gliederung 9"/>
    <w:basedOn w:val="Default6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Titel">
    <w:name w:val="Default 6~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6LTUntertitel">
    <w:name w:val="Default 6~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6LTNotizen">
    <w:name w:val="Default 6~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6LTHintergrundobjekte">
    <w:name w:val="Default 6~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6LTHintergrund">
    <w:name w:val="Default 6~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7LTGliederung1">
    <w:name w:val="Default 7~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7LTGliederung2">
    <w:name w:val="Default 7~LT~Gliederung 2"/>
    <w:basedOn w:val="Default7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7LTGliederung3">
    <w:name w:val="Default 7~LT~Gliederung 3"/>
    <w:basedOn w:val="Default7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7LTGliederung4">
    <w:name w:val="Default 7~LT~Gliederung 4"/>
    <w:basedOn w:val="Default7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5">
    <w:name w:val="Default 7~LT~Gliederung 5"/>
    <w:basedOn w:val="Default7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6">
    <w:name w:val="Default 7~LT~Gliederung 6"/>
    <w:basedOn w:val="Default7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7">
    <w:name w:val="Default 7~LT~Gliederung 7"/>
    <w:basedOn w:val="Default7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8">
    <w:name w:val="Default 7~LT~Gliederung 8"/>
    <w:basedOn w:val="Default7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9">
    <w:name w:val="Default 7~LT~Gliederung 9"/>
    <w:basedOn w:val="Default7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Titel">
    <w:name w:val="Default 7~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7LTUntertitel">
    <w:name w:val="Default 7~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7LTNotizen">
    <w:name w:val="Default 7~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7LTHintergrundobjekte">
    <w:name w:val="Default 7~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7LTHintergrund">
    <w:name w:val="Default 7~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8LTGliederung1">
    <w:name w:val="Default 8~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8LTGliederung2">
    <w:name w:val="Default 8~LT~Gliederung 2"/>
    <w:basedOn w:val="Default8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8LTGliederung3">
    <w:name w:val="Default 8~LT~Gliederung 3"/>
    <w:basedOn w:val="Default8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8LTGliederung4">
    <w:name w:val="Default 8~LT~Gliederung 4"/>
    <w:basedOn w:val="Default8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5">
    <w:name w:val="Default 8~LT~Gliederung 5"/>
    <w:basedOn w:val="Default8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6">
    <w:name w:val="Default 8~LT~Gliederung 6"/>
    <w:basedOn w:val="Default8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7">
    <w:name w:val="Default 8~LT~Gliederung 7"/>
    <w:basedOn w:val="Default8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8">
    <w:name w:val="Default 8~LT~Gliederung 8"/>
    <w:basedOn w:val="Default8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9">
    <w:name w:val="Default 8~LT~Gliederung 9"/>
    <w:basedOn w:val="Default8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Titel">
    <w:name w:val="Default 8~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8LTUntertitel">
    <w:name w:val="Default 8~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8LTNotizen">
    <w:name w:val="Default 8~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8LTHintergrundobjekte">
    <w:name w:val="Default 8~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8LTHintergrund">
    <w:name w:val="Default 8~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9LTGliederung1">
    <w:name w:val="Default 9~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9LTGliederung2">
    <w:name w:val="Default 9~LT~Gliederung 2"/>
    <w:basedOn w:val="Default9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9LTGliederung3">
    <w:name w:val="Default 9~LT~Gliederung 3"/>
    <w:basedOn w:val="Default9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9LTGliederung4">
    <w:name w:val="Default 9~LT~Gliederung 4"/>
    <w:basedOn w:val="Default9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5">
    <w:name w:val="Default 9~LT~Gliederung 5"/>
    <w:basedOn w:val="Default9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6">
    <w:name w:val="Default 9~LT~Gliederung 6"/>
    <w:basedOn w:val="Default9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7">
    <w:name w:val="Default 9~LT~Gliederung 7"/>
    <w:basedOn w:val="Default9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8">
    <w:name w:val="Default 9~LT~Gliederung 8"/>
    <w:basedOn w:val="Default9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9">
    <w:name w:val="Default 9~LT~Gliederung 9"/>
    <w:basedOn w:val="Default9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Titel">
    <w:name w:val="Default 9~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9LTUntertitel">
    <w:name w:val="Default 9~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9LTNotizen">
    <w:name w:val="Default 9~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9LTHintergrundobjekte">
    <w:name w:val="Default 9~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9LTHintergrund">
    <w:name w:val="Default 9~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0LTGliederung1">
    <w:name w:val="Default 10~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0LTGliederung2">
    <w:name w:val="Default 10~LT~Gliederung 2"/>
    <w:basedOn w:val="Default10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0LTGliederung3">
    <w:name w:val="Default 10~LT~Gliederung 3"/>
    <w:basedOn w:val="Default10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0LTGliederung4">
    <w:name w:val="Default 10~LT~Gliederung 4"/>
    <w:basedOn w:val="Default10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5">
    <w:name w:val="Default 10~LT~Gliederung 5"/>
    <w:basedOn w:val="Default10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6">
    <w:name w:val="Default 10~LT~Gliederung 6"/>
    <w:basedOn w:val="Default10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7">
    <w:name w:val="Default 10~LT~Gliederung 7"/>
    <w:basedOn w:val="Default10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8">
    <w:name w:val="Default 10~LT~Gliederung 8"/>
    <w:basedOn w:val="Default10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9">
    <w:name w:val="Default 10~LT~Gliederung 9"/>
    <w:basedOn w:val="Default10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Titel">
    <w:name w:val="Default 10~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0LTUntertitel">
    <w:name w:val="Default 10~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0LTNotizen">
    <w:name w:val="Default 10~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0LTHintergrundobjekte">
    <w:name w:val="Default 10~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0LTHintergrund">
    <w:name w:val="Default 10~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1LTGliederung1">
    <w:name w:val="Default 11~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1LTGliederung2">
    <w:name w:val="Default 11~LT~Gliederung 2"/>
    <w:basedOn w:val="Default11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1LTGliederung3">
    <w:name w:val="Default 11~LT~Gliederung 3"/>
    <w:basedOn w:val="Default11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1LTGliederung4">
    <w:name w:val="Default 11~LT~Gliederung 4"/>
    <w:basedOn w:val="Default11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5">
    <w:name w:val="Default 11~LT~Gliederung 5"/>
    <w:basedOn w:val="Default11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6">
    <w:name w:val="Default 11~LT~Gliederung 6"/>
    <w:basedOn w:val="Default11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7">
    <w:name w:val="Default 11~LT~Gliederung 7"/>
    <w:basedOn w:val="Default11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8">
    <w:name w:val="Default 11~LT~Gliederung 8"/>
    <w:basedOn w:val="Default11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9">
    <w:name w:val="Default 11~LT~Gliederung 9"/>
    <w:basedOn w:val="Default11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Titel">
    <w:name w:val="Default 11~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1LTUntertitel">
    <w:name w:val="Default 11~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1LTNotizen">
    <w:name w:val="Default 11~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1LTHintergrundobjekte">
    <w:name w:val="Default 11~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1LTHintergrund">
    <w:name w:val="Default 11~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spacing w:lineRule="auto" w:line="240" w:before="228" w:after="228"/>
    </w:pPr>
    <w:rPr>
      <w:b/>
      <w:bCs/>
      <w:i/>
      <w:iCs/>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overflowPunct w:val="false"/>
      <w:bidi w:val="0"/>
      <w:spacing w:lineRule="atLeast" w:line="240" w:before="240" w:after="240"/>
      <w:jc w:val="start"/>
      <w:textAlignment w:val="auto"/>
    </w:pPr>
    <w:rPr>
      <w:rFonts w:ascii="Arial" w:hAnsi="Arial" w:eastAsia="Marlett" w:cs="Arial"/>
      <w:b/>
      <w:i w:val="false"/>
      <w:strike w:val="false"/>
      <w:dstrike w:val="false"/>
      <w:color w:val="000000"/>
      <w:spacing w:val="0"/>
      <w:w w:val="100"/>
      <w:kern w:val="0"/>
      <w:sz w:val="28"/>
      <w:szCs w:val="28"/>
      <w:u w:val="none"/>
      <w:em w:val="none"/>
      <w:lang w:val="en-US" w:eastAsia="zh-CN" w:bidi="hi-IN"/>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7.0.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comments" Target="comment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802-11-submission.dotx</Template>
  <TotalTime>183</TotalTime>
  <Application>LibreOffice/24.2.7.2$Linux_X86_64 LibreOffice_project/420$Build-2</Application>
  <AppVersion>15.0000</AppVersion>
  <Pages>5</Pages>
  <Words>995</Words>
  <Characters>5275</Characters>
  <CharactersWithSpaces>6214</CharactersWithSpaces>
  <Paragraphs>74</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2024-11-10T14:23:36Z</dcterms:created>
  <dc:creator>Henry Ptasinski</dc:creator>
  <dc:description>Henry Ptasinski, Element78 Communications LLC</dc:description>
  <cp:keywords>December 2024</cp:keywords>
  <dc:language>en-US</dc:language>
  <cp:lastModifiedBy>Henry Ptasinski</cp:lastModifiedBy>
  <dcterms:modified xsi:type="dcterms:W3CDTF">2024-12-18T10:20:17Z</dcterms:modified>
  <cp:revision>17</cp:revision>
  <dc:subject>Submission</dc:subject>
  <dc:title>doc.: IEEE 802.11-24/1919r2</dc:title>
</cp:coreProperties>
</file>

<file path=docProps/custom.xml><?xml version="1.0" encoding="utf-8"?>
<Properties xmlns="http://schemas.openxmlformats.org/officeDocument/2006/custom-properties" xmlns:vt="http://schemas.openxmlformats.org/officeDocument/2006/docPropsVTypes"/>
</file>