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1F4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30D92" w14:textId="77777777">
        <w:trPr>
          <w:trHeight w:val="485"/>
          <w:jc w:val="center"/>
        </w:trPr>
        <w:tc>
          <w:tcPr>
            <w:tcW w:w="9576" w:type="dxa"/>
            <w:gridSpan w:val="5"/>
            <w:vAlign w:val="center"/>
          </w:tcPr>
          <w:p w14:paraId="6AABFE98" w14:textId="16109DB3" w:rsidR="00CA09B2" w:rsidRDefault="00610BEF">
            <w:pPr>
              <w:pStyle w:val="T2"/>
            </w:pPr>
            <w:proofErr w:type="spellStart"/>
            <w:r>
              <w:t>Misc</w:t>
            </w:r>
            <w:proofErr w:type="spellEnd"/>
            <w:r>
              <w:t xml:space="preserve"> Hamilton REVme CIDs</w:t>
            </w:r>
          </w:p>
        </w:tc>
      </w:tr>
      <w:tr w:rsidR="00CA09B2" w14:paraId="1F13A674" w14:textId="77777777">
        <w:trPr>
          <w:trHeight w:val="359"/>
          <w:jc w:val="center"/>
        </w:trPr>
        <w:tc>
          <w:tcPr>
            <w:tcW w:w="9576" w:type="dxa"/>
            <w:gridSpan w:val="5"/>
            <w:vAlign w:val="center"/>
          </w:tcPr>
          <w:p w14:paraId="043C79A7" w14:textId="1D1CD389" w:rsidR="00CA09B2" w:rsidRDefault="00CA09B2">
            <w:pPr>
              <w:pStyle w:val="T2"/>
              <w:ind w:left="0"/>
              <w:rPr>
                <w:sz w:val="20"/>
              </w:rPr>
            </w:pPr>
            <w:r>
              <w:rPr>
                <w:sz w:val="20"/>
              </w:rPr>
              <w:t>Date:</w:t>
            </w:r>
            <w:r>
              <w:rPr>
                <w:b w:val="0"/>
                <w:sz w:val="20"/>
              </w:rPr>
              <w:t xml:space="preserve">  </w:t>
            </w:r>
            <w:r w:rsidR="00B16046">
              <w:rPr>
                <w:b w:val="0"/>
                <w:sz w:val="20"/>
              </w:rPr>
              <w:t>2024</w:t>
            </w:r>
            <w:r>
              <w:rPr>
                <w:b w:val="0"/>
                <w:sz w:val="20"/>
              </w:rPr>
              <w:t>-</w:t>
            </w:r>
            <w:r w:rsidR="00B16046">
              <w:rPr>
                <w:b w:val="0"/>
                <w:sz w:val="20"/>
              </w:rPr>
              <w:t>0</w:t>
            </w:r>
            <w:r w:rsidR="00874EFD">
              <w:rPr>
                <w:b w:val="0"/>
                <w:sz w:val="20"/>
              </w:rPr>
              <w:t>7</w:t>
            </w:r>
            <w:r>
              <w:rPr>
                <w:b w:val="0"/>
                <w:sz w:val="20"/>
              </w:rPr>
              <w:t>-</w:t>
            </w:r>
            <w:r w:rsidR="00610BEF">
              <w:rPr>
                <w:b w:val="0"/>
                <w:sz w:val="20"/>
              </w:rPr>
              <w:t>17</w:t>
            </w:r>
          </w:p>
        </w:tc>
      </w:tr>
      <w:tr w:rsidR="00CA09B2" w14:paraId="324A669C" w14:textId="77777777">
        <w:trPr>
          <w:cantSplit/>
          <w:jc w:val="center"/>
        </w:trPr>
        <w:tc>
          <w:tcPr>
            <w:tcW w:w="9576" w:type="dxa"/>
            <w:gridSpan w:val="5"/>
            <w:vAlign w:val="center"/>
          </w:tcPr>
          <w:p w14:paraId="4FE57F1D" w14:textId="77777777" w:rsidR="00CA09B2" w:rsidRDefault="00CA09B2">
            <w:pPr>
              <w:pStyle w:val="T2"/>
              <w:spacing w:after="0"/>
              <w:ind w:left="0" w:right="0"/>
              <w:jc w:val="left"/>
              <w:rPr>
                <w:sz w:val="20"/>
              </w:rPr>
            </w:pPr>
            <w:r>
              <w:rPr>
                <w:sz w:val="20"/>
              </w:rPr>
              <w:t>Author(s):</w:t>
            </w:r>
          </w:p>
        </w:tc>
      </w:tr>
      <w:tr w:rsidR="00CA09B2" w14:paraId="6D445259" w14:textId="77777777">
        <w:trPr>
          <w:jc w:val="center"/>
        </w:trPr>
        <w:tc>
          <w:tcPr>
            <w:tcW w:w="1336" w:type="dxa"/>
            <w:vAlign w:val="center"/>
          </w:tcPr>
          <w:p w14:paraId="6B4F37CD" w14:textId="77777777" w:rsidR="00CA09B2" w:rsidRDefault="00CA09B2">
            <w:pPr>
              <w:pStyle w:val="T2"/>
              <w:spacing w:after="0"/>
              <w:ind w:left="0" w:right="0"/>
              <w:jc w:val="left"/>
              <w:rPr>
                <w:sz w:val="20"/>
              </w:rPr>
            </w:pPr>
            <w:r>
              <w:rPr>
                <w:sz w:val="20"/>
              </w:rPr>
              <w:t>Name</w:t>
            </w:r>
          </w:p>
        </w:tc>
        <w:tc>
          <w:tcPr>
            <w:tcW w:w="2064" w:type="dxa"/>
            <w:vAlign w:val="center"/>
          </w:tcPr>
          <w:p w14:paraId="591C981A" w14:textId="77777777" w:rsidR="00CA09B2" w:rsidRDefault="0062440B">
            <w:pPr>
              <w:pStyle w:val="T2"/>
              <w:spacing w:after="0"/>
              <w:ind w:left="0" w:right="0"/>
              <w:jc w:val="left"/>
              <w:rPr>
                <w:sz w:val="20"/>
              </w:rPr>
            </w:pPr>
            <w:r>
              <w:rPr>
                <w:sz w:val="20"/>
              </w:rPr>
              <w:t>Affiliation</w:t>
            </w:r>
          </w:p>
        </w:tc>
        <w:tc>
          <w:tcPr>
            <w:tcW w:w="2814" w:type="dxa"/>
            <w:vAlign w:val="center"/>
          </w:tcPr>
          <w:p w14:paraId="3903F530" w14:textId="77777777" w:rsidR="00CA09B2" w:rsidRDefault="00CA09B2">
            <w:pPr>
              <w:pStyle w:val="T2"/>
              <w:spacing w:after="0"/>
              <w:ind w:left="0" w:right="0"/>
              <w:jc w:val="left"/>
              <w:rPr>
                <w:sz w:val="20"/>
              </w:rPr>
            </w:pPr>
            <w:r>
              <w:rPr>
                <w:sz w:val="20"/>
              </w:rPr>
              <w:t>Address</w:t>
            </w:r>
          </w:p>
        </w:tc>
        <w:tc>
          <w:tcPr>
            <w:tcW w:w="1715" w:type="dxa"/>
            <w:vAlign w:val="center"/>
          </w:tcPr>
          <w:p w14:paraId="67E200CF" w14:textId="77777777" w:rsidR="00CA09B2" w:rsidRDefault="00CA09B2">
            <w:pPr>
              <w:pStyle w:val="T2"/>
              <w:spacing w:after="0"/>
              <w:ind w:left="0" w:right="0"/>
              <w:jc w:val="left"/>
              <w:rPr>
                <w:sz w:val="20"/>
              </w:rPr>
            </w:pPr>
            <w:r>
              <w:rPr>
                <w:sz w:val="20"/>
              </w:rPr>
              <w:t>Phone</w:t>
            </w:r>
          </w:p>
        </w:tc>
        <w:tc>
          <w:tcPr>
            <w:tcW w:w="1647" w:type="dxa"/>
            <w:vAlign w:val="center"/>
          </w:tcPr>
          <w:p w14:paraId="64460540" w14:textId="79D408B2" w:rsidR="00CA09B2" w:rsidRDefault="00610BEF">
            <w:pPr>
              <w:pStyle w:val="T2"/>
              <w:spacing w:after="0"/>
              <w:ind w:left="0" w:right="0"/>
              <w:jc w:val="left"/>
              <w:rPr>
                <w:sz w:val="20"/>
              </w:rPr>
            </w:pPr>
            <w:r>
              <w:rPr>
                <w:sz w:val="20"/>
              </w:rPr>
              <w:t>E</w:t>
            </w:r>
            <w:r w:rsidR="00CA09B2">
              <w:rPr>
                <w:sz w:val="20"/>
              </w:rPr>
              <w:t>mail</w:t>
            </w:r>
          </w:p>
        </w:tc>
      </w:tr>
      <w:tr w:rsidR="00CA09B2" w14:paraId="55A73594" w14:textId="77777777">
        <w:trPr>
          <w:jc w:val="center"/>
        </w:trPr>
        <w:tc>
          <w:tcPr>
            <w:tcW w:w="1336" w:type="dxa"/>
            <w:vAlign w:val="center"/>
          </w:tcPr>
          <w:p w14:paraId="711801F6" w14:textId="4895E0CC" w:rsidR="00CA09B2" w:rsidRDefault="00610BEF">
            <w:pPr>
              <w:pStyle w:val="T2"/>
              <w:spacing w:after="0"/>
              <w:ind w:left="0" w:right="0"/>
              <w:rPr>
                <w:b w:val="0"/>
                <w:sz w:val="20"/>
              </w:rPr>
            </w:pPr>
            <w:r>
              <w:rPr>
                <w:b w:val="0"/>
                <w:sz w:val="20"/>
              </w:rPr>
              <w:t>Mark Hamilton</w:t>
            </w:r>
          </w:p>
        </w:tc>
        <w:tc>
          <w:tcPr>
            <w:tcW w:w="2064" w:type="dxa"/>
            <w:vAlign w:val="center"/>
          </w:tcPr>
          <w:p w14:paraId="41102E48" w14:textId="000EAAAF" w:rsidR="00CA09B2" w:rsidRDefault="00610BEF">
            <w:pPr>
              <w:pStyle w:val="T2"/>
              <w:spacing w:after="0"/>
              <w:ind w:left="0" w:right="0"/>
              <w:rPr>
                <w:b w:val="0"/>
                <w:sz w:val="20"/>
              </w:rPr>
            </w:pPr>
            <w:r>
              <w:rPr>
                <w:b w:val="0"/>
                <w:sz w:val="20"/>
              </w:rPr>
              <w:t>Ruckus/CommScope</w:t>
            </w:r>
          </w:p>
        </w:tc>
        <w:tc>
          <w:tcPr>
            <w:tcW w:w="2814" w:type="dxa"/>
            <w:vAlign w:val="center"/>
          </w:tcPr>
          <w:p w14:paraId="04B2D5A0" w14:textId="77777777" w:rsidR="00CA09B2" w:rsidRDefault="00610BEF">
            <w:pPr>
              <w:pStyle w:val="T2"/>
              <w:spacing w:after="0"/>
              <w:ind w:left="0" w:right="0"/>
              <w:rPr>
                <w:b w:val="0"/>
                <w:sz w:val="20"/>
              </w:rPr>
            </w:pPr>
            <w:r>
              <w:rPr>
                <w:b w:val="0"/>
                <w:sz w:val="20"/>
              </w:rPr>
              <w:t>350 W Java Dr</w:t>
            </w:r>
          </w:p>
          <w:p w14:paraId="24CC59FF" w14:textId="50112C8A" w:rsidR="00610BEF" w:rsidRDefault="00610BEF">
            <w:pPr>
              <w:pStyle w:val="T2"/>
              <w:spacing w:after="0"/>
              <w:ind w:left="0" w:right="0"/>
              <w:rPr>
                <w:b w:val="0"/>
                <w:sz w:val="20"/>
              </w:rPr>
            </w:pPr>
            <w:r>
              <w:rPr>
                <w:b w:val="0"/>
                <w:sz w:val="20"/>
              </w:rPr>
              <w:t>Sunnyvale, CA 94089</w:t>
            </w:r>
          </w:p>
        </w:tc>
        <w:tc>
          <w:tcPr>
            <w:tcW w:w="1715" w:type="dxa"/>
            <w:vAlign w:val="center"/>
          </w:tcPr>
          <w:p w14:paraId="4EA55D4F" w14:textId="06AA6FF7" w:rsidR="00CA09B2" w:rsidRDefault="00610BEF">
            <w:pPr>
              <w:pStyle w:val="T2"/>
              <w:spacing w:after="0"/>
              <w:ind w:left="0" w:right="0"/>
              <w:rPr>
                <w:b w:val="0"/>
                <w:sz w:val="20"/>
              </w:rPr>
            </w:pPr>
            <w:r>
              <w:rPr>
                <w:b w:val="0"/>
                <w:sz w:val="20"/>
              </w:rPr>
              <w:t>+1.303.818.8472</w:t>
            </w:r>
          </w:p>
        </w:tc>
        <w:tc>
          <w:tcPr>
            <w:tcW w:w="1647" w:type="dxa"/>
            <w:vAlign w:val="center"/>
          </w:tcPr>
          <w:p w14:paraId="0CD5368F" w14:textId="17DFF31D" w:rsidR="008B34EA" w:rsidRDefault="00000000" w:rsidP="008B34EA">
            <w:pPr>
              <w:pStyle w:val="T2"/>
              <w:spacing w:after="0"/>
              <w:ind w:left="0" w:right="0"/>
              <w:rPr>
                <w:b w:val="0"/>
                <w:sz w:val="16"/>
              </w:rPr>
            </w:pPr>
            <w:hyperlink r:id="rId7" w:history="1">
              <w:r w:rsidR="00610BEF">
                <w:rPr>
                  <w:rStyle w:val="Hyperlink"/>
                  <w:b w:val="0"/>
                  <w:sz w:val="16"/>
                </w:rPr>
                <w:t>mark.hamilton2152@gmail.com</w:t>
              </w:r>
            </w:hyperlink>
          </w:p>
          <w:p w14:paraId="38F97917" w14:textId="54060EDA" w:rsidR="008B34EA" w:rsidRDefault="008B34EA" w:rsidP="008B34EA">
            <w:pPr>
              <w:pStyle w:val="T2"/>
              <w:spacing w:after="0"/>
              <w:ind w:left="0" w:right="0"/>
              <w:rPr>
                <w:b w:val="0"/>
                <w:sz w:val="16"/>
              </w:rPr>
            </w:pPr>
          </w:p>
        </w:tc>
      </w:tr>
      <w:tr w:rsidR="00CA09B2" w14:paraId="0DD11815" w14:textId="77777777">
        <w:trPr>
          <w:jc w:val="center"/>
        </w:trPr>
        <w:tc>
          <w:tcPr>
            <w:tcW w:w="1336" w:type="dxa"/>
            <w:vAlign w:val="center"/>
          </w:tcPr>
          <w:p w14:paraId="0ABF60E3" w14:textId="77777777" w:rsidR="00CA09B2" w:rsidRDefault="00CA09B2">
            <w:pPr>
              <w:pStyle w:val="T2"/>
              <w:spacing w:after="0"/>
              <w:ind w:left="0" w:right="0"/>
              <w:rPr>
                <w:b w:val="0"/>
                <w:sz w:val="20"/>
              </w:rPr>
            </w:pPr>
          </w:p>
        </w:tc>
        <w:tc>
          <w:tcPr>
            <w:tcW w:w="2064" w:type="dxa"/>
            <w:vAlign w:val="center"/>
          </w:tcPr>
          <w:p w14:paraId="6AF48A14" w14:textId="77777777" w:rsidR="00CA09B2" w:rsidRDefault="00CA09B2">
            <w:pPr>
              <w:pStyle w:val="T2"/>
              <w:spacing w:after="0"/>
              <w:ind w:left="0" w:right="0"/>
              <w:rPr>
                <w:b w:val="0"/>
                <w:sz w:val="20"/>
              </w:rPr>
            </w:pPr>
          </w:p>
        </w:tc>
        <w:tc>
          <w:tcPr>
            <w:tcW w:w="2814" w:type="dxa"/>
            <w:vAlign w:val="center"/>
          </w:tcPr>
          <w:p w14:paraId="42620226" w14:textId="77777777" w:rsidR="00CA09B2" w:rsidRDefault="00CA09B2">
            <w:pPr>
              <w:pStyle w:val="T2"/>
              <w:spacing w:after="0"/>
              <w:ind w:left="0" w:right="0"/>
              <w:rPr>
                <w:b w:val="0"/>
                <w:sz w:val="20"/>
              </w:rPr>
            </w:pPr>
          </w:p>
        </w:tc>
        <w:tc>
          <w:tcPr>
            <w:tcW w:w="1715" w:type="dxa"/>
            <w:vAlign w:val="center"/>
          </w:tcPr>
          <w:p w14:paraId="44F94066" w14:textId="77777777" w:rsidR="00CA09B2" w:rsidRDefault="00CA09B2">
            <w:pPr>
              <w:pStyle w:val="T2"/>
              <w:spacing w:after="0"/>
              <w:ind w:left="0" w:right="0"/>
              <w:rPr>
                <w:b w:val="0"/>
                <w:sz w:val="20"/>
              </w:rPr>
            </w:pPr>
          </w:p>
        </w:tc>
        <w:tc>
          <w:tcPr>
            <w:tcW w:w="1647" w:type="dxa"/>
            <w:vAlign w:val="center"/>
          </w:tcPr>
          <w:p w14:paraId="292865AB" w14:textId="77777777" w:rsidR="00CA09B2" w:rsidRDefault="00CA09B2">
            <w:pPr>
              <w:pStyle w:val="T2"/>
              <w:spacing w:after="0"/>
              <w:ind w:left="0" w:right="0"/>
              <w:rPr>
                <w:b w:val="0"/>
                <w:sz w:val="16"/>
              </w:rPr>
            </w:pPr>
          </w:p>
        </w:tc>
      </w:tr>
    </w:tbl>
    <w:p w14:paraId="299591A1" w14:textId="77777777" w:rsidR="00CA09B2" w:rsidRDefault="00000000">
      <w:pPr>
        <w:pStyle w:val="T1"/>
        <w:spacing w:after="120"/>
        <w:rPr>
          <w:sz w:val="22"/>
        </w:rPr>
      </w:pPr>
      <w:r>
        <w:rPr>
          <w:noProof/>
        </w:rPr>
        <w:pict w14:anchorId="2C702982">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0DA300F7" w14:textId="77777777" w:rsidR="0029020B" w:rsidRDefault="0029020B">
                  <w:pPr>
                    <w:pStyle w:val="T1"/>
                    <w:spacing w:after="120"/>
                  </w:pPr>
                  <w:r>
                    <w:t>Abstract</w:t>
                  </w:r>
                </w:p>
                <w:p w14:paraId="4168B02A" w14:textId="68F4A9FA" w:rsidR="0029020B" w:rsidRDefault="008B34EA">
                  <w:pPr>
                    <w:jc w:val="both"/>
                  </w:pPr>
                  <w:r>
                    <w:t>This document provides comment resolution</w:t>
                  </w:r>
                  <w:r w:rsidR="00644829">
                    <w:t>s</w:t>
                  </w:r>
                  <w:r>
                    <w:t xml:space="preserve"> </w:t>
                  </w:r>
                  <w:r w:rsidR="00A00960">
                    <w:t xml:space="preserve">to </w:t>
                  </w:r>
                  <w:r w:rsidR="005B3B7E">
                    <w:t xml:space="preserve">CIDs </w:t>
                  </w:r>
                  <w:r w:rsidR="00610BEF">
                    <w:t>8257, 8259, 8229, 8120.</w:t>
                  </w:r>
                </w:p>
                <w:p w14:paraId="6836A098" w14:textId="6E90B604" w:rsidR="00C44F64" w:rsidRDefault="00C44F64">
                  <w:pPr>
                    <w:jc w:val="both"/>
                  </w:pPr>
                </w:p>
                <w:p w14:paraId="614D6F35" w14:textId="1A2A9DF4" w:rsidR="004B7C5B" w:rsidRDefault="004B7C5B">
                  <w:pPr>
                    <w:jc w:val="both"/>
                  </w:pPr>
                  <w:r>
                    <w:t>Rev 1: Added CID 8231</w:t>
                  </w:r>
                </w:p>
                <w:p w14:paraId="2C1C41C8" w14:textId="0CBF266A" w:rsidR="007D408A" w:rsidRDefault="007D408A">
                  <w:pPr>
                    <w:jc w:val="both"/>
                  </w:pPr>
                  <w:r>
                    <w:t>Rev 2: Minor changes to the proposed replacement for Figure R-1.</w:t>
                  </w:r>
                </w:p>
              </w:txbxContent>
            </v:textbox>
          </v:shape>
        </w:pict>
      </w:r>
    </w:p>
    <w:p w14:paraId="4B263899" w14:textId="77777777" w:rsidR="00D83636" w:rsidRDefault="00CA09B2" w:rsidP="004A00C8">
      <w: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446"/>
        <w:gridCol w:w="1260"/>
        <w:gridCol w:w="2160"/>
        <w:gridCol w:w="3420"/>
      </w:tblGrid>
      <w:tr w:rsidR="00000000" w:rsidRPr="00D83636" w14:paraId="1B8E3E7F" w14:textId="77777777">
        <w:trPr>
          <w:trHeight w:val="765"/>
        </w:trPr>
        <w:tc>
          <w:tcPr>
            <w:tcW w:w="828" w:type="dxa"/>
            <w:shd w:val="clear" w:color="auto" w:fill="auto"/>
            <w:hideMark/>
          </w:tcPr>
          <w:p w14:paraId="14561575" w14:textId="77777777" w:rsidR="006A7868" w:rsidRDefault="006A7868">
            <w:pPr>
              <w:rPr>
                <w:b/>
                <w:bCs/>
                <w:lang w:val="en-US"/>
              </w:rPr>
            </w:pPr>
            <w:r>
              <w:rPr>
                <w:b/>
                <w:bCs/>
              </w:rPr>
              <w:t>CID</w:t>
            </w:r>
          </w:p>
        </w:tc>
        <w:tc>
          <w:tcPr>
            <w:tcW w:w="814" w:type="dxa"/>
            <w:shd w:val="clear" w:color="auto" w:fill="auto"/>
            <w:hideMark/>
          </w:tcPr>
          <w:p w14:paraId="4581F51B" w14:textId="77777777" w:rsidR="006A7868" w:rsidRDefault="006A7868">
            <w:pPr>
              <w:rPr>
                <w:b/>
                <w:bCs/>
              </w:rPr>
            </w:pPr>
            <w:r>
              <w:rPr>
                <w:b/>
                <w:bCs/>
              </w:rPr>
              <w:t>Page</w:t>
            </w:r>
          </w:p>
        </w:tc>
        <w:tc>
          <w:tcPr>
            <w:tcW w:w="446" w:type="dxa"/>
            <w:shd w:val="clear" w:color="auto" w:fill="auto"/>
            <w:hideMark/>
          </w:tcPr>
          <w:p w14:paraId="25A4F137" w14:textId="77777777" w:rsidR="006A7868" w:rsidRDefault="006A7868">
            <w:pPr>
              <w:rPr>
                <w:b/>
                <w:bCs/>
              </w:rPr>
            </w:pPr>
            <w:r>
              <w:rPr>
                <w:b/>
                <w:bCs/>
              </w:rPr>
              <w:t>Line</w:t>
            </w:r>
          </w:p>
        </w:tc>
        <w:tc>
          <w:tcPr>
            <w:tcW w:w="1260" w:type="dxa"/>
            <w:shd w:val="clear" w:color="auto" w:fill="auto"/>
            <w:hideMark/>
          </w:tcPr>
          <w:p w14:paraId="43C68DBE" w14:textId="77777777" w:rsidR="006A7868" w:rsidRDefault="006A7868">
            <w:pPr>
              <w:rPr>
                <w:b/>
                <w:bCs/>
              </w:rPr>
            </w:pPr>
            <w:r>
              <w:rPr>
                <w:b/>
                <w:bCs/>
              </w:rPr>
              <w:t>Clause</w:t>
            </w:r>
          </w:p>
        </w:tc>
        <w:tc>
          <w:tcPr>
            <w:tcW w:w="2160" w:type="dxa"/>
            <w:shd w:val="clear" w:color="auto" w:fill="auto"/>
            <w:hideMark/>
          </w:tcPr>
          <w:p w14:paraId="333885CB" w14:textId="77777777" w:rsidR="006A7868" w:rsidRDefault="006A7868">
            <w:pPr>
              <w:rPr>
                <w:b/>
                <w:bCs/>
              </w:rPr>
            </w:pPr>
            <w:r>
              <w:rPr>
                <w:b/>
                <w:bCs/>
              </w:rPr>
              <w:t>Comment</w:t>
            </w:r>
          </w:p>
        </w:tc>
        <w:tc>
          <w:tcPr>
            <w:tcW w:w="3420" w:type="dxa"/>
            <w:shd w:val="clear" w:color="auto" w:fill="auto"/>
            <w:hideMark/>
          </w:tcPr>
          <w:p w14:paraId="1A71996F" w14:textId="77777777" w:rsidR="006A7868" w:rsidRDefault="006A7868">
            <w:pPr>
              <w:rPr>
                <w:b/>
                <w:bCs/>
              </w:rPr>
            </w:pPr>
            <w:r>
              <w:rPr>
                <w:b/>
                <w:bCs/>
              </w:rPr>
              <w:t>Proposed Change</w:t>
            </w:r>
          </w:p>
        </w:tc>
      </w:tr>
      <w:tr w:rsidR="00000000" w:rsidRPr="00D83636" w14:paraId="7F25F6CB" w14:textId="77777777">
        <w:trPr>
          <w:trHeight w:val="2040"/>
        </w:trPr>
        <w:tc>
          <w:tcPr>
            <w:tcW w:w="828" w:type="dxa"/>
            <w:shd w:val="clear" w:color="auto" w:fill="auto"/>
            <w:hideMark/>
          </w:tcPr>
          <w:p w14:paraId="3B00443C" w14:textId="6574914A" w:rsidR="006A7868" w:rsidRPr="00D83636" w:rsidRDefault="006A7868" w:rsidP="00D83636">
            <w:r>
              <w:t>8257</w:t>
            </w:r>
          </w:p>
        </w:tc>
        <w:tc>
          <w:tcPr>
            <w:tcW w:w="814" w:type="dxa"/>
            <w:shd w:val="clear" w:color="auto" w:fill="auto"/>
            <w:hideMark/>
          </w:tcPr>
          <w:p w14:paraId="1446912F" w14:textId="11A89DD3" w:rsidR="006A7868" w:rsidRPr="00D83636" w:rsidRDefault="006A7868" w:rsidP="00D83636">
            <w:r>
              <w:t>1697</w:t>
            </w:r>
          </w:p>
        </w:tc>
        <w:tc>
          <w:tcPr>
            <w:tcW w:w="446" w:type="dxa"/>
            <w:shd w:val="clear" w:color="auto" w:fill="auto"/>
            <w:hideMark/>
          </w:tcPr>
          <w:p w14:paraId="723C7450" w14:textId="0E1A3C85" w:rsidR="006A7868" w:rsidRPr="00D83636" w:rsidRDefault="006A7868" w:rsidP="00D83636">
            <w:r>
              <w:t>24</w:t>
            </w:r>
          </w:p>
        </w:tc>
        <w:tc>
          <w:tcPr>
            <w:tcW w:w="1260" w:type="dxa"/>
            <w:shd w:val="clear" w:color="auto" w:fill="auto"/>
            <w:hideMark/>
          </w:tcPr>
          <w:p w14:paraId="144722C4" w14:textId="027F1AA2" w:rsidR="006A7868" w:rsidRPr="00D83636" w:rsidRDefault="006A7868">
            <w:r>
              <w:t>9.6.7.45</w:t>
            </w:r>
          </w:p>
        </w:tc>
        <w:tc>
          <w:tcPr>
            <w:tcW w:w="2160" w:type="dxa"/>
            <w:shd w:val="clear" w:color="auto" w:fill="auto"/>
            <w:hideMark/>
          </w:tcPr>
          <w:p w14:paraId="317E4D02" w14:textId="612D650F" w:rsidR="006A7868" w:rsidRDefault="006A7868" w:rsidP="00610BEF">
            <w:pPr>
              <w:rPr>
                <w:rFonts w:ascii="Arial" w:hAnsi="Arial" w:cs="Arial"/>
                <w:sz w:val="20"/>
                <w:lang w:val="en-US"/>
              </w:rPr>
            </w:pPr>
            <w:r>
              <w:rPr>
                <w:rFonts w:ascii="Arial" w:hAnsi="Arial" w:cs="Arial"/>
                <w:sz w:val="20"/>
              </w:rPr>
              <w:t>Normative verb in clause 9.</w:t>
            </w:r>
          </w:p>
          <w:p w14:paraId="080D7CDE" w14:textId="4662EDE1" w:rsidR="006A7868" w:rsidRPr="00D83636" w:rsidRDefault="006A7868"/>
        </w:tc>
        <w:tc>
          <w:tcPr>
            <w:tcW w:w="3420" w:type="dxa"/>
            <w:shd w:val="clear" w:color="auto" w:fill="auto"/>
            <w:hideMark/>
          </w:tcPr>
          <w:p w14:paraId="5AB87FDE" w14:textId="77777777" w:rsidR="006A7868" w:rsidRDefault="006A7868" w:rsidP="00610BEF">
            <w:pPr>
              <w:rPr>
                <w:rFonts w:ascii="Arial" w:hAnsi="Arial" w:cs="Arial"/>
                <w:sz w:val="20"/>
                <w:lang w:val="en-US"/>
              </w:rPr>
            </w:pPr>
            <w:r>
              <w:rPr>
                <w:rFonts w:ascii="Arial" w:hAnsi="Arial" w:cs="Arial"/>
                <w:sz w:val="20"/>
              </w:rPr>
              <w:t>Change "may use" to "optionally uses"</w:t>
            </w:r>
          </w:p>
          <w:p w14:paraId="087C04F4" w14:textId="3FD9AAD2" w:rsidR="006A7868" w:rsidRPr="00D83636" w:rsidRDefault="006A7868"/>
        </w:tc>
      </w:tr>
    </w:tbl>
    <w:p w14:paraId="16EE56C7" w14:textId="77777777" w:rsidR="00610BEF" w:rsidRDefault="00610BEF"/>
    <w:p w14:paraId="316CF476" w14:textId="4A2B5D0C" w:rsidR="002B3690" w:rsidRDefault="002B3690">
      <w:pPr>
        <w:rPr>
          <w:b/>
          <w:bCs/>
          <w:i/>
          <w:iCs/>
        </w:rPr>
      </w:pPr>
      <w:r>
        <w:rPr>
          <w:b/>
          <w:bCs/>
          <w:i/>
          <w:iCs/>
        </w:rPr>
        <w:t>Context:</w:t>
      </w:r>
    </w:p>
    <w:p w14:paraId="41382CBF" w14:textId="77777777" w:rsidR="002B3690" w:rsidRPr="002B3690" w:rsidRDefault="002B3690">
      <w:pPr>
        <w:rPr>
          <w:b/>
          <w:bCs/>
          <w:i/>
          <w:iCs/>
        </w:rPr>
      </w:pPr>
    </w:p>
    <w:p w14:paraId="6036A411" w14:textId="63A08429" w:rsidR="002B3690" w:rsidRDefault="002B3690" w:rsidP="002B3690">
      <w:pPr>
        <w:pBdr>
          <w:top w:val="single" w:sz="4" w:space="1" w:color="auto"/>
          <w:left w:val="single" w:sz="4" w:space="4" w:color="auto"/>
          <w:bottom w:val="single" w:sz="4" w:space="1" w:color="auto"/>
          <w:right w:val="single" w:sz="4" w:space="4" w:color="auto"/>
        </w:pBdr>
      </w:pPr>
      <w:r>
        <w:pict w14:anchorId="4947A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23.25pt">
            <v:imagedata r:id="rId8" o:title=""/>
          </v:shape>
        </w:pict>
      </w:r>
    </w:p>
    <w:p w14:paraId="7D43F9AB" w14:textId="3E8A8F91" w:rsidR="002B3690" w:rsidRDefault="002B3690">
      <w:r>
        <w:t>…</w:t>
      </w:r>
    </w:p>
    <w:p w14:paraId="696A74B4" w14:textId="55D3DBEE" w:rsidR="00610BEF" w:rsidRDefault="002B3690" w:rsidP="002B3690">
      <w:pPr>
        <w:pBdr>
          <w:top w:val="single" w:sz="4" w:space="1" w:color="auto"/>
          <w:left w:val="single" w:sz="4" w:space="4" w:color="auto"/>
          <w:bottom w:val="single" w:sz="4" w:space="1" w:color="auto"/>
          <w:right w:val="single" w:sz="4" w:space="4" w:color="auto"/>
        </w:pBdr>
      </w:pPr>
      <w:r>
        <w:pict w14:anchorId="52ACE989">
          <v:shape id="_x0000_i1027" type="#_x0000_t75" style="width:467.65pt;height:31.9pt">
            <v:imagedata r:id="rId9" o:title=""/>
          </v:shape>
        </w:pict>
      </w:r>
    </w:p>
    <w:p w14:paraId="4C294C4F" w14:textId="77777777" w:rsidR="00610BEF" w:rsidRDefault="00610BEF"/>
    <w:p w14:paraId="05592905" w14:textId="3360D46F" w:rsidR="002B3690" w:rsidRDefault="002B3690">
      <w:r>
        <w:rPr>
          <w:b/>
          <w:bCs/>
          <w:i/>
          <w:iCs/>
        </w:rPr>
        <w:t>Discussion:</w:t>
      </w:r>
    </w:p>
    <w:p w14:paraId="4AC8C661" w14:textId="77777777" w:rsidR="002B3690" w:rsidRDefault="002B3690"/>
    <w:p w14:paraId="7ADF9AC9" w14:textId="048D09AC" w:rsidR="002B3690" w:rsidRDefault="002B3690" w:rsidP="002B3690">
      <w:r>
        <w:t xml:space="preserve">In this context, the GAS Extension element is indicating parameters of the STA transmitting the request, that the AP or PCP uses to </w:t>
      </w:r>
      <w:r>
        <w:t>respond</w:t>
      </w:r>
      <w:r>
        <w:t>.</w:t>
      </w:r>
    </w:p>
    <w:p w14:paraId="6F41F9B1" w14:textId="77777777" w:rsidR="002B3690" w:rsidRDefault="002B3690" w:rsidP="002B3690"/>
    <w:p w14:paraId="30DC7A0F" w14:textId="5D4D1B67" w:rsidR="002B3690" w:rsidRDefault="002B3690" w:rsidP="002B3690">
      <w:r>
        <w:t>It is suggested to say s</w:t>
      </w:r>
      <w:r>
        <w:t>omething like: "The GAS Extension element indicates parameters that the requesting STA requests the responder to use.”</w:t>
      </w:r>
    </w:p>
    <w:p w14:paraId="7CB7961C" w14:textId="77777777" w:rsidR="002B3690" w:rsidRDefault="002B3690" w:rsidP="002B3690"/>
    <w:p w14:paraId="5A6D49DE" w14:textId="6AD1A9C3" w:rsidR="002B3690" w:rsidRDefault="002B3690" w:rsidP="002B3690">
      <w:r>
        <w:rPr>
          <w:b/>
          <w:bCs/>
          <w:i/>
          <w:iCs/>
        </w:rPr>
        <w:t>Proposed Resolution:</w:t>
      </w:r>
    </w:p>
    <w:p w14:paraId="7A1EC1B1" w14:textId="77777777" w:rsidR="002B3690" w:rsidRDefault="002B3690" w:rsidP="002B3690"/>
    <w:p w14:paraId="598A6675" w14:textId="709BE217" w:rsidR="00AB23B4" w:rsidRDefault="00AB23B4" w:rsidP="002B3690">
      <w:r w:rsidRPr="009B790C">
        <w:rPr>
          <w:highlight w:val="green"/>
        </w:rPr>
        <w:t>Revised</w:t>
      </w:r>
    </w:p>
    <w:p w14:paraId="0E17A117" w14:textId="77777777" w:rsidR="00AB23B4" w:rsidRDefault="00AB23B4" w:rsidP="002B3690"/>
    <w:p w14:paraId="6C333B56" w14:textId="27C2072A" w:rsidR="002B3690" w:rsidRDefault="002B3690" w:rsidP="002B3690">
      <w:r>
        <w:t>Change the cited sentence to:</w:t>
      </w:r>
    </w:p>
    <w:p w14:paraId="7328D8C0" w14:textId="5E34DE52" w:rsidR="002B3690" w:rsidRDefault="002B3690" w:rsidP="002B3690">
      <w:pPr>
        <w:ind w:left="720"/>
      </w:pPr>
      <w:r>
        <w:t xml:space="preserve">The GAS Extension element indicates parameters that the STA transmitting the request is </w:t>
      </w:r>
      <w:r w:rsidR="009B790C">
        <w:t xml:space="preserve">requesting the </w:t>
      </w:r>
      <w:r>
        <w:t>responder to use while processing this request.</w:t>
      </w:r>
    </w:p>
    <w:p w14:paraId="64488C4A" w14:textId="77777777" w:rsidR="002B3690" w:rsidRPr="002B3690" w:rsidRDefault="002B3690" w:rsidP="002B3690"/>
    <w:p w14:paraId="0C167E21" w14:textId="1543624D" w:rsidR="002B3690" w:rsidRDefault="002B3690">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446"/>
        <w:gridCol w:w="1260"/>
        <w:gridCol w:w="2160"/>
        <w:gridCol w:w="3240"/>
      </w:tblGrid>
      <w:tr w:rsidR="00000000" w:rsidRPr="00D83636" w14:paraId="28CCF70F" w14:textId="77777777">
        <w:trPr>
          <w:trHeight w:val="765"/>
        </w:trPr>
        <w:tc>
          <w:tcPr>
            <w:tcW w:w="828" w:type="dxa"/>
            <w:shd w:val="clear" w:color="auto" w:fill="auto"/>
            <w:hideMark/>
          </w:tcPr>
          <w:p w14:paraId="3628AC2B" w14:textId="77777777" w:rsidR="006A7868" w:rsidRDefault="006A7868" w:rsidP="00292C2B">
            <w:pPr>
              <w:rPr>
                <w:b/>
                <w:bCs/>
                <w:lang w:val="en-US"/>
              </w:rPr>
            </w:pPr>
            <w:r>
              <w:rPr>
                <w:b/>
                <w:bCs/>
              </w:rPr>
              <w:t>CID</w:t>
            </w:r>
          </w:p>
        </w:tc>
        <w:tc>
          <w:tcPr>
            <w:tcW w:w="814" w:type="dxa"/>
            <w:shd w:val="clear" w:color="auto" w:fill="auto"/>
            <w:hideMark/>
          </w:tcPr>
          <w:p w14:paraId="5161B241" w14:textId="77777777" w:rsidR="006A7868" w:rsidRDefault="006A7868" w:rsidP="00292C2B">
            <w:pPr>
              <w:rPr>
                <w:b/>
                <w:bCs/>
              </w:rPr>
            </w:pPr>
            <w:r>
              <w:rPr>
                <w:b/>
                <w:bCs/>
              </w:rPr>
              <w:t>Page</w:t>
            </w:r>
          </w:p>
        </w:tc>
        <w:tc>
          <w:tcPr>
            <w:tcW w:w="446" w:type="dxa"/>
            <w:shd w:val="clear" w:color="auto" w:fill="auto"/>
            <w:hideMark/>
          </w:tcPr>
          <w:p w14:paraId="2C005024" w14:textId="77777777" w:rsidR="006A7868" w:rsidRDefault="006A7868" w:rsidP="00292C2B">
            <w:pPr>
              <w:rPr>
                <w:b/>
                <w:bCs/>
              </w:rPr>
            </w:pPr>
            <w:r>
              <w:rPr>
                <w:b/>
                <w:bCs/>
              </w:rPr>
              <w:t>Line</w:t>
            </w:r>
          </w:p>
        </w:tc>
        <w:tc>
          <w:tcPr>
            <w:tcW w:w="1260" w:type="dxa"/>
            <w:shd w:val="clear" w:color="auto" w:fill="auto"/>
            <w:hideMark/>
          </w:tcPr>
          <w:p w14:paraId="230F3777" w14:textId="77777777" w:rsidR="006A7868" w:rsidRDefault="006A7868" w:rsidP="00292C2B">
            <w:pPr>
              <w:rPr>
                <w:b/>
                <w:bCs/>
              </w:rPr>
            </w:pPr>
            <w:r>
              <w:rPr>
                <w:b/>
                <w:bCs/>
              </w:rPr>
              <w:t>Clause</w:t>
            </w:r>
          </w:p>
        </w:tc>
        <w:tc>
          <w:tcPr>
            <w:tcW w:w="2160" w:type="dxa"/>
            <w:shd w:val="clear" w:color="auto" w:fill="auto"/>
            <w:hideMark/>
          </w:tcPr>
          <w:p w14:paraId="19CFA786" w14:textId="77777777" w:rsidR="006A7868" w:rsidRDefault="006A7868" w:rsidP="00292C2B">
            <w:pPr>
              <w:rPr>
                <w:b/>
                <w:bCs/>
              </w:rPr>
            </w:pPr>
            <w:r>
              <w:rPr>
                <w:b/>
                <w:bCs/>
              </w:rPr>
              <w:t>Comment</w:t>
            </w:r>
          </w:p>
        </w:tc>
        <w:tc>
          <w:tcPr>
            <w:tcW w:w="3240" w:type="dxa"/>
            <w:shd w:val="clear" w:color="auto" w:fill="auto"/>
            <w:hideMark/>
          </w:tcPr>
          <w:p w14:paraId="4E5A8A9C" w14:textId="77777777" w:rsidR="006A7868" w:rsidRDefault="006A7868" w:rsidP="00292C2B">
            <w:pPr>
              <w:rPr>
                <w:b/>
                <w:bCs/>
              </w:rPr>
            </w:pPr>
            <w:r>
              <w:rPr>
                <w:b/>
                <w:bCs/>
              </w:rPr>
              <w:t>Proposed Change</w:t>
            </w:r>
          </w:p>
        </w:tc>
      </w:tr>
      <w:tr w:rsidR="00000000" w:rsidRPr="00D83636" w14:paraId="551B3217" w14:textId="77777777">
        <w:trPr>
          <w:trHeight w:val="1275"/>
        </w:trPr>
        <w:tc>
          <w:tcPr>
            <w:tcW w:w="828" w:type="dxa"/>
            <w:shd w:val="clear" w:color="auto" w:fill="auto"/>
            <w:hideMark/>
          </w:tcPr>
          <w:p w14:paraId="6E79C274" w14:textId="110528F8" w:rsidR="006A7868" w:rsidRPr="00D83636" w:rsidRDefault="006A7868" w:rsidP="00D83636">
            <w:r>
              <w:t>8259</w:t>
            </w:r>
          </w:p>
        </w:tc>
        <w:tc>
          <w:tcPr>
            <w:tcW w:w="814" w:type="dxa"/>
            <w:shd w:val="clear" w:color="auto" w:fill="auto"/>
            <w:hideMark/>
          </w:tcPr>
          <w:p w14:paraId="5025CDF5" w14:textId="2AD3C319" w:rsidR="006A7868" w:rsidRPr="00D83636" w:rsidRDefault="006A7868" w:rsidP="00D83636">
            <w:r>
              <w:t>1676</w:t>
            </w:r>
          </w:p>
        </w:tc>
        <w:tc>
          <w:tcPr>
            <w:tcW w:w="446" w:type="dxa"/>
            <w:shd w:val="clear" w:color="auto" w:fill="auto"/>
            <w:hideMark/>
          </w:tcPr>
          <w:p w14:paraId="555B068C" w14:textId="12E62249" w:rsidR="006A7868" w:rsidRPr="00D83636" w:rsidRDefault="006A7868">
            <w:r>
              <w:t>23</w:t>
            </w:r>
          </w:p>
        </w:tc>
        <w:tc>
          <w:tcPr>
            <w:tcW w:w="1260" w:type="dxa"/>
            <w:shd w:val="clear" w:color="auto" w:fill="auto"/>
            <w:hideMark/>
          </w:tcPr>
          <w:p w14:paraId="2016FAD5" w14:textId="6035552A" w:rsidR="006A7868" w:rsidRPr="00D83636" w:rsidRDefault="006A7868">
            <w:r>
              <w:t>9.6.7.32</w:t>
            </w:r>
          </w:p>
        </w:tc>
        <w:tc>
          <w:tcPr>
            <w:tcW w:w="2160" w:type="dxa"/>
            <w:shd w:val="clear" w:color="auto" w:fill="auto"/>
            <w:hideMark/>
          </w:tcPr>
          <w:p w14:paraId="79C72D5B" w14:textId="77777777" w:rsidR="006A7868" w:rsidRDefault="006A7868" w:rsidP="00610BEF">
            <w:pPr>
              <w:rPr>
                <w:rFonts w:ascii="Arial" w:hAnsi="Arial" w:cs="Arial"/>
                <w:sz w:val="20"/>
                <w:lang w:val="en-US"/>
              </w:rPr>
            </w:pPr>
            <w:r>
              <w:rPr>
                <w:rFonts w:ascii="Arial" w:hAnsi="Arial" w:cs="Arial"/>
                <w:sz w:val="20"/>
              </w:rPr>
              <w:t>Normative verbs in clause 9.</w:t>
            </w:r>
          </w:p>
          <w:p w14:paraId="2CA18C48" w14:textId="1C40CF35" w:rsidR="006A7868" w:rsidRPr="00D83636" w:rsidRDefault="006A7868"/>
        </w:tc>
        <w:tc>
          <w:tcPr>
            <w:tcW w:w="3240" w:type="dxa"/>
            <w:shd w:val="clear" w:color="auto" w:fill="auto"/>
            <w:hideMark/>
          </w:tcPr>
          <w:p w14:paraId="0FCFBB43" w14:textId="77777777" w:rsidR="006A7868" w:rsidRDefault="006A7868" w:rsidP="00610BEF">
            <w:pPr>
              <w:rPr>
                <w:rFonts w:ascii="Arial" w:hAnsi="Arial" w:cs="Arial"/>
                <w:sz w:val="20"/>
                <w:lang w:val="en-US"/>
              </w:rPr>
            </w:pPr>
            <w:r>
              <w:rPr>
                <w:rFonts w:ascii="Arial" w:hAnsi="Arial" w:cs="Arial"/>
                <w:sz w:val="20"/>
              </w:rPr>
              <w:t>Replace "shall contain" with "contains".  Same thing at P1676.24.</w:t>
            </w:r>
          </w:p>
          <w:p w14:paraId="4C8F63E6" w14:textId="10A0D67E" w:rsidR="006A7868" w:rsidRPr="00D83636" w:rsidRDefault="006A7868"/>
        </w:tc>
      </w:tr>
    </w:tbl>
    <w:p w14:paraId="65F6F4D9" w14:textId="77777777" w:rsidR="002B3690" w:rsidRDefault="002B3690" w:rsidP="004A0268"/>
    <w:p w14:paraId="26E3CC86" w14:textId="715CDBBA" w:rsidR="002B3690" w:rsidRDefault="002B3690" w:rsidP="004A0268">
      <w:r>
        <w:rPr>
          <w:b/>
          <w:bCs/>
          <w:i/>
          <w:iCs/>
        </w:rPr>
        <w:t>Context:</w:t>
      </w:r>
    </w:p>
    <w:p w14:paraId="58C9CB07" w14:textId="77777777" w:rsidR="002B3690" w:rsidRDefault="002B3690" w:rsidP="004A0268"/>
    <w:p w14:paraId="253C968B" w14:textId="32017692" w:rsidR="002B3690" w:rsidRPr="002B3690" w:rsidRDefault="00AB23B4" w:rsidP="00AB23B4">
      <w:pPr>
        <w:pBdr>
          <w:top w:val="single" w:sz="4" w:space="1" w:color="auto"/>
          <w:left w:val="single" w:sz="4" w:space="4" w:color="auto"/>
          <w:bottom w:val="single" w:sz="4" w:space="1" w:color="auto"/>
          <w:right w:val="single" w:sz="4" w:space="4" w:color="auto"/>
        </w:pBdr>
      </w:pPr>
      <w:r>
        <w:pict w14:anchorId="12142257">
          <v:shape id="_x0000_i1029" type="#_x0000_t75" style="width:467.65pt;height:123pt">
            <v:imagedata r:id="rId10" o:title=""/>
          </v:shape>
        </w:pict>
      </w:r>
    </w:p>
    <w:p w14:paraId="4252D3F7" w14:textId="77777777" w:rsidR="002B3690" w:rsidRDefault="002B3690" w:rsidP="004A0268"/>
    <w:p w14:paraId="0942A6A7" w14:textId="77777777" w:rsidR="00AB23B4" w:rsidRDefault="00AB23B4" w:rsidP="004A0268">
      <w:r>
        <w:rPr>
          <w:b/>
          <w:bCs/>
          <w:i/>
          <w:iCs/>
        </w:rPr>
        <w:t>Discussion:</w:t>
      </w:r>
    </w:p>
    <w:p w14:paraId="678FAABB" w14:textId="77777777" w:rsidR="00AB23B4" w:rsidRDefault="00AB23B4" w:rsidP="004A0268"/>
    <w:p w14:paraId="0866CC04" w14:textId="5D00176D" w:rsidR="002B3690" w:rsidRDefault="00AB23B4" w:rsidP="004A0268">
      <w:r>
        <w:t>Each trigger style (as requested by values in the Trigger field) is requesting that the FTM burst/exchange have particular attributes.  Style 2 is requesting using first path AWV; style 3 is requesting to include an LOS assessment measurement; and style 4 is requesting both.</w:t>
      </w:r>
    </w:p>
    <w:p w14:paraId="1BE3EA03" w14:textId="77777777" w:rsidR="002B3690" w:rsidRDefault="002B3690" w:rsidP="004A0268"/>
    <w:p w14:paraId="50D7DD49" w14:textId="77777777" w:rsidR="006A7868" w:rsidRDefault="006A7868" w:rsidP="004A0268">
      <w:r>
        <w:rPr>
          <w:b/>
          <w:bCs/>
          <w:i/>
          <w:iCs/>
        </w:rPr>
        <w:t>Discussion:</w:t>
      </w:r>
    </w:p>
    <w:p w14:paraId="36A2739C" w14:textId="77777777" w:rsidR="006A7868" w:rsidRDefault="006A7868" w:rsidP="004A0268"/>
    <w:p w14:paraId="600F40BE" w14:textId="57AFD285" w:rsidR="006A7868" w:rsidRDefault="006A7868" w:rsidP="004A0268">
      <w:r>
        <w:t>Subclause</w:t>
      </w:r>
      <w:r w:rsidRPr="006A7868">
        <w:t xml:space="preserve"> 11.21.6.3.8</w:t>
      </w:r>
      <w:r>
        <w:t xml:space="preserve"> describes the </w:t>
      </w:r>
      <w:proofErr w:type="spellStart"/>
      <w:r>
        <w:t>behavior</w:t>
      </w:r>
      <w:proofErr w:type="spellEnd"/>
      <w:r>
        <w:t xml:space="preserve"> associated with requesting LOS assessment measurements between STAs that indicate support for it.  So, here in the FTM Request (action) frame definition, this </w:t>
      </w:r>
      <w:r w:rsidR="00F9438D">
        <w:t>is the ISTA requesting use of the facility during this FTM burst.</w:t>
      </w:r>
    </w:p>
    <w:p w14:paraId="0C421B2E" w14:textId="77777777" w:rsidR="006A7868" w:rsidRDefault="006A7868" w:rsidP="004A0268"/>
    <w:p w14:paraId="7919931B" w14:textId="4433A4B2" w:rsidR="006A7868" w:rsidRDefault="006A7868" w:rsidP="004A0268">
      <w:r>
        <w:t>:</w:t>
      </w:r>
      <w:r w:rsidRPr="006A7868">
        <w:t xml:space="preserve"> "indicates that the following </w:t>
      </w:r>
      <w:proofErr w:type="spellStart"/>
      <w:r w:rsidRPr="006A7868">
        <w:t>following</w:t>
      </w:r>
      <w:proofErr w:type="spellEnd"/>
      <w:r w:rsidRPr="006A7868">
        <w:t xml:space="preserve"> FTM burst is requested to contain LOS assessment measurements."</w:t>
      </w:r>
    </w:p>
    <w:p w14:paraId="17E7B6C7" w14:textId="77777777" w:rsidR="006A7868" w:rsidRDefault="006A7868" w:rsidP="004A0268"/>
    <w:p w14:paraId="40D935B0" w14:textId="652D5A22" w:rsidR="00AB23B4" w:rsidRDefault="00AB23B4" w:rsidP="004A0268">
      <w:r>
        <w:rPr>
          <w:b/>
          <w:bCs/>
          <w:i/>
          <w:iCs/>
        </w:rPr>
        <w:t>Proposed resolution:</w:t>
      </w:r>
    </w:p>
    <w:p w14:paraId="47D171AC" w14:textId="77777777" w:rsidR="00AB23B4" w:rsidRDefault="00AB23B4" w:rsidP="004A0268"/>
    <w:p w14:paraId="04F14FA6" w14:textId="273D83DE" w:rsidR="00AB23B4" w:rsidRDefault="00AB23B4" w:rsidP="004A0268">
      <w:r w:rsidRPr="009B790C">
        <w:rPr>
          <w:highlight w:val="green"/>
        </w:rPr>
        <w:t>Revised</w:t>
      </w:r>
    </w:p>
    <w:p w14:paraId="43437544" w14:textId="77777777" w:rsidR="00AB23B4" w:rsidRDefault="00AB23B4" w:rsidP="004A0268"/>
    <w:p w14:paraId="47B89522" w14:textId="38B09ACC" w:rsidR="00AB23B4" w:rsidRDefault="00F9438D" w:rsidP="004A0268">
      <w:r>
        <w:t>Change:</w:t>
      </w:r>
    </w:p>
    <w:p w14:paraId="4843914D" w14:textId="3EDC0ABF" w:rsidR="00F9438D" w:rsidRDefault="00F9438D" w:rsidP="00F9438D">
      <w:pPr>
        <w:ind w:left="720"/>
      </w:pPr>
      <w:r>
        <w:t>When the Trigger field is set to 3, an EDMG ISTA indicates that the following FTM burst</w:t>
      </w:r>
      <w:r>
        <w:t xml:space="preserve"> </w:t>
      </w:r>
      <w:r>
        <w:t>shall contain a LOS assessment measurement. If the FTM burst is performed over the first path AWV and</w:t>
      </w:r>
      <w:r>
        <w:t xml:space="preserve"> </w:t>
      </w:r>
      <w:r>
        <w:t>shall contain a LOS assessment measurement, the Trigger field is set to 4.</w:t>
      </w:r>
    </w:p>
    <w:p w14:paraId="666D444A" w14:textId="779B5D6C" w:rsidR="00F9438D" w:rsidRDefault="00F9438D" w:rsidP="00F9438D">
      <w:r>
        <w:t>to:</w:t>
      </w:r>
    </w:p>
    <w:p w14:paraId="24D09030" w14:textId="7F3B1CCA" w:rsidR="00F9438D" w:rsidRDefault="00F9438D" w:rsidP="00F9438D">
      <w:pPr>
        <w:ind w:left="720"/>
      </w:pPr>
      <w:r>
        <w:t xml:space="preserve">When the Trigger field is set to 3, an EDMG ISTA indicates that the following FTM burst </w:t>
      </w:r>
      <w:r w:rsidRPr="00F9438D">
        <w:rPr>
          <w:highlight w:val="cyan"/>
        </w:rPr>
        <w:t>is requested to contain LOS assessment measurements</w:t>
      </w:r>
      <w:r w:rsidRPr="006A7868">
        <w:t>.</w:t>
      </w:r>
      <w:r>
        <w:t xml:space="preserve"> </w:t>
      </w:r>
      <w:r>
        <w:t xml:space="preserve"> If the FTM burst is performed over the first path AWV and </w:t>
      </w:r>
      <w:r w:rsidRPr="00F9438D">
        <w:rPr>
          <w:highlight w:val="cyan"/>
        </w:rPr>
        <w:t>is requested to contain LOS assessment measurements</w:t>
      </w:r>
      <w:r>
        <w:t>, the Trigger field is set to 4.</w:t>
      </w:r>
    </w:p>
    <w:p w14:paraId="59C3696F" w14:textId="77777777" w:rsidR="00F9438D" w:rsidRPr="00AB23B4" w:rsidRDefault="00F9438D" w:rsidP="00F9438D"/>
    <w:p w14:paraId="747A08BE" w14:textId="77777777" w:rsidR="00D449CD" w:rsidRDefault="00D83636" w:rsidP="00D449CD">
      <w:r w:rsidRPr="00D83636">
        <w:t xml:space="preserve"> </w:t>
      </w:r>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716"/>
        <w:gridCol w:w="990"/>
        <w:gridCol w:w="2160"/>
        <w:gridCol w:w="3240"/>
      </w:tblGrid>
      <w:tr w:rsidR="00000000" w:rsidRPr="00D83636" w14:paraId="1A494161" w14:textId="77777777">
        <w:trPr>
          <w:trHeight w:val="765"/>
        </w:trPr>
        <w:tc>
          <w:tcPr>
            <w:tcW w:w="828" w:type="dxa"/>
            <w:shd w:val="clear" w:color="auto" w:fill="auto"/>
            <w:hideMark/>
          </w:tcPr>
          <w:p w14:paraId="08AE4F06" w14:textId="77777777" w:rsidR="00D449CD" w:rsidRDefault="00D449CD" w:rsidP="00292C2B">
            <w:pPr>
              <w:rPr>
                <w:b/>
                <w:bCs/>
                <w:lang w:val="en-US"/>
              </w:rPr>
            </w:pPr>
            <w:r>
              <w:rPr>
                <w:b/>
                <w:bCs/>
              </w:rPr>
              <w:t>CID</w:t>
            </w:r>
          </w:p>
        </w:tc>
        <w:tc>
          <w:tcPr>
            <w:tcW w:w="814" w:type="dxa"/>
            <w:shd w:val="clear" w:color="auto" w:fill="auto"/>
            <w:hideMark/>
          </w:tcPr>
          <w:p w14:paraId="221A3F2C" w14:textId="77777777" w:rsidR="00D449CD" w:rsidRDefault="00D449CD" w:rsidP="00292C2B">
            <w:pPr>
              <w:rPr>
                <w:b/>
                <w:bCs/>
              </w:rPr>
            </w:pPr>
            <w:r>
              <w:rPr>
                <w:b/>
                <w:bCs/>
              </w:rPr>
              <w:t>Page</w:t>
            </w:r>
          </w:p>
        </w:tc>
        <w:tc>
          <w:tcPr>
            <w:tcW w:w="716" w:type="dxa"/>
            <w:shd w:val="clear" w:color="auto" w:fill="auto"/>
            <w:hideMark/>
          </w:tcPr>
          <w:p w14:paraId="63F631FB" w14:textId="77777777" w:rsidR="00D449CD" w:rsidRDefault="00D449CD" w:rsidP="00292C2B">
            <w:pPr>
              <w:rPr>
                <w:b/>
                <w:bCs/>
              </w:rPr>
            </w:pPr>
            <w:r>
              <w:rPr>
                <w:b/>
                <w:bCs/>
              </w:rPr>
              <w:t>Line</w:t>
            </w:r>
          </w:p>
        </w:tc>
        <w:tc>
          <w:tcPr>
            <w:tcW w:w="990" w:type="dxa"/>
            <w:shd w:val="clear" w:color="auto" w:fill="auto"/>
            <w:hideMark/>
          </w:tcPr>
          <w:p w14:paraId="76E85075" w14:textId="77777777" w:rsidR="00D449CD" w:rsidRDefault="00D449CD" w:rsidP="00292C2B">
            <w:pPr>
              <w:rPr>
                <w:b/>
                <w:bCs/>
              </w:rPr>
            </w:pPr>
            <w:r>
              <w:rPr>
                <w:b/>
                <w:bCs/>
              </w:rPr>
              <w:t>Clause</w:t>
            </w:r>
          </w:p>
        </w:tc>
        <w:tc>
          <w:tcPr>
            <w:tcW w:w="2160" w:type="dxa"/>
            <w:shd w:val="clear" w:color="auto" w:fill="auto"/>
            <w:hideMark/>
          </w:tcPr>
          <w:p w14:paraId="49639662" w14:textId="77777777" w:rsidR="00D449CD" w:rsidRDefault="00D449CD" w:rsidP="00292C2B">
            <w:pPr>
              <w:rPr>
                <w:b/>
                <w:bCs/>
              </w:rPr>
            </w:pPr>
            <w:r>
              <w:rPr>
                <w:b/>
                <w:bCs/>
              </w:rPr>
              <w:t>Comment</w:t>
            </w:r>
          </w:p>
        </w:tc>
        <w:tc>
          <w:tcPr>
            <w:tcW w:w="3240" w:type="dxa"/>
            <w:shd w:val="clear" w:color="auto" w:fill="auto"/>
            <w:hideMark/>
          </w:tcPr>
          <w:p w14:paraId="0C8D0D70" w14:textId="77777777" w:rsidR="00D449CD" w:rsidRDefault="00D449CD" w:rsidP="00292C2B">
            <w:pPr>
              <w:rPr>
                <w:b/>
                <w:bCs/>
              </w:rPr>
            </w:pPr>
            <w:r>
              <w:rPr>
                <w:b/>
                <w:bCs/>
              </w:rPr>
              <w:t>Proposed Change</w:t>
            </w:r>
          </w:p>
        </w:tc>
      </w:tr>
      <w:tr w:rsidR="00000000" w:rsidRPr="00D83636" w14:paraId="633D6A9D" w14:textId="77777777">
        <w:trPr>
          <w:trHeight w:val="1275"/>
        </w:trPr>
        <w:tc>
          <w:tcPr>
            <w:tcW w:w="828" w:type="dxa"/>
            <w:shd w:val="clear" w:color="auto" w:fill="auto"/>
            <w:hideMark/>
          </w:tcPr>
          <w:p w14:paraId="075DE8DA" w14:textId="28D98493" w:rsidR="00D449CD" w:rsidRPr="00D83636" w:rsidRDefault="00D449CD" w:rsidP="00292C2B">
            <w:r>
              <w:t>8229</w:t>
            </w:r>
          </w:p>
        </w:tc>
        <w:tc>
          <w:tcPr>
            <w:tcW w:w="814" w:type="dxa"/>
            <w:shd w:val="clear" w:color="auto" w:fill="auto"/>
            <w:hideMark/>
          </w:tcPr>
          <w:p w14:paraId="38BAB907" w14:textId="65B940A8" w:rsidR="00D449CD" w:rsidRPr="00D83636" w:rsidRDefault="00D449CD" w:rsidP="00292C2B">
            <w:r>
              <w:t>740</w:t>
            </w:r>
          </w:p>
        </w:tc>
        <w:tc>
          <w:tcPr>
            <w:tcW w:w="716" w:type="dxa"/>
            <w:shd w:val="clear" w:color="auto" w:fill="auto"/>
            <w:hideMark/>
          </w:tcPr>
          <w:p w14:paraId="6E592678" w14:textId="3157640D" w:rsidR="00D449CD" w:rsidRPr="00D83636" w:rsidRDefault="00D449CD" w:rsidP="00292C2B">
            <w:r>
              <w:t>20</w:t>
            </w:r>
          </w:p>
        </w:tc>
        <w:tc>
          <w:tcPr>
            <w:tcW w:w="990" w:type="dxa"/>
            <w:shd w:val="clear" w:color="auto" w:fill="auto"/>
            <w:hideMark/>
          </w:tcPr>
          <w:p w14:paraId="6D25BD21" w14:textId="18DC36CF" w:rsidR="00D449CD" w:rsidRPr="00D83636" w:rsidRDefault="00D449CD" w:rsidP="00292C2B">
            <w:r>
              <w:t>9.3.3.5</w:t>
            </w:r>
          </w:p>
        </w:tc>
        <w:tc>
          <w:tcPr>
            <w:tcW w:w="2160" w:type="dxa"/>
            <w:shd w:val="clear" w:color="auto" w:fill="auto"/>
            <w:hideMark/>
          </w:tcPr>
          <w:p w14:paraId="6BE28ACF" w14:textId="77777777" w:rsidR="00D449CD" w:rsidRDefault="00D449CD" w:rsidP="00D449CD">
            <w:pPr>
              <w:rPr>
                <w:rFonts w:ascii="Arial" w:hAnsi="Arial" w:cs="Arial"/>
                <w:sz w:val="20"/>
                <w:lang w:val="en-US"/>
              </w:rPr>
            </w:pPr>
            <w:r>
              <w:rPr>
                <w:rFonts w:ascii="Arial" w:hAnsi="Arial" w:cs="Arial"/>
                <w:sz w:val="20"/>
              </w:rPr>
              <w:t xml:space="preserve">What does "ought" mean in this context (738.20, D5.0)?  "Should"??  "Shall"??  Something non-normative??  Also, this is already stated in 11.1.4.6, "An S1G or CMMG STA should not include supported rates in frames it transmits since its MCS capabilities are indicated in its Capabilities element."  Make this an understandable </w:t>
            </w:r>
            <w:proofErr w:type="spellStart"/>
            <w:r>
              <w:rPr>
                <w:rFonts w:ascii="Arial" w:hAnsi="Arial" w:cs="Arial"/>
                <w:sz w:val="20"/>
              </w:rPr>
              <w:t>xref</w:t>
            </w:r>
            <w:proofErr w:type="spellEnd"/>
            <w:r>
              <w:rPr>
                <w:rFonts w:ascii="Arial" w:hAnsi="Arial" w:cs="Arial"/>
                <w:sz w:val="20"/>
              </w:rPr>
              <w:t>.  Same thing at P740.31, P743.57, P744.11, P748.48, P748.59, P754.17, P754.28, P759.16, P759.29, P762.16, and P763.11.</w:t>
            </w:r>
          </w:p>
          <w:p w14:paraId="2D397257" w14:textId="77777777" w:rsidR="00D449CD" w:rsidRPr="00D83636" w:rsidRDefault="00D449CD" w:rsidP="00292C2B"/>
        </w:tc>
        <w:tc>
          <w:tcPr>
            <w:tcW w:w="3240" w:type="dxa"/>
            <w:shd w:val="clear" w:color="auto" w:fill="auto"/>
            <w:hideMark/>
          </w:tcPr>
          <w:p w14:paraId="3E181A5B" w14:textId="77777777" w:rsidR="00D449CD" w:rsidRDefault="00D449CD" w:rsidP="00D449CD">
            <w:pPr>
              <w:rPr>
                <w:rFonts w:ascii="Arial" w:hAnsi="Arial" w:cs="Arial"/>
                <w:sz w:val="20"/>
                <w:lang w:val="en-US"/>
              </w:rPr>
            </w:pPr>
            <w:r>
              <w:rPr>
                <w:rFonts w:ascii="Arial" w:hAnsi="Arial" w:cs="Arial"/>
                <w:sz w:val="20"/>
              </w:rPr>
              <w:t>At P740.19, P743.56, P748.47, P754.16, P759.15, and P762.14, replace the entire content of the Notes box, with "See 11.1.4.6 for details on the inclusion of this element when dot11S1GOptionImplemented or dot11DMGOptionImplemented is true.  At P740.30, P744.10, P748.58, P754.27, P759.27, and P763.10, replace the similar sentence in the Notes box, with the same change.</w:t>
            </w:r>
          </w:p>
          <w:p w14:paraId="448FFF2E" w14:textId="77777777" w:rsidR="00D449CD" w:rsidRPr="00D83636" w:rsidRDefault="00D449CD" w:rsidP="00292C2B"/>
        </w:tc>
      </w:tr>
      <w:tr w:rsidR="00000000" w:rsidRPr="00D83636" w14:paraId="1D5CFDEE" w14:textId="77777777">
        <w:trPr>
          <w:trHeight w:val="1275"/>
        </w:trPr>
        <w:tc>
          <w:tcPr>
            <w:tcW w:w="828" w:type="dxa"/>
            <w:shd w:val="clear" w:color="auto" w:fill="auto"/>
          </w:tcPr>
          <w:p w14:paraId="798E9352" w14:textId="792144CB" w:rsidR="00D449CD" w:rsidRDefault="00D449CD" w:rsidP="00292C2B">
            <w:r>
              <w:t>8120</w:t>
            </w:r>
          </w:p>
        </w:tc>
        <w:tc>
          <w:tcPr>
            <w:tcW w:w="814" w:type="dxa"/>
            <w:shd w:val="clear" w:color="auto" w:fill="auto"/>
          </w:tcPr>
          <w:p w14:paraId="6DB69976" w14:textId="77777777" w:rsidR="00D449CD" w:rsidRDefault="00D449CD" w:rsidP="00292C2B"/>
        </w:tc>
        <w:tc>
          <w:tcPr>
            <w:tcW w:w="716" w:type="dxa"/>
            <w:shd w:val="clear" w:color="auto" w:fill="auto"/>
          </w:tcPr>
          <w:p w14:paraId="112A462C" w14:textId="77777777" w:rsidR="00D449CD" w:rsidRDefault="00D449CD" w:rsidP="00292C2B"/>
        </w:tc>
        <w:tc>
          <w:tcPr>
            <w:tcW w:w="990" w:type="dxa"/>
            <w:shd w:val="clear" w:color="auto" w:fill="auto"/>
          </w:tcPr>
          <w:p w14:paraId="1DD2B4AB" w14:textId="021BBC7A" w:rsidR="00D449CD" w:rsidRDefault="00D449CD" w:rsidP="00292C2B">
            <w:r>
              <w:t>14</w:t>
            </w:r>
          </w:p>
        </w:tc>
        <w:tc>
          <w:tcPr>
            <w:tcW w:w="2160" w:type="dxa"/>
            <w:shd w:val="clear" w:color="auto" w:fill="auto"/>
          </w:tcPr>
          <w:p w14:paraId="24FAE79D" w14:textId="77777777" w:rsidR="00D449CD" w:rsidRDefault="00D449CD" w:rsidP="00D449CD">
            <w:pPr>
              <w:rPr>
                <w:rFonts w:ascii="Arial" w:hAnsi="Arial" w:cs="Arial"/>
                <w:sz w:val="20"/>
                <w:lang w:val="en-US"/>
              </w:rPr>
            </w:pPr>
            <w:r>
              <w:rPr>
                <w:rFonts w:ascii="Arial" w:hAnsi="Arial" w:cs="Arial"/>
                <w:sz w:val="20"/>
              </w:rPr>
              <w:t>define "might" and "ought to" as informative suggestions and recommendations respectively</w:t>
            </w:r>
          </w:p>
          <w:p w14:paraId="3769BDD1" w14:textId="77777777" w:rsidR="00D449CD" w:rsidRDefault="00D449CD" w:rsidP="00292C2B">
            <w:pPr>
              <w:rPr>
                <w:rFonts w:ascii="Arial" w:hAnsi="Arial" w:cs="Arial"/>
                <w:sz w:val="20"/>
              </w:rPr>
            </w:pPr>
          </w:p>
        </w:tc>
        <w:tc>
          <w:tcPr>
            <w:tcW w:w="3240" w:type="dxa"/>
            <w:shd w:val="clear" w:color="auto" w:fill="auto"/>
          </w:tcPr>
          <w:p w14:paraId="04BEB6B7" w14:textId="77777777" w:rsidR="00D449CD" w:rsidRDefault="00D449CD" w:rsidP="00D449CD">
            <w:pPr>
              <w:rPr>
                <w:rFonts w:ascii="Arial" w:hAnsi="Arial" w:cs="Arial"/>
                <w:sz w:val="20"/>
                <w:lang w:val="en-US"/>
              </w:rPr>
            </w:pPr>
            <w:r>
              <w:rPr>
                <w:rFonts w:ascii="Arial" w:hAnsi="Arial" w:cs="Arial"/>
                <w:sz w:val="20"/>
              </w:rPr>
              <w:t>As it says in the comment</w:t>
            </w:r>
          </w:p>
          <w:p w14:paraId="6EA3CF84" w14:textId="77777777" w:rsidR="00D449CD" w:rsidRDefault="00D449CD" w:rsidP="00292C2B">
            <w:pPr>
              <w:rPr>
                <w:rFonts w:ascii="Arial" w:hAnsi="Arial" w:cs="Arial"/>
                <w:sz w:val="20"/>
              </w:rPr>
            </w:pPr>
          </w:p>
        </w:tc>
      </w:tr>
    </w:tbl>
    <w:p w14:paraId="4630003F" w14:textId="77777777" w:rsidR="00D449CD" w:rsidRDefault="00D449CD" w:rsidP="00D449CD"/>
    <w:p w14:paraId="3A864A5A" w14:textId="77777777" w:rsidR="00D449CD" w:rsidRDefault="00D449CD" w:rsidP="00D449CD">
      <w:r>
        <w:rPr>
          <w:b/>
          <w:bCs/>
          <w:i/>
          <w:iCs/>
        </w:rPr>
        <w:t>Context:</w:t>
      </w:r>
    </w:p>
    <w:p w14:paraId="4CDF33E3" w14:textId="77777777" w:rsidR="00D449CD" w:rsidRPr="00D449CD" w:rsidRDefault="00D449CD" w:rsidP="00D449CD"/>
    <w:p w14:paraId="13518871" w14:textId="30A580FB" w:rsidR="00D449CD" w:rsidRDefault="00D449CD" w:rsidP="00D449CD">
      <w:pPr>
        <w:pBdr>
          <w:top w:val="single" w:sz="4" w:space="1" w:color="auto"/>
          <w:left w:val="single" w:sz="4" w:space="4" w:color="auto"/>
          <w:bottom w:val="single" w:sz="4" w:space="1" w:color="auto"/>
          <w:right w:val="single" w:sz="4" w:space="4" w:color="auto"/>
        </w:pBdr>
      </w:pPr>
      <w:r>
        <w:pict w14:anchorId="7D0A6C80">
          <v:shape id="_x0000_i1032" type="#_x0000_t75" style="width:468pt;height:186.75pt">
            <v:imagedata r:id="rId11" o:title=""/>
          </v:shape>
        </w:pict>
      </w:r>
    </w:p>
    <w:p w14:paraId="5BE8CE11" w14:textId="77777777" w:rsidR="00D449CD" w:rsidRDefault="00D449CD" w:rsidP="000E3AEA"/>
    <w:p w14:paraId="1E17A531" w14:textId="43C24918" w:rsidR="009622CC" w:rsidRDefault="009622CC" w:rsidP="009622CC">
      <w:pPr>
        <w:pBdr>
          <w:top w:val="single" w:sz="4" w:space="1" w:color="auto"/>
          <w:left w:val="single" w:sz="4" w:space="4" w:color="auto"/>
          <w:bottom w:val="single" w:sz="4" w:space="1" w:color="auto"/>
          <w:right w:val="single" w:sz="4" w:space="4" w:color="auto"/>
        </w:pBdr>
      </w:pPr>
      <w:r>
        <w:lastRenderedPageBreak/>
        <w:pict w14:anchorId="0A0277F4">
          <v:shape id="_x0000_i1033" type="#_x0000_t75" style="width:467.25pt;height:86.25pt">
            <v:imagedata r:id="rId12" o:title=""/>
          </v:shape>
        </w:pict>
      </w:r>
    </w:p>
    <w:p w14:paraId="7D1E879B" w14:textId="77777777" w:rsidR="009622CC" w:rsidRPr="00D449CD" w:rsidRDefault="009622CC" w:rsidP="000E3AEA"/>
    <w:p w14:paraId="2FD56949" w14:textId="53A12385" w:rsidR="00D449CD" w:rsidRDefault="00D449CD" w:rsidP="000E3AEA">
      <w:r>
        <w:rPr>
          <w:b/>
          <w:bCs/>
          <w:i/>
          <w:iCs/>
        </w:rPr>
        <w:t>Discussion:</w:t>
      </w:r>
    </w:p>
    <w:p w14:paraId="4848B1A5" w14:textId="77777777" w:rsidR="00D449CD" w:rsidRDefault="00D449CD" w:rsidP="000E3AEA"/>
    <w:p w14:paraId="074873B4" w14:textId="77777777" w:rsidR="003410C5" w:rsidRDefault="00D449CD" w:rsidP="000E3AEA">
      <w:r>
        <w:t xml:space="preserve">There are </w:t>
      </w:r>
      <w:r w:rsidR="003410C5">
        <w:t xml:space="preserve">two places that “ought” is used in the Draft.  </w:t>
      </w:r>
    </w:p>
    <w:p w14:paraId="5E9B154D" w14:textId="77777777" w:rsidR="003410C5" w:rsidRDefault="003410C5" w:rsidP="000E3AEA"/>
    <w:p w14:paraId="07B09B54" w14:textId="0E428992" w:rsidR="00D449CD" w:rsidRDefault="003410C5" w:rsidP="000E3AEA">
      <w:r>
        <w:t>The above example (cited in CID 8229) is a use in frame formats in clause 9, and all these uses are of this same form and all reference the [Extended] Supported Rates and BSS Membership Selectors elements.</w:t>
      </w:r>
    </w:p>
    <w:p w14:paraId="04E166FA" w14:textId="77777777" w:rsidR="003410C5" w:rsidRDefault="003410C5" w:rsidP="000E3AEA"/>
    <w:p w14:paraId="444D9EDF" w14:textId="0CD2F661" w:rsidR="003410C5" w:rsidRPr="00D449CD" w:rsidRDefault="003410C5" w:rsidP="000E3AEA">
      <w:r>
        <w:t>There are also 4-5 uses of “ought” within NOTEs scattered through the Draft.</w:t>
      </w:r>
    </w:p>
    <w:p w14:paraId="6BCD10C0" w14:textId="77777777" w:rsidR="00D449CD" w:rsidRPr="00D449CD" w:rsidRDefault="00D449CD" w:rsidP="000E3AEA"/>
    <w:p w14:paraId="2425D222" w14:textId="71E49F55" w:rsidR="00D449CD" w:rsidRDefault="003410C5" w:rsidP="000E3AEA">
      <w:r>
        <w:t xml:space="preserve">CID 8229 requests to not use this (currently not well defined) verb in the frame definitions.  It offers an alternate wording which replaces these “you should do X because 11.1.4.6 says so” to just say “see 11.1.4.6 for rules about doing X”, which seems like a more direct statement of the </w:t>
      </w:r>
      <w:proofErr w:type="spellStart"/>
      <w:r>
        <w:t>requiement</w:t>
      </w:r>
      <w:proofErr w:type="spellEnd"/>
      <w:r>
        <w:t xml:space="preserve"> anyway.</w:t>
      </w:r>
    </w:p>
    <w:p w14:paraId="17DACB50" w14:textId="77777777" w:rsidR="003410C5" w:rsidRDefault="003410C5" w:rsidP="000E3AEA"/>
    <w:p w14:paraId="5757567B" w14:textId="4720A769" w:rsidR="003410C5" w:rsidRDefault="003410C5" w:rsidP="000E3AEA">
      <w:r>
        <w:t>CID 8120 notes that two verbs, “ought” and “might” are not well-defined.  And, even with application of the CID 8229 resolution, there are still uses of “ought” in NOTEs at other locations, so the need to define the word “ought” is valid.</w:t>
      </w:r>
    </w:p>
    <w:p w14:paraId="427254C2" w14:textId="77777777" w:rsidR="003410C5" w:rsidRDefault="003410C5" w:rsidP="000E3AEA"/>
    <w:p w14:paraId="7249036A" w14:textId="0A891AD9" w:rsidR="003410C5" w:rsidRDefault="003410C5" w:rsidP="000E3AEA">
      <w:r>
        <w:t>Hence, the suggestion is to accept both, in effect.</w:t>
      </w:r>
    </w:p>
    <w:p w14:paraId="13B9155E" w14:textId="77777777" w:rsidR="003410C5" w:rsidRDefault="003410C5" w:rsidP="000E3AEA"/>
    <w:p w14:paraId="3A37A5E9" w14:textId="170F9756" w:rsidR="003410C5" w:rsidRDefault="003410C5" w:rsidP="000E3AEA">
      <w:r>
        <w:rPr>
          <w:b/>
          <w:bCs/>
          <w:i/>
          <w:iCs/>
        </w:rPr>
        <w:t>Proposed Resolutions:</w:t>
      </w:r>
    </w:p>
    <w:p w14:paraId="1AA869BE" w14:textId="77777777" w:rsidR="003410C5" w:rsidRDefault="003410C5" w:rsidP="000E3AEA"/>
    <w:p w14:paraId="32E05034" w14:textId="702AA8A0" w:rsidR="003410C5" w:rsidRPr="003410C5" w:rsidRDefault="003410C5" w:rsidP="000E3AEA">
      <w:pPr>
        <w:rPr>
          <w:b/>
          <w:bCs/>
        </w:rPr>
      </w:pPr>
      <w:r w:rsidRPr="003410C5">
        <w:rPr>
          <w:b/>
          <w:bCs/>
        </w:rPr>
        <w:t>CID 8229</w:t>
      </w:r>
    </w:p>
    <w:p w14:paraId="5B9788C8" w14:textId="7D333FF9" w:rsidR="003410C5" w:rsidRDefault="003410C5" w:rsidP="000E3AEA">
      <w:r w:rsidRPr="000A7956">
        <w:rPr>
          <w:highlight w:val="green"/>
        </w:rPr>
        <w:t>Accepted.</w:t>
      </w:r>
    </w:p>
    <w:p w14:paraId="17D8EE79" w14:textId="77777777" w:rsidR="003410C5" w:rsidRDefault="003410C5" w:rsidP="000E3AEA"/>
    <w:p w14:paraId="7C900C23" w14:textId="68C1245A" w:rsidR="003410C5" w:rsidRPr="003410C5" w:rsidRDefault="003410C5" w:rsidP="000E3AEA">
      <w:pPr>
        <w:rPr>
          <w:b/>
          <w:bCs/>
        </w:rPr>
      </w:pPr>
      <w:r w:rsidRPr="003410C5">
        <w:rPr>
          <w:b/>
          <w:bCs/>
        </w:rPr>
        <w:t>CID 8120</w:t>
      </w:r>
    </w:p>
    <w:p w14:paraId="10791264" w14:textId="277C9ADA" w:rsidR="003410C5" w:rsidRPr="009B2E6D" w:rsidRDefault="003410C5" w:rsidP="000E3AEA">
      <w:pPr>
        <w:rPr>
          <w:strike/>
        </w:rPr>
      </w:pPr>
      <w:r w:rsidRPr="009B2E6D">
        <w:rPr>
          <w:strike/>
        </w:rPr>
        <w:t>Revised.</w:t>
      </w:r>
    </w:p>
    <w:p w14:paraId="1D2D905D" w14:textId="77777777" w:rsidR="003410C5" w:rsidRPr="009B2E6D" w:rsidRDefault="003410C5" w:rsidP="000E3AEA">
      <w:pPr>
        <w:rPr>
          <w:strike/>
        </w:rPr>
      </w:pPr>
    </w:p>
    <w:p w14:paraId="6D0DA3FB" w14:textId="140C4EF2" w:rsidR="003410C5" w:rsidRPr="009B2E6D" w:rsidRDefault="003410C5" w:rsidP="000E3AEA">
      <w:pPr>
        <w:rPr>
          <w:strike/>
        </w:rPr>
      </w:pPr>
      <w:r w:rsidRPr="009B2E6D">
        <w:rPr>
          <w:strike/>
        </w:rPr>
        <w:t xml:space="preserve">Replace </w:t>
      </w:r>
      <w:r w:rsidR="009622CC" w:rsidRPr="009B2E6D">
        <w:rPr>
          <w:strike/>
        </w:rPr>
        <w:t>the first paragraph of subclause 1.4 w</w:t>
      </w:r>
      <w:r w:rsidRPr="009B2E6D">
        <w:rPr>
          <w:strike/>
        </w:rPr>
        <w:t>ith:</w:t>
      </w:r>
    </w:p>
    <w:p w14:paraId="20D0AFBE" w14:textId="0B7E0F02" w:rsidR="003410C5" w:rsidRPr="009B2E6D" w:rsidRDefault="003410C5" w:rsidP="003410C5">
      <w:pPr>
        <w:ind w:left="720"/>
        <w:rPr>
          <w:strike/>
        </w:rPr>
      </w:pPr>
      <w:r w:rsidRPr="009B2E6D">
        <w:rPr>
          <w:strike/>
        </w:rPr>
        <w:t xml:space="preserve">In this document, the word </w:t>
      </w:r>
      <w:r w:rsidRPr="009B2E6D">
        <w:rPr>
          <w:i/>
          <w:iCs/>
          <w:strike/>
        </w:rPr>
        <w:t>shall</w:t>
      </w:r>
      <w:r w:rsidRPr="009B2E6D">
        <w:rPr>
          <w:strike/>
        </w:rPr>
        <w:t xml:space="preserve"> is used to indicate a mandatory requirement. The word </w:t>
      </w:r>
      <w:r w:rsidRPr="009B2E6D">
        <w:rPr>
          <w:i/>
          <w:iCs/>
          <w:strike/>
        </w:rPr>
        <w:t>should</w:t>
      </w:r>
      <w:r w:rsidRPr="009B2E6D">
        <w:rPr>
          <w:strike/>
        </w:rPr>
        <w:t xml:space="preserve"> is used to indicate a recommendation </w:t>
      </w:r>
      <w:r w:rsidRPr="009B2E6D">
        <w:rPr>
          <w:strike/>
          <w:u w:val="single"/>
        </w:rPr>
        <w:t>(informatively</w:t>
      </w:r>
      <w:r w:rsidR="009622CC" w:rsidRPr="009B2E6D">
        <w:rPr>
          <w:strike/>
          <w:u w:val="single"/>
        </w:rPr>
        <w:t>,</w:t>
      </w:r>
      <w:r w:rsidRPr="009B2E6D">
        <w:rPr>
          <w:strike/>
          <w:u w:val="single"/>
        </w:rPr>
        <w:t xml:space="preserve"> the words </w:t>
      </w:r>
      <w:r w:rsidRPr="009B2E6D">
        <w:rPr>
          <w:i/>
          <w:iCs/>
          <w:strike/>
          <w:u w:val="single"/>
        </w:rPr>
        <w:t>ought to</w:t>
      </w:r>
      <w:r w:rsidRPr="009B2E6D">
        <w:rPr>
          <w:strike/>
          <w:u w:val="single"/>
        </w:rPr>
        <w:t xml:space="preserve"> are used)</w:t>
      </w:r>
      <w:r w:rsidRPr="009B2E6D">
        <w:rPr>
          <w:strike/>
        </w:rPr>
        <w:t xml:space="preserve">. The word </w:t>
      </w:r>
      <w:r w:rsidRPr="009B2E6D">
        <w:rPr>
          <w:i/>
          <w:iCs/>
          <w:strike/>
        </w:rPr>
        <w:t>may</w:t>
      </w:r>
      <w:r w:rsidRPr="009B2E6D">
        <w:rPr>
          <w:strike/>
        </w:rPr>
        <w:t xml:space="preserve"> is used to indicate a permissible action </w:t>
      </w:r>
      <w:r w:rsidRPr="009B2E6D">
        <w:rPr>
          <w:strike/>
          <w:u w:val="single"/>
        </w:rPr>
        <w:t>(informatively</w:t>
      </w:r>
      <w:r w:rsidR="009622CC" w:rsidRPr="009B2E6D">
        <w:rPr>
          <w:strike/>
          <w:u w:val="single"/>
        </w:rPr>
        <w:t>,</w:t>
      </w:r>
      <w:r w:rsidRPr="009B2E6D">
        <w:rPr>
          <w:strike/>
          <w:u w:val="single"/>
        </w:rPr>
        <w:t xml:space="preserve"> the word </w:t>
      </w:r>
      <w:r w:rsidRPr="009B2E6D">
        <w:rPr>
          <w:i/>
          <w:iCs/>
          <w:strike/>
          <w:u w:val="single"/>
        </w:rPr>
        <w:t>might</w:t>
      </w:r>
      <w:r w:rsidRPr="009B2E6D">
        <w:rPr>
          <w:strike/>
          <w:u w:val="single"/>
        </w:rPr>
        <w:t xml:space="preserve"> is used)</w:t>
      </w:r>
      <w:r w:rsidRPr="009B2E6D">
        <w:rPr>
          <w:strike/>
        </w:rPr>
        <w:t xml:space="preserve">. The word </w:t>
      </w:r>
      <w:r w:rsidRPr="009B2E6D">
        <w:rPr>
          <w:i/>
          <w:iCs/>
          <w:strike/>
        </w:rPr>
        <w:t>can</w:t>
      </w:r>
      <w:r w:rsidRPr="009B2E6D">
        <w:rPr>
          <w:strike/>
        </w:rPr>
        <w:t xml:space="preserve"> is used for statements of possibility and capability </w:t>
      </w:r>
      <w:r w:rsidRPr="009B2E6D">
        <w:rPr>
          <w:strike/>
          <w:u w:val="single"/>
        </w:rPr>
        <w:t>(informatively</w:t>
      </w:r>
      <w:r w:rsidR="009622CC" w:rsidRPr="009B2E6D">
        <w:rPr>
          <w:strike/>
          <w:u w:val="single"/>
        </w:rPr>
        <w:t>,</w:t>
      </w:r>
      <w:r w:rsidRPr="009B2E6D">
        <w:rPr>
          <w:strike/>
          <w:u w:val="single"/>
        </w:rPr>
        <w:t xml:space="preserve"> the word </w:t>
      </w:r>
      <w:r w:rsidRPr="009B2E6D">
        <w:rPr>
          <w:i/>
          <w:iCs/>
          <w:strike/>
          <w:u w:val="single"/>
        </w:rPr>
        <w:t>might</w:t>
      </w:r>
      <w:r w:rsidRPr="009B2E6D">
        <w:rPr>
          <w:strike/>
          <w:u w:val="single"/>
        </w:rPr>
        <w:t xml:space="preserve"> is used for this </w:t>
      </w:r>
      <w:r w:rsidR="009622CC" w:rsidRPr="009B2E6D">
        <w:rPr>
          <w:strike/>
          <w:u w:val="single"/>
        </w:rPr>
        <w:t>also</w:t>
      </w:r>
      <w:r w:rsidRPr="009B2E6D">
        <w:rPr>
          <w:strike/>
          <w:u w:val="single"/>
        </w:rPr>
        <w:t>)</w:t>
      </w:r>
      <w:r w:rsidRPr="009B2E6D">
        <w:rPr>
          <w:strike/>
        </w:rPr>
        <w:t xml:space="preserve">. The words </w:t>
      </w:r>
      <w:r w:rsidRPr="009B2E6D">
        <w:rPr>
          <w:i/>
          <w:iCs/>
          <w:strike/>
        </w:rPr>
        <w:t>need(s) to</w:t>
      </w:r>
      <w:r w:rsidRPr="009B2E6D">
        <w:rPr>
          <w:strike/>
        </w:rPr>
        <w:t xml:space="preserve"> are used to indicate a requirement on an entity outside the scope of this standard.</w:t>
      </w:r>
    </w:p>
    <w:p w14:paraId="037E339D" w14:textId="77777777" w:rsidR="009B2E6D" w:rsidRDefault="009B2E6D" w:rsidP="000E3AEA"/>
    <w:p w14:paraId="786069C2" w14:textId="5337171A" w:rsidR="000A7956" w:rsidRDefault="000A7956" w:rsidP="000E3AEA">
      <w:r w:rsidRPr="009B2E6D">
        <w:rPr>
          <w:highlight w:val="green"/>
        </w:rPr>
        <w:t>Rejected.</w:t>
      </w:r>
      <w:r>
        <w:t xml:space="preserve">  The words ought and might are used only in informative contexts, have their English language meaning, and do not need further definition.</w:t>
      </w:r>
    </w:p>
    <w:p w14:paraId="1C3D5E0C" w14:textId="77777777" w:rsidR="000A7956" w:rsidRDefault="000A7956" w:rsidP="000E3AEA"/>
    <w:p w14:paraId="05D28757" w14:textId="77777777" w:rsidR="004B7C5B" w:rsidRDefault="00D449CD" w:rsidP="004B7C5B">
      <w:r w:rsidRPr="00D449CD">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446"/>
        <w:gridCol w:w="1260"/>
        <w:gridCol w:w="2160"/>
        <w:gridCol w:w="3420"/>
      </w:tblGrid>
      <w:tr w:rsidR="00000000" w:rsidRPr="00D83636" w14:paraId="5A096FD6" w14:textId="77777777">
        <w:trPr>
          <w:trHeight w:val="765"/>
        </w:trPr>
        <w:tc>
          <w:tcPr>
            <w:tcW w:w="828" w:type="dxa"/>
            <w:shd w:val="clear" w:color="auto" w:fill="auto"/>
            <w:hideMark/>
          </w:tcPr>
          <w:p w14:paraId="789EB5DF" w14:textId="77777777" w:rsidR="004B7C5B" w:rsidRDefault="004B7C5B" w:rsidP="00292C2B">
            <w:pPr>
              <w:rPr>
                <w:b/>
                <w:bCs/>
                <w:lang w:val="en-US"/>
              </w:rPr>
            </w:pPr>
            <w:r>
              <w:rPr>
                <w:b/>
                <w:bCs/>
              </w:rPr>
              <w:t>CID</w:t>
            </w:r>
          </w:p>
        </w:tc>
        <w:tc>
          <w:tcPr>
            <w:tcW w:w="814" w:type="dxa"/>
            <w:shd w:val="clear" w:color="auto" w:fill="auto"/>
            <w:hideMark/>
          </w:tcPr>
          <w:p w14:paraId="7BB41EB9" w14:textId="77777777" w:rsidR="004B7C5B" w:rsidRDefault="004B7C5B" w:rsidP="00292C2B">
            <w:pPr>
              <w:rPr>
                <w:b/>
                <w:bCs/>
              </w:rPr>
            </w:pPr>
            <w:r>
              <w:rPr>
                <w:b/>
                <w:bCs/>
              </w:rPr>
              <w:t>Page</w:t>
            </w:r>
          </w:p>
        </w:tc>
        <w:tc>
          <w:tcPr>
            <w:tcW w:w="446" w:type="dxa"/>
            <w:shd w:val="clear" w:color="auto" w:fill="auto"/>
            <w:hideMark/>
          </w:tcPr>
          <w:p w14:paraId="480BA301" w14:textId="77777777" w:rsidR="004B7C5B" w:rsidRDefault="004B7C5B" w:rsidP="00292C2B">
            <w:pPr>
              <w:rPr>
                <w:b/>
                <w:bCs/>
              </w:rPr>
            </w:pPr>
            <w:r>
              <w:rPr>
                <w:b/>
                <w:bCs/>
              </w:rPr>
              <w:t>Line</w:t>
            </w:r>
          </w:p>
        </w:tc>
        <w:tc>
          <w:tcPr>
            <w:tcW w:w="1260" w:type="dxa"/>
            <w:shd w:val="clear" w:color="auto" w:fill="auto"/>
            <w:hideMark/>
          </w:tcPr>
          <w:p w14:paraId="01794AB0" w14:textId="77777777" w:rsidR="004B7C5B" w:rsidRDefault="004B7C5B" w:rsidP="00292C2B">
            <w:pPr>
              <w:rPr>
                <w:b/>
                <w:bCs/>
              </w:rPr>
            </w:pPr>
            <w:r>
              <w:rPr>
                <w:b/>
                <w:bCs/>
              </w:rPr>
              <w:t>Clause</w:t>
            </w:r>
          </w:p>
        </w:tc>
        <w:tc>
          <w:tcPr>
            <w:tcW w:w="2160" w:type="dxa"/>
            <w:shd w:val="clear" w:color="auto" w:fill="auto"/>
            <w:hideMark/>
          </w:tcPr>
          <w:p w14:paraId="2532F5F1" w14:textId="77777777" w:rsidR="004B7C5B" w:rsidRDefault="004B7C5B" w:rsidP="00292C2B">
            <w:pPr>
              <w:rPr>
                <w:b/>
                <w:bCs/>
              </w:rPr>
            </w:pPr>
            <w:r>
              <w:rPr>
                <w:b/>
                <w:bCs/>
              </w:rPr>
              <w:t>Comment</w:t>
            </w:r>
          </w:p>
        </w:tc>
        <w:tc>
          <w:tcPr>
            <w:tcW w:w="3420" w:type="dxa"/>
            <w:shd w:val="clear" w:color="auto" w:fill="auto"/>
            <w:hideMark/>
          </w:tcPr>
          <w:p w14:paraId="2F11D447" w14:textId="77777777" w:rsidR="004B7C5B" w:rsidRDefault="004B7C5B" w:rsidP="00292C2B">
            <w:pPr>
              <w:rPr>
                <w:b/>
                <w:bCs/>
              </w:rPr>
            </w:pPr>
            <w:r>
              <w:rPr>
                <w:b/>
                <w:bCs/>
              </w:rPr>
              <w:t>Proposed Change</w:t>
            </w:r>
          </w:p>
        </w:tc>
      </w:tr>
      <w:tr w:rsidR="00000000" w:rsidRPr="00D83636" w14:paraId="08515434" w14:textId="77777777">
        <w:trPr>
          <w:trHeight w:val="2040"/>
        </w:trPr>
        <w:tc>
          <w:tcPr>
            <w:tcW w:w="828" w:type="dxa"/>
            <w:shd w:val="clear" w:color="auto" w:fill="auto"/>
            <w:hideMark/>
          </w:tcPr>
          <w:p w14:paraId="3714443D" w14:textId="669CA6CC" w:rsidR="004B7C5B" w:rsidRPr="00D83636" w:rsidRDefault="004B7C5B" w:rsidP="00292C2B">
            <w:r>
              <w:t>8231</w:t>
            </w:r>
          </w:p>
        </w:tc>
        <w:tc>
          <w:tcPr>
            <w:tcW w:w="814" w:type="dxa"/>
            <w:shd w:val="clear" w:color="auto" w:fill="auto"/>
            <w:hideMark/>
          </w:tcPr>
          <w:p w14:paraId="1F8AB214" w14:textId="1C2044DB" w:rsidR="004B7C5B" w:rsidRPr="00D83636" w:rsidRDefault="004B7C5B" w:rsidP="00292C2B">
            <w:r>
              <w:t>6148</w:t>
            </w:r>
          </w:p>
        </w:tc>
        <w:tc>
          <w:tcPr>
            <w:tcW w:w="446" w:type="dxa"/>
            <w:shd w:val="clear" w:color="auto" w:fill="auto"/>
            <w:hideMark/>
          </w:tcPr>
          <w:p w14:paraId="26DE5B8B" w14:textId="21C23FC1" w:rsidR="004B7C5B" w:rsidRPr="00D83636" w:rsidRDefault="004B7C5B" w:rsidP="00292C2B">
            <w:r>
              <w:t>10</w:t>
            </w:r>
          </w:p>
        </w:tc>
        <w:tc>
          <w:tcPr>
            <w:tcW w:w="1260" w:type="dxa"/>
            <w:shd w:val="clear" w:color="auto" w:fill="auto"/>
            <w:hideMark/>
          </w:tcPr>
          <w:p w14:paraId="3B6AB8C4" w14:textId="7C6F2F0A" w:rsidR="004B7C5B" w:rsidRPr="00D83636" w:rsidRDefault="004B7C5B" w:rsidP="00292C2B">
            <w:r>
              <w:t>R.3.2</w:t>
            </w:r>
          </w:p>
        </w:tc>
        <w:tc>
          <w:tcPr>
            <w:tcW w:w="2160" w:type="dxa"/>
            <w:shd w:val="clear" w:color="auto" w:fill="auto"/>
            <w:hideMark/>
          </w:tcPr>
          <w:p w14:paraId="7AED44F2" w14:textId="77777777" w:rsidR="004B7C5B" w:rsidRDefault="004B7C5B" w:rsidP="004B7C5B">
            <w:pPr>
              <w:rPr>
                <w:rFonts w:ascii="Arial" w:hAnsi="Arial" w:cs="Arial"/>
                <w:sz w:val="20"/>
                <w:lang w:val="en-US"/>
              </w:rPr>
            </w:pPr>
            <w:r>
              <w:rPr>
                <w:rFonts w:ascii="Arial" w:hAnsi="Arial" w:cs="Arial"/>
                <w:sz w:val="20"/>
              </w:rPr>
              <w:t xml:space="preserve">Figure R-1 and text in R.3.2 is still confusing with respect to multiple BSSs served by "an AP" apparently supporting </w:t>
            </w:r>
            <w:proofErr w:type="spellStart"/>
            <w:r>
              <w:rPr>
                <w:rFonts w:ascii="Arial" w:hAnsi="Arial" w:cs="Arial"/>
                <w:sz w:val="20"/>
              </w:rPr>
              <w:t>muiltple</w:t>
            </w:r>
            <w:proofErr w:type="spellEnd"/>
            <w:r>
              <w:rPr>
                <w:rFonts w:ascii="Arial" w:hAnsi="Arial" w:cs="Arial"/>
                <w:sz w:val="20"/>
              </w:rPr>
              <w:t xml:space="preserve"> SSPNs on different BSSs.  This seems to be referencing an "AP device", perhaps?</w:t>
            </w:r>
          </w:p>
          <w:p w14:paraId="74CE7810" w14:textId="77777777" w:rsidR="004B7C5B" w:rsidRPr="00D83636" w:rsidRDefault="004B7C5B" w:rsidP="00292C2B"/>
        </w:tc>
        <w:tc>
          <w:tcPr>
            <w:tcW w:w="3420" w:type="dxa"/>
            <w:shd w:val="clear" w:color="auto" w:fill="auto"/>
            <w:hideMark/>
          </w:tcPr>
          <w:p w14:paraId="35F42CCC" w14:textId="77777777" w:rsidR="004B7C5B" w:rsidRDefault="004B7C5B" w:rsidP="004B7C5B">
            <w:pPr>
              <w:rPr>
                <w:rFonts w:ascii="Arial" w:hAnsi="Arial" w:cs="Arial"/>
                <w:sz w:val="20"/>
                <w:lang w:val="en-US"/>
              </w:rPr>
            </w:pPr>
            <w:r>
              <w:rPr>
                <w:rFonts w:ascii="Arial" w:hAnsi="Arial" w:cs="Arial"/>
                <w:sz w:val="20"/>
              </w:rPr>
              <w:t>Redraw Figure R-1, showing an "AP device" which contains 2 logical APs, each AP connected to a distinct DS with an individual Portal per DS, and those Portals attached to the respective DNs and AAA Servers.  Remove the AAA Client.  Change the label "BSS" to "BSSs" and point to the two co-</w:t>
            </w:r>
            <w:proofErr w:type="spellStart"/>
            <w:r>
              <w:rPr>
                <w:rFonts w:ascii="Arial" w:hAnsi="Arial" w:cs="Arial"/>
                <w:sz w:val="20"/>
              </w:rPr>
              <w:t>foci'ed</w:t>
            </w:r>
            <w:proofErr w:type="spellEnd"/>
            <w:r>
              <w:rPr>
                <w:rFonts w:ascii="Arial" w:hAnsi="Arial" w:cs="Arial"/>
                <w:sz w:val="20"/>
              </w:rPr>
              <w:t xml:space="preserve"> </w:t>
            </w:r>
            <w:proofErr w:type="spellStart"/>
            <w:r>
              <w:rPr>
                <w:rFonts w:ascii="Arial" w:hAnsi="Arial" w:cs="Arial"/>
                <w:sz w:val="20"/>
              </w:rPr>
              <w:t>elipses</w:t>
            </w:r>
            <w:proofErr w:type="spellEnd"/>
            <w:r>
              <w:rPr>
                <w:rFonts w:ascii="Arial" w:hAnsi="Arial" w:cs="Arial"/>
                <w:sz w:val="20"/>
              </w:rPr>
              <w:t xml:space="preserve">.  (A drawing will be provided by the commenter.)  Change the sentences at P6148.10, to "Figure R-1 presents an </w:t>
            </w:r>
            <w:proofErr w:type="spellStart"/>
            <w:r>
              <w:rPr>
                <w:rFonts w:ascii="Arial" w:hAnsi="Arial" w:cs="Arial"/>
                <w:sz w:val="20"/>
              </w:rPr>
              <w:t>exaxmple</w:t>
            </w:r>
            <w:proofErr w:type="spellEnd"/>
            <w:r>
              <w:rPr>
                <w:rFonts w:ascii="Arial" w:hAnsi="Arial" w:cs="Arial"/>
                <w:sz w:val="20"/>
              </w:rPr>
              <w:t xml:space="preserve"> of the scenario of an AP device with two logical APs, each using authentication, authorization and accounting (AAA).  In Figure R-1, AAA Server 1 controls access to DN-1 and AAA Server 2 controls access to DN-2."</w:t>
            </w:r>
          </w:p>
          <w:p w14:paraId="66132A79" w14:textId="77777777" w:rsidR="004B7C5B" w:rsidRPr="00D83636" w:rsidRDefault="004B7C5B" w:rsidP="00292C2B"/>
        </w:tc>
      </w:tr>
    </w:tbl>
    <w:p w14:paraId="3318061D" w14:textId="77777777" w:rsidR="004B7C5B" w:rsidRDefault="004B7C5B" w:rsidP="004B7C5B"/>
    <w:p w14:paraId="3BAF5B5B" w14:textId="4A6AF516" w:rsidR="004B7C5B" w:rsidRDefault="004B7C5B" w:rsidP="004B7C5B">
      <w:pPr>
        <w:rPr>
          <w:b/>
          <w:bCs/>
          <w:i/>
          <w:iCs/>
        </w:rPr>
      </w:pPr>
      <w:r>
        <w:rPr>
          <w:b/>
          <w:bCs/>
          <w:i/>
          <w:iCs/>
        </w:rPr>
        <w:t>Context</w:t>
      </w:r>
      <w:r>
        <w:rPr>
          <w:b/>
          <w:bCs/>
          <w:i/>
          <w:iCs/>
        </w:rPr>
        <w:t xml:space="preserve"> (current Figure R-1)</w:t>
      </w:r>
      <w:r>
        <w:rPr>
          <w:b/>
          <w:bCs/>
          <w:i/>
          <w:iCs/>
        </w:rPr>
        <w:t>:</w:t>
      </w:r>
    </w:p>
    <w:p w14:paraId="51507D36" w14:textId="77777777" w:rsidR="004B7C5B" w:rsidRPr="002B3690" w:rsidRDefault="004B7C5B" w:rsidP="004B7C5B">
      <w:pPr>
        <w:rPr>
          <w:b/>
          <w:bCs/>
          <w:i/>
          <w:iCs/>
        </w:rPr>
      </w:pPr>
    </w:p>
    <w:p w14:paraId="17E06194" w14:textId="1E0B4CB3" w:rsidR="004B7C5B" w:rsidRDefault="004B7C5B" w:rsidP="004B7C5B">
      <w:pPr>
        <w:pBdr>
          <w:top w:val="single" w:sz="4" w:space="1" w:color="auto"/>
          <w:left w:val="single" w:sz="4" w:space="4" w:color="auto"/>
          <w:bottom w:val="single" w:sz="4" w:space="1" w:color="auto"/>
          <w:right w:val="single" w:sz="4" w:space="4" w:color="auto"/>
        </w:pBdr>
      </w:pPr>
      <w:r>
        <w:pict w14:anchorId="5733BD8A">
          <v:shape id="_x0000_i1036" type="#_x0000_t75" style="width:468pt;height:292.15pt">
            <v:imagedata r:id="rId13" o:title=""/>
          </v:shape>
        </w:pict>
      </w:r>
    </w:p>
    <w:p w14:paraId="160C1FE5" w14:textId="04493705" w:rsidR="004B7C5B" w:rsidRDefault="004B7C5B" w:rsidP="004B7C5B"/>
    <w:p w14:paraId="6243A37E" w14:textId="5CEA673C" w:rsidR="004B7C5B" w:rsidRDefault="004B7C5B" w:rsidP="004B7C5B">
      <w:r>
        <w:rPr>
          <w:b/>
          <w:bCs/>
          <w:i/>
          <w:iCs/>
        </w:rPr>
        <w:t>Proposed Resolution:</w:t>
      </w:r>
    </w:p>
    <w:p w14:paraId="0C5ECA05" w14:textId="77777777" w:rsidR="004B7C5B" w:rsidRDefault="004B7C5B" w:rsidP="004B7C5B"/>
    <w:p w14:paraId="5381E81A" w14:textId="108A8ED9" w:rsidR="004B7C5B" w:rsidRDefault="004B7C5B" w:rsidP="004B7C5B">
      <w:r>
        <w:t>Replace Figure R-1 with:</w:t>
      </w:r>
    </w:p>
    <w:p w14:paraId="69EB8494" w14:textId="02A1D0ED" w:rsidR="004B7C5B" w:rsidRDefault="009B2E6D" w:rsidP="004B7C5B">
      <w:r>
        <w:object w:dxaOrig="15812" w:dyaOrig="10007" w14:anchorId="552DFE5B">
          <v:shape id="_x0000_i1040" type="#_x0000_t75" style="width:467.25pt;height:295.9pt" o:ole="">
            <v:imagedata r:id="rId14" o:title=""/>
          </v:shape>
          <o:OLEObject Type="Embed" ProgID="Visio.Drawing.15" ShapeID="_x0000_i1040" DrawAspect="Content" ObjectID="_1782712786" r:id="rId15"/>
        </w:object>
      </w:r>
    </w:p>
    <w:p w14:paraId="1E494E40" w14:textId="77777777" w:rsidR="00DD2409" w:rsidRDefault="00DD2409" w:rsidP="004B7C5B"/>
    <w:p w14:paraId="311AF169" w14:textId="77777777" w:rsidR="004B7C5B" w:rsidRPr="004B7C5B" w:rsidRDefault="004B7C5B" w:rsidP="004B7C5B"/>
    <w:p w14:paraId="7C1D3BF7" w14:textId="57FB2B26" w:rsidR="00672FE8" w:rsidRPr="00D449CD" w:rsidRDefault="004B7C5B" w:rsidP="000E3AEA">
      <w:r>
        <w:br w:type="page"/>
      </w:r>
    </w:p>
    <w:p w14:paraId="23ACDE1A" w14:textId="2DFDE85C" w:rsidR="00CA09B2" w:rsidRDefault="00CA09B2">
      <w:pPr>
        <w:rPr>
          <w:b/>
          <w:sz w:val="24"/>
        </w:rPr>
      </w:pPr>
      <w:r>
        <w:rPr>
          <w:b/>
          <w:sz w:val="24"/>
        </w:rPr>
        <w:t>References:</w:t>
      </w:r>
      <w:r w:rsidR="007164CC">
        <w:rPr>
          <w:b/>
          <w:sz w:val="24"/>
        </w:rPr>
        <w:t xml:space="preserve"> P802.11</w:t>
      </w:r>
      <w:r w:rsidR="005744FD">
        <w:rPr>
          <w:b/>
          <w:sz w:val="24"/>
        </w:rPr>
        <w:t>REVme D6.0</w:t>
      </w:r>
    </w:p>
    <w:sectPr w:rsidR="00CA09B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6F76" w14:textId="77777777" w:rsidR="000C49C2" w:rsidRDefault="000C49C2">
      <w:r>
        <w:separator/>
      </w:r>
    </w:p>
  </w:endnote>
  <w:endnote w:type="continuationSeparator" w:id="0">
    <w:p w14:paraId="3BD06CFA" w14:textId="77777777" w:rsidR="000C49C2" w:rsidRDefault="000C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68C1" w14:textId="2D108324" w:rsidR="0029020B" w:rsidRDefault="003B3518">
    <w:pPr>
      <w:pStyle w:val="Footer"/>
      <w:tabs>
        <w:tab w:val="clear" w:pos="6480"/>
        <w:tab w:val="center" w:pos="4680"/>
        <w:tab w:val="right" w:pos="9360"/>
      </w:tabs>
    </w:pPr>
    <w:fldSimple w:instr=" SUBJECT  \* MERGEFORMAT ">
      <w:r w:rsidR="00F93C3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449CD">
        <w:t>Mark Hamilton, Ruckus/CommScope</w:t>
      </w:r>
    </w:fldSimple>
  </w:p>
  <w:p w14:paraId="7E358DC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C0EE" w14:textId="77777777" w:rsidR="000C49C2" w:rsidRDefault="000C49C2">
      <w:r>
        <w:separator/>
      </w:r>
    </w:p>
  </w:footnote>
  <w:footnote w:type="continuationSeparator" w:id="0">
    <w:p w14:paraId="782882C4" w14:textId="77777777" w:rsidR="000C49C2" w:rsidRDefault="000C4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E503" w14:textId="43C904FF" w:rsidR="0029020B" w:rsidRDefault="003B3518">
    <w:pPr>
      <w:pStyle w:val="Header"/>
      <w:tabs>
        <w:tab w:val="clear" w:pos="6480"/>
        <w:tab w:val="center" w:pos="4680"/>
        <w:tab w:val="right" w:pos="9360"/>
      </w:tabs>
    </w:pPr>
    <w:fldSimple w:instr=" KEYWORDS  \* MERGEFORMAT ">
      <w:r>
        <w:t>July 2024</w:t>
      </w:r>
    </w:fldSimple>
    <w:r w:rsidR="0029020B">
      <w:tab/>
    </w:r>
    <w:r w:rsidR="0029020B">
      <w:tab/>
    </w:r>
    <w:fldSimple w:instr=" TITLE  \* MERGEFORMAT ">
      <w:r w:rsidR="00D449CD">
        <w:t>doc.: IEEE 802.11-24/1308r</w:t>
      </w:r>
    </w:fldSimple>
    <w:r w:rsidR="007D408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24C7"/>
    <w:multiLevelType w:val="hybridMultilevel"/>
    <w:tmpl w:val="4132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86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E14"/>
    <w:rsid w:val="000063D4"/>
    <w:rsid w:val="00020243"/>
    <w:rsid w:val="00024CCB"/>
    <w:rsid w:val="000332FC"/>
    <w:rsid w:val="00067210"/>
    <w:rsid w:val="00082EB0"/>
    <w:rsid w:val="00084085"/>
    <w:rsid w:val="000A6158"/>
    <w:rsid w:val="000A7956"/>
    <w:rsid w:val="000C2844"/>
    <w:rsid w:val="000C49C2"/>
    <w:rsid w:val="000D6284"/>
    <w:rsid w:val="000E1CB2"/>
    <w:rsid w:val="000E3AEA"/>
    <w:rsid w:val="0010102C"/>
    <w:rsid w:val="0011277A"/>
    <w:rsid w:val="00171F67"/>
    <w:rsid w:val="0017777F"/>
    <w:rsid w:val="001852FA"/>
    <w:rsid w:val="001A0FA3"/>
    <w:rsid w:val="001A23C8"/>
    <w:rsid w:val="001A52C3"/>
    <w:rsid w:val="001C78A2"/>
    <w:rsid w:val="001D0F4F"/>
    <w:rsid w:val="001D723B"/>
    <w:rsid w:val="001E4F78"/>
    <w:rsid w:val="00201CAA"/>
    <w:rsid w:val="00203066"/>
    <w:rsid w:val="00213D33"/>
    <w:rsid w:val="00233D22"/>
    <w:rsid w:val="002527F0"/>
    <w:rsid w:val="00253659"/>
    <w:rsid w:val="002803BF"/>
    <w:rsid w:val="0029020B"/>
    <w:rsid w:val="002B3690"/>
    <w:rsid w:val="002D44BE"/>
    <w:rsid w:val="002D4BE7"/>
    <w:rsid w:val="002E076D"/>
    <w:rsid w:val="002E671D"/>
    <w:rsid w:val="002F59AE"/>
    <w:rsid w:val="0033340D"/>
    <w:rsid w:val="003354BB"/>
    <w:rsid w:val="003379E0"/>
    <w:rsid w:val="003410C5"/>
    <w:rsid w:val="003439B9"/>
    <w:rsid w:val="00347EA3"/>
    <w:rsid w:val="00351ADA"/>
    <w:rsid w:val="00357BBE"/>
    <w:rsid w:val="00367807"/>
    <w:rsid w:val="00391EAB"/>
    <w:rsid w:val="003A23C9"/>
    <w:rsid w:val="003B3518"/>
    <w:rsid w:val="003C20AD"/>
    <w:rsid w:val="003E4237"/>
    <w:rsid w:val="0040763D"/>
    <w:rsid w:val="00421B36"/>
    <w:rsid w:val="00422AA2"/>
    <w:rsid w:val="00441B1D"/>
    <w:rsid w:val="00442037"/>
    <w:rsid w:val="00444602"/>
    <w:rsid w:val="00453A25"/>
    <w:rsid w:val="004A00C8"/>
    <w:rsid w:val="004A0268"/>
    <w:rsid w:val="004A156D"/>
    <w:rsid w:val="004B064B"/>
    <w:rsid w:val="004B7C5B"/>
    <w:rsid w:val="004C415C"/>
    <w:rsid w:val="00502BE6"/>
    <w:rsid w:val="005054FE"/>
    <w:rsid w:val="005173E4"/>
    <w:rsid w:val="005337F0"/>
    <w:rsid w:val="005518DC"/>
    <w:rsid w:val="00565E6E"/>
    <w:rsid w:val="005744FD"/>
    <w:rsid w:val="005801F2"/>
    <w:rsid w:val="005924C0"/>
    <w:rsid w:val="005A29CD"/>
    <w:rsid w:val="005B3B7E"/>
    <w:rsid w:val="005B601D"/>
    <w:rsid w:val="005B7368"/>
    <w:rsid w:val="005C405A"/>
    <w:rsid w:val="005D229F"/>
    <w:rsid w:val="005F0642"/>
    <w:rsid w:val="0060454F"/>
    <w:rsid w:val="006103F4"/>
    <w:rsid w:val="00610BEF"/>
    <w:rsid w:val="006206FE"/>
    <w:rsid w:val="00623DCB"/>
    <w:rsid w:val="0062440B"/>
    <w:rsid w:val="00627908"/>
    <w:rsid w:val="00635C46"/>
    <w:rsid w:val="00644829"/>
    <w:rsid w:val="00661BB4"/>
    <w:rsid w:val="00672FE8"/>
    <w:rsid w:val="00694B8C"/>
    <w:rsid w:val="006A7868"/>
    <w:rsid w:val="006B7791"/>
    <w:rsid w:val="006C0727"/>
    <w:rsid w:val="006C4DF0"/>
    <w:rsid w:val="006E145F"/>
    <w:rsid w:val="006E34FF"/>
    <w:rsid w:val="006E72CD"/>
    <w:rsid w:val="006F028F"/>
    <w:rsid w:val="00711495"/>
    <w:rsid w:val="0071202D"/>
    <w:rsid w:val="007164CC"/>
    <w:rsid w:val="00756A23"/>
    <w:rsid w:val="007619EA"/>
    <w:rsid w:val="007625DE"/>
    <w:rsid w:val="007664A4"/>
    <w:rsid w:val="00770572"/>
    <w:rsid w:val="0077441B"/>
    <w:rsid w:val="00791ACC"/>
    <w:rsid w:val="00793537"/>
    <w:rsid w:val="007A5D3F"/>
    <w:rsid w:val="007B3A86"/>
    <w:rsid w:val="007D36DC"/>
    <w:rsid w:val="007D408A"/>
    <w:rsid w:val="007D6562"/>
    <w:rsid w:val="00806243"/>
    <w:rsid w:val="008212DD"/>
    <w:rsid w:val="0083191E"/>
    <w:rsid w:val="008459C3"/>
    <w:rsid w:val="0085438A"/>
    <w:rsid w:val="00870DE9"/>
    <w:rsid w:val="00874EFD"/>
    <w:rsid w:val="00885B55"/>
    <w:rsid w:val="008934FB"/>
    <w:rsid w:val="00896437"/>
    <w:rsid w:val="00897493"/>
    <w:rsid w:val="008A4DE9"/>
    <w:rsid w:val="008B34EA"/>
    <w:rsid w:val="008B6582"/>
    <w:rsid w:val="008B67BC"/>
    <w:rsid w:val="008C0388"/>
    <w:rsid w:val="008C441D"/>
    <w:rsid w:val="008D11E6"/>
    <w:rsid w:val="008E2D32"/>
    <w:rsid w:val="0090612E"/>
    <w:rsid w:val="009622CC"/>
    <w:rsid w:val="009633E1"/>
    <w:rsid w:val="009666DB"/>
    <w:rsid w:val="00990EC1"/>
    <w:rsid w:val="0099290E"/>
    <w:rsid w:val="009A01A0"/>
    <w:rsid w:val="009B2E6D"/>
    <w:rsid w:val="009B5077"/>
    <w:rsid w:val="009B790C"/>
    <w:rsid w:val="009D2DA5"/>
    <w:rsid w:val="009D6D23"/>
    <w:rsid w:val="009D7A1E"/>
    <w:rsid w:val="009F2FBC"/>
    <w:rsid w:val="00A00960"/>
    <w:rsid w:val="00A036E8"/>
    <w:rsid w:val="00A06AB0"/>
    <w:rsid w:val="00A12EF4"/>
    <w:rsid w:val="00A54E7D"/>
    <w:rsid w:val="00AA427C"/>
    <w:rsid w:val="00AB23B4"/>
    <w:rsid w:val="00AC0840"/>
    <w:rsid w:val="00AC6763"/>
    <w:rsid w:val="00AD2C06"/>
    <w:rsid w:val="00B07917"/>
    <w:rsid w:val="00B15D28"/>
    <w:rsid w:val="00B16046"/>
    <w:rsid w:val="00B419B1"/>
    <w:rsid w:val="00B666AF"/>
    <w:rsid w:val="00B85A2F"/>
    <w:rsid w:val="00BB38C4"/>
    <w:rsid w:val="00BC256F"/>
    <w:rsid w:val="00BE269A"/>
    <w:rsid w:val="00BE68C2"/>
    <w:rsid w:val="00C0047A"/>
    <w:rsid w:val="00C04182"/>
    <w:rsid w:val="00C353D6"/>
    <w:rsid w:val="00C44F64"/>
    <w:rsid w:val="00C46ADE"/>
    <w:rsid w:val="00C70967"/>
    <w:rsid w:val="00C77ED2"/>
    <w:rsid w:val="00C84AAD"/>
    <w:rsid w:val="00CA09B2"/>
    <w:rsid w:val="00CF1AD4"/>
    <w:rsid w:val="00CF6643"/>
    <w:rsid w:val="00D00219"/>
    <w:rsid w:val="00D25E16"/>
    <w:rsid w:val="00D449CD"/>
    <w:rsid w:val="00D52742"/>
    <w:rsid w:val="00D52BF9"/>
    <w:rsid w:val="00D83636"/>
    <w:rsid w:val="00D97A1E"/>
    <w:rsid w:val="00DA3710"/>
    <w:rsid w:val="00DA74CC"/>
    <w:rsid w:val="00DB22AA"/>
    <w:rsid w:val="00DC5A7B"/>
    <w:rsid w:val="00DD0A66"/>
    <w:rsid w:val="00DD2409"/>
    <w:rsid w:val="00DE5A85"/>
    <w:rsid w:val="00E30632"/>
    <w:rsid w:val="00E314C0"/>
    <w:rsid w:val="00E53662"/>
    <w:rsid w:val="00E55D00"/>
    <w:rsid w:val="00E83343"/>
    <w:rsid w:val="00E84C1E"/>
    <w:rsid w:val="00EA584B"/>
    <w:rsid w:val="00EA5EE4"/>
    <w:rsid w:val="00ED5504"/>
    <w:rsid w:val="00EF744A"/>
    <w:rsid w:val="00F0177F"/>
    <w:rsid w:val="00F07558"/>
    <w:rsid w:val="00F20E14"/>
    <w:rsid w:val="00F33630"/>
    <w:rsid w:val="00F50F0F"/>
    <w:rsid w:val="00F565F0"/>
    <w:rsid w:val="00F65807"/>
    <w:rsid w:val="00F93C3F"/>
    <w:rsid w:val="00F9438D"/>
    <w:rsid w:val="00FB7F47"/>
    <w:rsid w:val="00FC310D"/>
    <w:rsid w:val="00FD6A18"/>
    <w:rsid w:val="00FF30F0"/>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751EBDE"/>
  <w15:chartTrackingRefBased/>
  <w15:docId w15:val="{382469F0-44CF-4ABC-A35C-2C3F2BC4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8B34EA"/>
    <w:rPr>
      <w:color w:val="605E5C"/>
      <w:shd w:val="clear" w:color="auto" w:fill="E1DFDD"/>
    </w:rPr>
  </w:style>
  <w:style w:type="paragraph" w:styleId="NormalWeb">
    <w:name w:val="Normal (Web)"/>
    <w:basedOn w:val="Normal"/>
    <w:uiPriority w:val="99"/>
    <w:unhideWhenUsed/>
    <w:rsid w:val="006B7791"/>
    <w:pPr>
      <w:spacing w:before="100" w:beforeAutospacing="1" w:after="100" w:afterAutospacing="1"/>
    </w:pPr>
    <w:rPr>
      <w:rFonts w:ascii="Aptos" w:eastAsia="Calibri" w:hAnsi="Aptos" w:cs="Aptos"/>
      <w:sz w:val="24"/>
      <w:szCs w:val="24"/>
      <w:lang w:val="en-US"/>
    </w:rPr>
  </w:style>
  <w:style w:type="table" w:styleId="TableGrid">
    <w:name w:val="Table Grid"/>
    <w:basedOn w:val="TableNormal"/>
    <w:rsid w:val="00D83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D7A1E"/>
    <w:pPr>
      <w:widowControl w:val="0"/>
      <w:autoSpaceDE w:val="0"/>
      <w:autoSpaceDN w:val="0"/>
      <w:ind w:left="820" w:hanging="359"/>
    </w:pPr>
    <w:rPr>
      <w:szCs w:val="22"/>
      <w:lang w:val="en-US"/>
    </w:rPr>
  </w:style>
  <w:style w:type="paragraph" w:styleId="BodyText">
    <w:name w:val="Body Text"/>
    <w:basedOn w:val="Normal"/>
    <w:link w:val="BodyTextChar"/>
    <w:uiPriority w:val="1"/>
    <w:qFormat/>
    <w:rsid w:val="00E53662"/>
    <w:pPr>
      <w:widowControl w:val="0"/>
      <w:autoSpaceDE w:val="0"/>
      <w:autoSpaceDN w:val="0"/>
    </w:pPr>
    <w:rPr>
      <w:sz w:val="24"/>
      <w:szCs w:val="24"/>
      <w:lang w:val="en-US"/>
    </w:rPr>
  </w:style>
  <w:style w:type="character" w:customStyle="1" w:styleId="BodyTextChar">
    <w:name w:val="Body Text Char"/>
    <w:link w:val="BodyText"/>
    <w:uiPriority w:val="1"/>
    <w:rsid w:val="00E536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80">
      <w:bodyDiv w:val="1"/>
      <w:marLeft w:val="0"/>
      <w:marRight w:val="0"/>
      <w:marTop w:val="0"/>
      <w:marBottom w:val="0"/>
      <w:divBdr>
        <w:top w:val="none" w:sz="0" w:space="0" w:color="auto"/>
        <w:left w:val="none" w:sz="0" w:space="0" w:color="auto"/>
        <w:bottom w:val="none" w:sz="0" w:space="0" w:color="auto"/>
        <w:right w:val="none" w:sz="0" w:space="0" w:color="auto"/>
      </w:divBdr>
    </w:div>
    <w:div w:id="307054079">
      <w:bodyDiv w:val="1"/>
      <w:marLeft w:val="0"/>
      <w:marRight w:val="0"/>
      <w:marTop w:val="0"/>
      <w:marBottom w:val="0"/>
      <w:divBdr>
        <w:top w:val="none" w:sz="0" w:space="0" w:color="auto"/>
        <w:left w:val="none" w:sz="0" w:space="0" w:color="auto"/>
        <w:bottom w:val="none" w:sz="0" w:space="0" w:color="auto"/>
        <w:right w:val="none" w:sz="0" w:space="0" w:color="auto"/>
      </w:divBdr>
    </w:div>
    <w:div w:id="485436323">
      <w:bodyDiv w:val="1"/>
      <w:marLeft w:val="0"/>
      <w:marRight w:val="0"/>
      <w:marTop w:val="0"/>
      <w:marBottom w:val="0"/>
      <w:divBdr>
        <w:top w:val="none" w:sz="0" w:space="0" w:color="auto"/>
        <w:left w:val="none" w:sz="0" w:space="0" w:color="auto"/>
        <w:bottom w:val="none" w:sz="0" w:space="0" w:color="auto"/>
        <w:right w:val="none" w:sz="0" w:space="0" w:color="auto"/>
      </w:divBdr>
    </w:div>
    <w:div w:id="783690948">
      <w:bodyDiv w:val="1"/>
      <w:marLeft w:val="0"/>
      <w:marRight w:val="0"/>
      <w:marTop w:val="0"/>
      <w:marBottom w:val="0"/>
      <w:divBdr>
        <w:top w:val="none" w:sz="0" w:space="0" w:color="auto"/>
        <w:left w:val="none" w:sz="0" w:space="0" w:color="auto"/>
        <w:bottom w:val="none" w:sz="0" w:space="0" w:color="auto"/>
        <w:right w:val="none" w:sz="0" w:space="0" w:color="auto"/>
      </w:divBdr>
    </w:div>
    <w:div w:id="870920692">
      <w:bodyDiv w:val="1"/>
      <w:marLeft w:val="0"/>
      <w:marRight w:val="0"/>
      <w:marTop w:val="0"/>
      <w:marBottom w:val="0"/>
      <w:divBdr>
        <w:top w:val="none" w:sz="0" w:space="0" w:color="auto"/>
        <w:left w:val="none" w:sz="0" w:space="0" w:color="auto"/>
        <w:bottom w:val="none" w:sz="0" w:space="0" w:color="auto"/>
        <w:right w:val="none" w:sz="0" w:space="0" w:color="auto"/>
      </w:divBdr>
    </w:div>
    <w:div w:id="961767717">
      <w:bodyDiv w:val="1"/>
      <w:marLeft w:val="0"/>
      <w:marRight w:val="0"/>
      <w:marTop w:val="0"/>
      <w:marBottom w:val="0"/>
      <w:divBdr>
        <w:top w:val="none" w:sz="0" w:space="0" w:color="auto"/>
        <w:left w:val="none" w:sz="0" w:space="0" w:color="auto"/>
        <w:bottom w:val="none" w:sz="0" w:space="0" w:color="auto"/>
        <w:right w:val="none" w:sz="0" w:space="0" w:color="auto"/>
      </w:divBdr>
    </w:div>
    <w:div w:id="963467947">
      <w:bodyDiv w:val="1"/>
      <w:marLeft w:val="0"/>
      <w:marRight w:val="0"/>
      <w:marTop w:val="0"/>
      <w:marBottom w:val="0"/>
      <w:divBdr>
        <w:top w:val="none" w:sz="0" w:space="0" w:color="auto"/>
        <w:left w:val="none" w:sz="0" w:space="0" w:color="auto"/>
        <w:bottom w:val="none" w:sz="0" w:space="0" w:color="auto"/>
        <w:right w:val="none" w:sz="0" w:space="0" w:color="auto"/>
      </w:divBdr>
    </w:div>
    <w:div w:id="1080323588">
      <w:bodyDiv w:val="1"/>
      <w:marLeft w:val="0"/>
      <w:marRight w:val="0"/>
      <w:marTop w:val="0"/>
      <w:marBottom w:val="0"/>
      <w:divBdr>
        <w:top w:val="none" w:sz="0" w:space="0" w:color="auto"/>
        <w:left w:val="none" w:sz="0" w:space="0" w:color="auto"/>
        <w:bottom w:val="none" w:sz="0" w:space="0" w:color="auto"/>
        <w:right w:val="none" w:sz="0" w:space="0" w:color="auto"/>
      </w:divBdr>
    </w:div>
    <w:div w:id="1149783508">
      <w:bodyDiv w:val="1"/>
      <w:marLeft w:val="0"/>
      <w:marRight w:val="0"/>
      <w:marTop w:val="0"/>
      <w:marBottom w:val="0"/>
      <w:divBdr>
        <w:top w:val="none" w:sz="0" w:space="0" w:color="auto"/>
        <w:left w:val="none" w:sz="0" w:space="0" w:color="auto"/>
        <w:bottom w:val="none" w:sz="0" w:space="0" w:color="auto"/>
        <w:right w:val="none" w:sz="0" w:space="0" w:color="auto"/>
      </w:divBdr>
    </w:div>
    <w:div w:id="1269045187">
      <w:bodyDiv w:val="1"/>
      <w:marLeft w:val="0"/>
      <w:marRight w:val="0"/>
      <w:marTop w:val="0"/>
      <w:marBottom w:val="0"/>
      <w:divBdr>
        <w:top w:val="none" w:sz="0" w:space="0" w:color="auto"/>
        <w:left w:val="none" w:sz="0" w:space="0" w:color="auto"/>
        <w:bottom w:val="none" w:sz="0" w:space="0" w:color="auto"/>
        <w:right w:val="none" w:sz="0" w:space="0" w:color="auto"/>
      </w:divBdr>
    </w:div>
    <w:div w:id="1344479810">
      <w:bodyDiv w:val="1"/>
      <w:marLeft w:val="0"/>
      <w:marRight w:val="0"/>
      <w:marTop w:val="0"/>
      <w:marBottom w:val="0"/>
      <w:divBdr>
        <w:top w:val="none" w:sz="0" w:space="0" w:color="auto"/>
        <w:left w:val="none" w:sz="0" w:space="0" w:color="auto"/>
        <w:bottom w:val="none" w:sz="0" w:space="0" w:color="auto"/>
        <w:right w:val="none" w:sz="0" w:space="0" w:color="auto"/>
      </w:divBdr>
    </w:div>
    <w:div w:id="1353721234">
      <w:bodyDiv w:val="1"/>
      <w:marLeft w:val="0"/>
      <w:marRight w:val="0"/>
      <w:marTop w:val="0"/>
      <w:marBottom w:val="0"/>
      <w:divBdr>
        <w:top w:val="none" w:sz="0" w:space="0" w:color="auto"/>
        <w:left w:val="none" w:sz="0" w:space="0" w:color="auto"/>
        <w:bottom w:val="none" w:sz="0" w:space="0" w:color="auto"/>
        <w:right w:val="none" w:sz="0" w:space="0" w:color="auto"/>
      </w:divBdr>
    </w:div>
    <w:div w:id="1578248326">
      <w:bodyDiv w:val="1"/>
      <w:marLeft w:val="0"/>
      <w:marRight w:val="0"/>
      <w:marTop w:val="0"/>
      <w:marBottom w:val="0"/>
      <w:divBdr>
        <w:top w:val="none" w:sz="0" w:space="0" w:color="auto"/>
        <w:left w:val="none" w:sz="0" w:space="0" w:color="auto"/>
        <w:bottom w:val="none" w:sz="0" w:space="0" w:color="auto"/>
        <w:right w:val="none" w:sz="0" w:space="0" w:color="auto"/>
      </w:divBdr>
    </w:div>
    <w:div w:id="1639728932">
      <w:bodyDiv w:val="1"/>
      <w:marLeft w:val="0"/>
      <w:marRight w:val="0"/>
      <w:marTop w:val="0"/>
      <w:marBottom w:val="0"/>
      <w:divBdr>
        <w:top w:val="none" w:sz="0" w:space="0" w:color="auto"/>
        <w:left w:val="none" w:sz="0" w:space="0" w:color="auto"/>
        <w:bottom w:val="none" w:sz="0" w:space="0" w:color="auto"/>
        <w:right w:val="none" w:sz="0" w:space="0" w:color="auto"/>
      </w:divBdr>
    </w:div>
    <w:div w:id="1733577391">
      <w:bodyDiv w:val="1"/>
      <w:marLeft w:val="0"/>
      <w:marRight w:val="0"/>
      <w:marTop w:val="0"/>
      <w:marBottom w:val="0"/>
      <w:divBdr>
        <w:top w:val="none" w:sz="0" w:space="0" w:color="auto"/>
        <w:left w:val="none" w:sz="0" w:space="0" w:color="auto"/>
        <w:bottom w:val="none" w:sz="0" w:space="0" w:color="auto"/>
        <w:right w:val="none" w:sz="0" w:space="0" w:color="auto"/>
      </w:divBdr>
    </w:div>
    <w:div w:id="1801262736">
      <w:bodyDiv w:val="1"/>
      <w:marLeft w:val="0"/>
      <w:marRight w:val="0"/>
      <w:marTop w:val="0"/>
      <w:marBottom w:val="0"/>
      <w:divBdr>
        <w:top w:val="none" w:sz="0" w:space="0" w:color="auto"/>
        <w:left w:val="none" w:sz="0" w:space="0" w:color="auto"/>
        <w:bottom w:val="none" w:sz="0" w:space="0" w:color="auto"/>
        <w:right w:val="none" w:sz="0" w:space="0" w:color="auto"/>
      </w:divBdr>
    </w:div>
    <w:div w:id="21016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rezar@qti.qualcomm.com"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package" Target="embeddings/Microsoft_Visio_Drawing.vsdx"/><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8</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802.11-24/1308r</vt:lpstr>
    </vt:vector>
  </TitlesOfParts>
  <Company>Some Company</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802.11-24/1308r</dc:title>
  <dc:subject>Submission</dc:subject>
  <dc:creator>mark.hamilton@commscope.com</dc:creator>
  <cp:keywords>July 2024</cp:keywords>
  <dc:description>Mark Hamilton, Ruckus/CommScope</dc:description>
  <cp:lastModifiedBy>Mark Hamilton</cp:lastModifiedBy>
  <cp:revision>3</cp:revision>
  <cp:lastPrinted>1900-01-01T08:00:00Z</cp:lastPrinted>
  <dcterms:created xsi:type="dcterms:W3CDTF">2024-07-17T15:12:00Z</dcterms:created>
  <dcterms:modified xsi:type="dcterms:W3CDTF">2024-07-17T15:13:00Z</dcterms:modified>
</cp:coreProperties>
</file>