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760560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667E7AC" w:rsidR="00BF369F" w:rsidRPr="00760560" w:rsidRDefault="00FC42C5" w:rsidP="00765915">
            <w:pPr>
              <w:pStyle w:val="T2"/>
              <w:rPr>
                <w:lang w:val="fr-FR"/>
              </w:rPr>
            </w:pPr>
            <w:bookmarkStart w:id="1" w:name="_Hlk165897842"/>
            <w:r w:rsidRPr="00760560">
              <w:rPr>
                <w:lang w:val="fr-FR" w:eastAsia="ko-KR"/>
              </w:rPr>
              <w:t>LB2</w:t>
            </w:r>
            <w:r w:rsidR="003A0A34" w:rsidRPr="00760560">
              <w:rPr>
                <w:lang w:val="fr-FR" w:eastAsia="ko-KR"/>
              </w:rPr>
              <w:t>86</w:t>
            </w:r>
            <w:r w:rsidRPr="00760560">
              <w:rPr>
                <w:lang w:val="fr-FR" w:eastAsia="ko-KR"/>
              </w:rPr>
              <w:t xml:space="preserve"> Comment </w:t>
            </w:r>
            <w:proofErr w:type="spellStart"/>
            <w:r w:rsidRPr="00760560">
              <w:rPr>
                <w:lang w:val="fr-FR" w:eastAsia="ko-KR"/>
              </w:rPr>
              <w:t>Resolution</w:t>
            </w:r>
            <w:proofErr w:type="spellEnd"/>
            <w:r w:rsidR="008D7735" w:rsidRPr="00760560">
              <w:rPr>
                <w:lang w:val="fr-FR" w:eastAsia="ko-KR"/>
              </w:rPr>
              <w:t xml:space="preserve"> </w:t>
            </w:r>
            <w:bookmarkEnd w:id="1"/>
            <w:r w:rsidR="00B77217">
              <w:rPr>
                <w:lang w:val="fr-FR" w:eastAsia="ko-KR"/>
              </w:rPr>
              <w:t xml:space="preserve">CID </w:t>
            </w:r>
            <w:r w:rsidR="00B77217" w:rsidRPr="00B77217">
              <w:rPr>
                <w:lang w:val="fr-FR" w:eastAsia="ko-KR"/>
              </w:rPr>
              <w:t>20</w:t>
            </w:r>
            <w:r w:rsidR="00EE592B">
              <w:rPr>
                <w:lang w:val="fr-FR" w:eastAsia="ko-KR"/>
              </w:rPr>
              <w:t>03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5F518D8B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2A2A04">
              <w:rPr>
                <w:b w:val="0"/>
                <w:sz w:val="20"/>
                <w:lang w:eastAsia="ko-KR"/>
              </w:rPr>
              <w:t>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A2A04">
              <w:rPr>
                <w:b w:val="0"/>
                <w:sz w:val="20"/>
                <w:lang w:eastAsia="ko-KR"/>
              </w:rPr>
              <w:t>25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446779F" w:rsidR="009D488E" w:rsidRDefault="009D488E" w:rsidP="005D261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>to address the following CID</w:t>
      </w:r>
      <w:r w:rsidR="00B4541D">
        <w:rPr>
          <w:lang w:eastAsia="ko-KR"/>
        </w:rPr>
        <w:t xml:space="preserve"> </w:t>
      </w:r>
      <w:r w:rsidR="00262038">
        <w:rPr>
          <w:lang w:eastAsia="ko-KR"/>
        </w:rPr>
        <w:t>20</w:t>
      </w:r>
      <w:r w:rsidR="0003795E">
        <w:rPr>
          <w:lang w:eastAsia="ko-KR"/>
        </w:rPr>
        <w:t>03</w:t>
      </w:r>
      <w:r w:rsidR="00AF7EF9">
        <w:rPr>
          <w:lang w:eastAsia="ko-KR"/>
        </w:rPr>
        <w:t xml:space="preserve">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F47508">
        <w:rPr>
          <w:lang w:eastAsia="ko-KR"/>
        </w:rPr>
        <w:t>5</w:t>
      </w:r>
      <w:r w:rsidR="00735C4E" w:rsidRPr="00735C4E">
        <w:rPr>
          <w:lang w:eastAsia="ko-KR"/>
        </w:rPr>
        <w:t>.</w:t>
      </w:r>
      <w:r w:rsidR="00F47508">
        <w:rPr>
          <w:lang w:eastAsia="ko-KR"/>
        </w:rPr>
        <w:t>1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</w:t>
      </w:r>
      <w:r w:rsidR="00F47508">
        <w:rPr>
          <w:lang w:eastAsia="ko-KR"/>
        </w:rPr>
        <w:t>5</w:t>
      </w:r>
      <w:r w:rsidR="00233CA7" w:rsidRPr="00233CA7">
        <w:rPr>
          <w:lang w:eastAsia="ko-KR"/>
        </w:rPr>
        <w:t>.</w:t>
      </w:r>
      <w:r w:rsidR="00F47508">
        <w:rPr>
          <w:lang w:eastAsia="ko-KR"/>
        </w:rPr>
        <w:t>0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F47508">
        <w:rPr>
          <w:lang w:eastAsia="ko-KR"/>
        </w:rPr>
        <w:t>2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63757A3" w:rsidR="007D012C" w:rsidRDefault="00671A60" w:rsidP="000A0D03">
      <w:pPr>
        <w:pStyle w:val="ListParagraph"/>
        <w:numPr>
          <w:ilvl w:val="0"/>
          <w:numId w:val="15"/>
        </w:numPr>
        <w:ind w:leftChars="0"/>
        <w:jc w:val="both"/>
      </w:pPr>
      <w:r>
        <w:t>Updates during presentation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4B5437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8E4ED5">
        <w:rPr>
          <w:lang w:eastAsia="ko-KR"/>
        </w:rPr>
        <w:t>bk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65417CB4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E4ED5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520"/>
        <w:gridCol w:w="2700"/>
        <w:gridCol w:w="2577"/>
      </w:tblGrid>
      <w:tr w:rsidR="00344704" w:rsidRPr="00677427" w14:paraId="5AF7BC48" w14:textId="77777777" w:rsidTr="00DE42FA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2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70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26402" w:rsidRPr="00CF149D" w14:paraId="1CB1CCB5" w14:textId="77777777" w:rsidTr="00DE42FA">
        <w:trPr>
          <w:trHeight w:val="1002"/>
        </w:trPr>
        <w:tc>
          <w:tcPr>
            <w:tcW w:w="721" w:type="dxa"/>
          </w:tcPr>
          <w:p w14:paraId="439F4F2C" w14:textId="152DD3FA" w:rsidR="00326402" w:rsidRPr="00B5099A" w:rsidRDefault="00262038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</w:t>
            </w:r>
            <w:r w:rsidR="00D03820">
              <w:rPr>
                <w:rFonts w:ascii="Arial" w:hAnsi="Arial" w:cs="Arial"/>
                <w:b/>
                <w:color w:val="000000"/>
                <w:sz w:val="20"/>
              </w:rPr>
              <w:t>03</w:t>
            </w:r>
          </w:p>
        </w:tc>
        <w:tc>
          <w:tcPr>
            <w:tcW w:w="720" w:type="dxa"/>
          </w:tcPr>
          <w:p w14:paraId="51AD3143" w14:textId="32DA8A9D" w:rsidR="00326402" w:rsidRPr="00B5099A" w:rsidRDefault="00D03820" w:rsidP="00326402">
            <w:pPr>
              <w:rPr>
                <w:rFonts w:ascii="Arial" w:hAnsi="Arial" w:cs="Arial"/>
                <w:color w:val="000000"/>
                <w:sz w:val="20"/>
              </w:rPr>
            </w:pPr>
            <w:r w:rsidRPr="00D03820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  <w:tc>
          <w:tcPr>
            <w:tcW w:w="810" w:type="dxa"/>
          </w:tcPr>
          <w:p w14:paraId="7C47AEDA" w14:textId="4700CFE7" w:rsidR="00326402" w:rsidRPr="00B5099A" w:rsidRDefault="00D03820" w:rsidP="00326402">
            <w:pPr>
              <w:rPr>
                <w:rFonts w:ascii="Arial" w:hAnsi="Arial" w:cs="Arial"/>
                <w:sz w:val="20"/>
              </w:rPr>
            </w:pPr>
            <w:r w:rsidRPr="00D03820">
              <w:rPr>
                <w:rFonts w:ascii="Arial" w:hAnsi="Arial" w:cs="Arial"/>
                <w:sz w:val="20"/>
              </w:rPr>
              <w:t>12.13</w:t>
            </w:r>
          </w:p>
        </w:tc>
        <w:tc>
          <w:tcPr>
            <w:tcW w:w="2520" w:type="dxa"/>
          </w:tcPr>
          <w:p w14:paraId="472D2BBF" w14:textId="77777777" w:rsidR="00D03820" w:rsidRPr="00D03820" w:rsidRDefault="00D03820" w:rsidP="00D03820">
            <w:pPr>
              <w:rPr>
                <w:rFonts w:ascii="Arial" w:hAnsi="Arial" w:cs="Arial"/>
                <w:sz w:val="20"/>
              </w:rPr>
            </w:pPr>
            <w:r w:rsidRPr="00D03820">
              <w:rPr>
                <w:rFonts w:ascii="Arial" w:hAnsi="Arial" w:cs="Arial"/>
                <w:sz w:val="20"/>
              </w:rPr>
              <w:t>"current 11bk draft is based on 11be, 11bk draft should consider the ranging on MLD device.</w:t>
            </w:r>
          </w:p>
          <w:p w14:paraId="650BE764" w14:textId="2AF41FA5" w:rsidR="00326402" w:rsidRPr="00B5099A" w:rsidRDefault="00D03820" w:rsidP="00D03820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03820">
              <w:rPr>
                <w:rFonts w:ascii="Arial" w:hAnsi="Arial" w:cs="Arial"/>
                <w:sz w:val="20"/>
              </w:rPr>
              <w:t>e.g. allow two MLDs to exchange the protected FTM frames on any links after a single MLD PASN procedure."</w:t>
            </w:r>
          </w:p>
        </w:tc>
        <w:tc>
          <w:tcPr>
            <w:tcW w:w="2700" w:type="dxa"/>
          </w:tcPr>
          <w:p w14:paraId="14B8CD75" w14:textId="13AEAC11" w:rsidR="00326402" w:rsidRPr="00B5099A" w:rsidRDefault="00D03820" w:rsidP="00326402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03820">
              <w:rPr>
                <w:rFonts w:ascii="Arial" w:hAnsi="Arial" w:cs="Arial"/>
                <w:sz w:val="20"/>
              </w:rPr>
              <w:t>define MLD PASN procedure to generate MLD level PTK, so that MLDs can exchange FTM frames protected by single PTK on any links.</w:t>
            </w:r>
          </w:p>
        </w:tc>
        <w:tc>
          <w:tcPr>
            <w:tcW w:w="2577" w:type="dxa"/>
          </w:tcPr>
          <w:p w14:paraId="31D7256B" w14:textId="1B3CB8B8" w:rsidR="00326402" w:rsidRDefault="00B573A5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</w:t>
            </w:r>
            <w:r w:rsidR="00D03820">
              <w:rPr>
                <w:rFonts w:ascii="Arial" w:hAnsi="Arial" w:cs="Arial"/>
                <w:b/>
                <w:bCs/>
                <w:sz w:val="20"/>
                <w:szCs w:val="12"/>
              </w:rPr>
              <w:t>jected</w:t>
            </w:r>
          </w:p>
          <w:p w14:paraId="4168C986" w14:textId="77777777" w:rsidR="0076519E" w:rsidRDefault="0076519E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41015D86" w14:textId="5254815D" w:rsidR="00671A60" w:rsidRDefault="00671A60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0"/>
              </w:rPr>
            </w:pPr>
            <w:r>
              <w:rPr>
                <w:rFonts w:ascii="Arial" w:hAnsi="Arial" w:cs="Arial"/>
                <w:sz w:val="18"/>
                <w:szCs w:val="10"/>
              </w:rPr>
              <w:t>The commenter does not propose a detailed change, just assigns work to the group.</w:t>
            </w:r>
          </w:p>
          <w:p w14:paraId="1F15BBDD" w14:textId="77777777" w:rsidR="00671A60" w:rsidRDefault="00671A60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0"/>
              </w:rPr>
            </w:pPr>
          </w:p>
          <w:p w14:paraId="41441B61" w14:textId="1F735708" w:rsidR="00671A60" w:rsidRDefault="00671A60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0"/>
              </w:rPr>
            </w:pPr>
            <w:r>
              <w:rPr>
                <w:rFonts w:ascii="Arial" w:hAnsi="Arial" w:cs="Arial"/>
                <w:sz w:val="18"/>
                <w:szCs w:val="10"/>
              </w:rPr>
              <w:t>Discussion:</w:t>
            </w:r>
          </w:p>
          <w:p w14:paraId="42F388CE" w14:textId="1E585732" w:rsidR="00671A60" w:rsidRDefault="00DE42FA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0"/>
              </w:rPr>
            </w:pPr>
            <w:r>
              <w:rPr>
                <w:rFonts w:ascii="Arial" w:hAnsi="Arial" w:cs="Arial"/>
                <w:sz w:val="18"/>
                <w:szCs w:val="10"/>
              </w:rPr>
              <w:t>There have been changes to accommodate FTM to MLDs, e.g., sending ICF to EM</w:t>
            </w:r>
            <w:r w:rsidR="00671A60">
              <w:rPr>
                <w:rFonts w:ascii="Arial" w:hAnsi="Arial" w:cs="Arial"/>
                <w:sz w:val="18"/>
                <w:szCs w:val="10"/>
              </w:rPr>
              <w:t>L</w:t>
            </w:r>
            <w:r w:rsidR="004D7C4B">
              <w:rPr>
                <w:rFonts w:ascii="Arial" w:hAnsi="Arial" w:cs="Arial"/>
                <w:sz w:val="18"/>
                <w:szCs w:val="10"/>
              </w:rPr>
              <w:t>S</w:t>
            </w:r>
            <w:r>
              <w:rPr>
                <w:rFonts w:ascii="Arial" w:hAnsi="Arial" w:cs="Arial"/>
                <w:sz w:val="18"/>
                <w:szCs w:val="10"/>
              </w:rPr>
              <w:t>R STAs. For un-associated STAs there is currently no MLD behavior as establishment of ML</w:t>
            </w:r>
            <w:r w:rsidR="00671A60">
              <w:rPr>
                <w:rFonts w:ascii="Arial" w:hAnsi="Arial" w:cs="Arial"/>
                <w:sz w:val="18"/>
                <w:szCs w:val="10"/>
              </w:rPr>
              <w:t>D</w:t>
            </w:r>
            <w:r>
              <w:rPr>
                <w:rFonts w:ascii="Arial" w:hAnsi="Arial" w:cs="Arial"/>
                <w:sz w:val="18"/>
                <w:szCs w:val="10"/>
              </w:rPr>
              <w:t xml:space="preserve"> depends on association.</w:t>
            </w:r>
          </w:p>
          <w:p w14:paraId="10AECB16" w14:textId="2E8E8198" w:rsidR="00B573A5" w:rsidRPr="000C5F8D" w:rsidRDefault="00671A60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sz w:val="18"/>
                <w:szCs w:val="10"/>
              </w:rPr>
              <w:t>It would be efficient if an un-associated STA could establish PASN once and use on multiple links.</w:t>
            </w:r>
          </w:p>
        </w:tc>
      </w:tr>
      <w:tr w:rsidR="00326402" w:rsidRPr="00CF149D" w14:paraId="5FE63C42" w14:textId="77777777" w:rsidTr="00DE42FA">
        <w:trPr>
          <w:trHeight w:val="1002"/>
        </w:trPr>
        <w:tc>
          <w:tcPr>
            <w:tcW w:w="721" w:type="dxa"/>
          </w:tcPr>
          <w:p w14:paraId="1349391F" w14:textId="77777777" w:rsidR="00326402" w:rsidRPr="005A30FB" w:rsidRDefault="00326402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14:paraId="7B210EA2" w14:textId="77777777" w:rsidR="00326402" w:rsidRPr="005A30FB" w:rsidRDefault="00326402" w:rsidP="0032640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3E3B5BC8" w14:textId="77777777" w:rsidR="00326402" w:rsidRPr="005A30FB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63CD61C" w14:textId="77777777" w:rsidR="00326402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66EEAA77" w14:textId="77777777" w:rsidR="00326402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7" w:type="dxa"/>
          </w:tcPr>
          <w:p w14:paraId="6D0E7D35" w14:textId="77777777" w:rsidR="00326402" w:rsidRPr="000C5F8D" w:rsidRDefault="00326402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  <w:tr w:rsidR="00F74DB2" w:rsidRPr="00CF149D" w14:paraId="59B9723E" w14:textId="77777777" w:rsidTr="00DE42FA">
        <w:trPr>
          <w:trHeight w:val="1002"/>
        </w:trPr>
        <w:tc>
          <w:tcPr>
            <w:tcW w:w="721" w:type="dxa"/>
          </w:tcPr>
          <w:p w14:paraId="0F63AAC7" w14:textId="5B3585D0" w:rsidR="00F74DB2" w:rsidRPr="00F74DB2" w:rsidRDefault="00F74DB2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14:paraId="7D9B3FB6" w14:textId="7C015C0E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47E82024" w14:textId="68A423E1" w:rsidR="00F74DB2" w:rsidRPr="00F74DB2" w:rsidRDefault="00F74DB2" w:rsidP="000953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2F25E06B" w14:textId="5CF2C609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2700" w:type="dxa"/>
          </w:tcPr>
          <w:p w14:paraId="5B1F2C75" w14:textId="69CF9E24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2577" w:type="dxa"/>
          </w:tcPr>
          <w:p w14:paraId="55F95833" w14:textId="31CEE90E" w:rsidR="00F74DB2" w:rsidRDefault="00F74DB2" w:rsidP="00054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bookmarkEnd w:id="0"/>
    <w:p w14:paraId="34AED5B2" w14:textId="77777777" w:rsidR="00D20246" w:rsidRPr="00303256" w:rsidRDefault="00D20246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sectPr w:rsidR="00D20246" w:rsidRPr="0030325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5175" w14:textId="77777777" w:rsidR="004B17F4" w:rsidRDefault="004B17F4">
      <w:r>
        <w:separator/>
      </w:r>
    </w:p>
  </w:endnote>
  <w:endnote w:type="continuationSeparator" w:id="0">
    <w:p w14:paraId="32E02C4F" w14:textId="77777777" w:rsidR="004B17F4" w:rsidRDefault="004B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Heiti TC 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EC74" w14:textId="77777777" w:rsidR="004B17F4" w:rsidRDefault="004B17F4">
      <w:r>
        <w:separator/>
      </w:r>
    </w:p>
  </w:footnote>
  <w:footnote w:type="continuationSeparator" w:id="0">
    <w:p w14:paraId="34B9CD7E" w14:textId="77777777" w:rsidR="004B17F4" w:rsidRDefault="004B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6E69699C" w:rsidR="00E45F0E" w:rsidRDefault="002A2A0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3143A7" w:rsidRPr="003143A7">
        <w:t>1080</w:t>
      </w:r>
      <w:r w:rsidR="00E45F0E">
        <w:rPr>
          <w:lang w:eastAsia="ko-KR"/>
        </w:rPr>
        <w:t>r</w:t>
      </w:r>
    </w:fldSimple>
    <w:r w:rsidR="00671A6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12"/>
    <w:multiLevelType w:val="hybridMultilevel"/>
    <w:tmpl w:val="A732C0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8C7"/>
    <w:multiLevelType w:val="hybridMultilevel"/>
    <w:tmpl w:val="E6C6C5B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2EB"/>
    <w:multiLevelType w:val="hybridMultilevel"/>
    <w:tmpl w:val="2358599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A2DDC"/>
    <w:multiLevelType w:val="hybridMultilevel"/>
    <w:tmpl w:val="3AD6A4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5A9A"/>
    <w:multiLevelType w:val="hybridMultilevel"/>
    <w:tmpl w:val="40626CE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9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03E6"/>
    <w:multiLevelType w:val="hybridMultilevel"/>
    <w:tmpl w:val="E190F7A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7A0D"/>
    <w:multiLevelType w:val="hybridMultilevel"/>
    <w:tmpl w:val="2E8042B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06103"/>
    <w:multiLevelType w:val="hybridMultilevel"/>
    <w:tmpl w:val="10BEBD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5437B"/>
    <w:multiLevelType w:val="hybridMultilevel"/>
    <w:tmpl w:val="AF7E107E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0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F314F"/>
    <w:multiLevelType w:val="hybridMultilevel"/>
    <w:tmpl w:val="C3BA4AF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16EA2"/>
    <w:multiLevelType w:val="hybridMultilevel"/>
    <w:tmpl w:val="20B6428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707"/>
    <w:multiLevelType w:val="hybridMultilevel"/>
    <w:tmpl w:val="9E56BD8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A6E62"/>
    <w:multiLevelType w:val="hybridMultilevel"/>
    <w:tmpl w:val="F98AE0F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BC4AD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4726F"/>
    <w:multiLevelType w:val="hybridMultilevel"/>
    <w:tmpl w:val="D3D42972"/>
    <w:lvl w:ilvl="0" w:tplc="8EBC4AD4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E382E"/>
    <w:multiLevelType w:val="hybridMultilevel"/>
    <w:tmpl w:val="ED22CAC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26"/>
  </w:num>
  <w:num w:numId="2" w16cid:durableId="966131973">
    <w:abstractNumId w:val="19"/>
  </w:num>
  <w:num w:numId="3" w16cid:durableId="1678069260">
    <w:abstractNumId w:val="8"/>
  </w:num>
  <w:num w:numId="4" w16cid:durableId="1090200469">
    <w:abstractNumId w:val="28"/>
  </w:num>
  <w:num w:numId="5" w16cid:durableId="581795648">
    <w:abstractNumId w:val="32"/>
  </w:num>
  <w:num w:numId="6" w16cid:durableId="214704292">
    <w:abstractNumId w:val="4"/>
  </w:num>
  <w:num w:numId="7" w16cid:durableId="2021420874">
    <w:abstractNumId w:val="11"/>
  </w:num>
  <w:num w:numId="8" w16cid:durableId="281422111">
    <w:abstractNumId w:val="16"/>
  </w:num>
  <w:num w:numId="9" w16cid:durableId="1797873841">
    <w:abstractNumId w:val="15"/>
  </w:num>
  <w:num w:numId="10" w16cid:durableId="650451950">
    <w:abstractNumId w:val="12"/>
  </w:num>
  <w:num w:numId="11" w16cid:durableId="1122770211">
    <w:abstractNumId w:val="2"/>
  </w:num>
  <w:num w:numId="12" w16cid:durableId="204296905">
    <w:abstractNumId w:val="9"/>
  </w:num>
  <w:num w:numId="13" w16cid:durableId="1693648852">
    <w:abstractNumId w:val="10"/>
  </w:num>
  <w:num w:numId="14" w16cid:durableId="1710298878">
    <w:abstractNumId w:val="27"/>
  </w:num>
  <w:num w:numId="15" w16cid:durableId="1411655545">
    <w:abstractNumId w:val="5"/>
  </w:num>
  <w:num w:numId="16" w16cid:durableId="1906915491">
    <w:abstractNumId w:val="8"/>
  </w:num>
  <w:num w:numId="17" w16cid:durableId="1033266615">
    <w:abstractNumId w:val="28"/>
  </w:num>
  <w:num w:numId="18" w16cid:durableId="55592696">
    <w:abstractNumId w:val="19"/>
  </w:num>
  <w:num w:numId="19" w16cid:durableId="1043679390">
    <w:abstractNumId w:val="25"/>
  </w:num>
  <w:num w:numId="20" w16cid:durableId="2047673862">
    <w:abstractNumId w:val="0"/>
  </w:num>
  <w:num w:numId="21" w16cid:durableId="322511321">
    <w:abstractNumId w:val="24"/>
  </w:num>
  <w:num w:numId="22" w16cid:durableId="1125466792">
    <w:abstractNumId w:val="14"/>
  </w:num>
  <w:num w:numId="23" w16cid:durableId="1862208862">
    <w:abstractNumId w:val="17"/>
  </w:num>
  <w:num w:numId="24" w16cid:durableId="106432773">
    <w:abstractNumId w:val="13"/>
  </w:num>
  <w:num w:numId="25" w16cid:durableId="918637752">
    <w:abstractNumId w:val="3"/>
  </w:num>
  <w:num w:numId="26" w16cid:durableId="42561642">
    <w:abstractNumId w:val="1"/>
  </w:num>
  <w:num w:numId="27" w16cid:durableId="44717812">
    <w:abstractNumId w:val="7"/>
  </w:num>
  <w:num w:numId="28" w16cid:durableId="470486268">
    <w:abstractNumId w:val="21"/>
  </w:num>
  <w:num w:numId="29" w16cid:durableId="1262180911">
    <w:abstractNumId w:val="31"/>
  </w:num>
  <w:num w:numId="30" w16cid:durableId="2068143349">
    <w:abstractNumId w:val="30"/>
  </w:num>
  <w:num w:numId="31" w16cid:durableId="1669553699">
    <w:abstractNumId w:val="18"/>
  </w:num>
  <w:num w:numId="32" w16cid:durableId="572008757">
    <w:abstractNumId w:val="20"/>
  </w:num>
  <w:num w:numId="33" w16cid:durableId="208150554">
    <w:abstractNumId w:val="22"/>
  </w:num>
  <w:num w:numId="34" w16cid:durableId="1134252219">
    <w:abstractNumId w:val="6"/>
  </w:num>
  <w:num w:numId="35" w16cid:durableId="1855026665">
    <w:abstractNumId w:val="23"/>
  </w:num>
  <w:num w:numId="36" w16cid:durableId="771165634">
    <w:abstractNumId w:val="29"/>
  </w:num>
  <w:num w:numId="37" w16cid:durableId="200546965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5BF0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3795E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65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A68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448C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3E74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0AC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D00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CF2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D7F9C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4D4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3F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48F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038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1C2"/>
    <w:rsid w:val="002963E4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A04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3DF1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3B1B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066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256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3A7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402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53B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3F3E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0A34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13A"/>
    <w:rsid w:val="0041331E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1A34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17F4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D7C4B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4F5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2EDA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72C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61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6C4"/>
    <w:rsid w:val="00592915"/>
    <w:rsid w:val="00592E74"/>
    <w:rsid w:val="0059356C"/>
    <w:rsid w:val="005942B1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0FB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04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2615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8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27F80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23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0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AFB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8A3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D98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72E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A6D"/>
    <w:rsid w:val="00741D75"/>
    <w:rsid w:val="007421CA"/>
    <w:rsid w:val="0074309E"/>
    <w:rsid w:val="007438A5"/>
    <w:rsid w:val="00743E7A"/>
    <w:rsid w:val="0074505F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560"/>
    <w:rsid w:val="0076096A"/>
    <w:rsid w:val="00760E8D"/>
    <w:rsid w:val="00761752"/>
    <w:rsid w:val="0076196C"/>
    <w:rsid w:val="007619A2"/>
    <w:rsid w:val="00761D6B"/>
    <w:rsid w:val="007620BA"/>
    <w:rsid w:val="0076229C"/>
    <w:rsid w:val="007623F6"/>
    <w:rsid w:val="0076243A"/>
    <w:rsid w:val="00762551"/>
    <w:rsid w:val="00762E61"/>
    <w:rsid w:val="00763472"/>
    <w:rsid w:val="0076519E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57E6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1C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60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3DC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2E63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3F0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2A4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ED5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4F07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25B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DB"/>
    <w:rsid w:val="00993047"/>
    <w:rsid w:val="00993332"/>
    <w:rsid w:val="009936C5"/>
    <w:rsid w:val="009943D2"/>
    <w:rsid w:val="009948C1"/>
    <w:rsid w:val="009951A0"/>
    <w:rsid w:val="00996772"/>
    <w:rsid w:val="009970FA"/>
    <w:rsid w:val="0099722E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6BE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006E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BE3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758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22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AF7EF9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41D"/>
    <w:rsid w:val="00B45A5E"/>
    <w:rsid w:val="00B46EE4"/>
    <w:rsid w:val="00B46EFF"/>
    <w:rsid w:val="00B508A6"/>
    <w:rsid w:val="00B5099A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72C"/>
    <w:rsid w:val="00B5499F"/>
    <w:rsid w:val="00B54BCB"/>
    <w:rsid w:val="00B5530C"/>
    <w:rsid w:val="00B55420"/>
    <w:rsid w:val="00B56B13"/>
    <w:rsid w:val="00B573A5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217"/>
    <w:rsid w:val="00B77499"/>
    <w:rsid w:val="00B77A52"/>
    <w:rsid w:val="00B77BB8"/>
    <w:rsid w:val="00B77CBF"/>
    <w:rsid w:val="00B80533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1A7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680"/>
    <w:rsid w:val="00BD4801"/>
    <w:rsid w:val="00BD4BC5"/>
    <w:rsid w:val="00BD5363"/>
    <w:rsid w:val="00BD54E4"/>
    <w:rsid w:val="00BD597D"/>
    <w:rsid w:val="00BD5ABA"/>
    <w:rsid w:val="00BD5DC5"/>
    <w:rsid w:val="00BD65BD"/>
    <w:rsid w:val="00BD6860"/>
    <w:rsid w:val="00BD686B"/>
    <w:rsid w:val="00BD687A"/>
    <w:rsid w:val="00BD69BF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9D"/>
    <w:rsid w:val="00C202E9"/>
    <w:rsid w:val="00C20366"/>
    <w:rsid w:val="00C21A65"/>
    <w:rsid w:val="00C2217F"/>
    <w:rsid w:val="00C237F5"/>
    <w:rsid w:val="00C239A4"/>
    <w:rsid w:val="00C2403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67D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5E75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231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D00"/>
    <w:rsid w:val="00C86EB9"/>
    <w:rsid w:val="00C87821"/>
    <w:rsid w:val="00C8790B"/>
    <w:rsid w:val="00C8795F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820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24F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46"/>
    <w:rsid w:val="00D202C0"/>
    <w:rsid w:val="00D2098F"/>
    <w:rsid w:val="00D21471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3C29"/>
    <w:rsid w:val="00D946F1"/>
    <w:rsid w:val="00D9485C"/>
    <w:rsid w:val="00D94B05"/>
    <w:rsid w:val="00D9667F"/>
    <w:rsid w:val="00D96DB6"/>
    <w:rsid w:val="00D97DF1"/>
    <w:rsid w:val="00DA122F"/>
    <w:rsid w:val="00DA225A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42FA"/>
    <w:rsid w:val="00DE54C5"/>
    <w:rsid w:val="00DE5BB8"/>
    <w:rsid w:val="00DE5DE7"/>
    <w:rsid w:val="00DE637C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2C40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627F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5D7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3BA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D7373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92B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0E2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47508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57FFD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DB2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9E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33D"/>
    <w:rPr>
      <w:rFonts w:eastAsia="MS Mincho"/>
      <w:sz w:val="24"/>
      <w:lang w:eastAsia="ja-JP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hAnsi="Arial"/>
      <w:b/>
      <w:noProof/>
      <w:snapToGrid w:val="0"/>
      <w:sz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sz w:val="18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noProof/>
      <w:sz w:val="20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2094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3</cp:revision>
  <cp:lastPrinted>2010-05-04T03:47:00Z</cp:lastPrinted>
  <dcterms:created xsi:type="dcterms:W3CDTF">2024-07-16T18:42:00Z</dcterms:created>
  <dcterms:modified xsi:type="dcterms:W3CDTF">2024-07-16T18:47:00Z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