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672D2">
            <w:pPr>
              <w:pStyle w:val="T2"/>
            </w:pPr>
            <w:r>
              <w:t>Resolution of Padding CIDs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672D2">
              <w:rPr>
                <w:b w:val="0"/>
                <w:sz w:val="20"/>
              </w:rPr>
              <w:t>2024-06-14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B67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B67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75FD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72D2">
                            <w:pPr>
                              <w:jc w:val="both"/>
                            </w:pPr>
                            <w:r>
                              <w:t>This document proposes resolution to two CIDs on the nature of padding being used in the Annex.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72D2">
                      <w:pPr>
                        <w:jc w:val="both"/>
                      </w:pPr>
                      <w:r>
                        <w:t>This document proposes resolution to two CIDs on the nature of padding being used in the Annex.</w:t>
                      </w:r>
                    </w:p>
                  </w:txbxContent>
                </v:textbox>
              </v:shape>
            </w:pict>
          </mc:Fallback>
        </mc:AlternateContent>
      </w:r>
    </w:p>
    <w:p w:rsidR="00B672D2" w:rsidRDefault="00CA09B2" w:rsidP="00B672D2">
      <w:r>
        <w:br w:type="page"/>
      </w:r>
    </w:p>
    <w:p w:rsidR="00B672D2" w:rsidRDefault="00B672D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22"/>
        <w:gridCol w:w="745"/>
        <w:gridCol w:w="958"/>
        <w:gridCol w:w="2049"/>
        <w:gridCol w:w="1994"/>
        <w:gridCol w:w="1570"/>
      </w:tblGrid>
      <w:tr w:rsidR="00B672D2" w:rsidRPr="00B672D2" w:rsidTr="00B672D2">
        <w:trPr>
          <w:trHeight w:val="2805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3137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RISON, Mark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51.57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AF.2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 xml:space="preserve">"The maximum amount of padding is determined by the size of identifier being padded and the value of </w:t>
            </w:r>
            <w:proofErr w:type="gramStart"/>
            <w:r w:rsidRPr="00B672D2">
              <w:rPr>
                <w:rFonts w:ascii="Calibri" w:hAnsi="Calibri" w:cs="Calibri"/>
                <w:szCs w:val="22"/>
                <w:lang w:val="en-US"/>
              </w:rPr>
              <w:t>n, and</w:t>
            </w:r>
            <w:proofErr w:type="gramEnd"/>
            <w:r w:rsidRPr="00B672D2">
              <w:rPr>
                <w:rFonts w:ascii="Calibri" w:hAnsi="Calibri" w:cs="Calibri"/>
                <w:szCs w:val="22"/>
                <w:lang w:val="en-US"/>
              </w:rPr>
              <w:t xml:space="preserve"> is equal to 237 minus the sum of the length of the identifier and n. " -- it is not clear where 237 comes from.  Also, units are missing but assuming 237 is in octets then there seems to be a dimension error since n is in bits, although it is only defined later on in the </w:t>
            </w:r>
            <w:proofErr w:type="spellStart"/>
            <w:r w:rsidRPr="00B672D2">
              <w:rPr>
                <w:rFonts w:ascii="Calibri" w:hAnsi="Calibri" w:cs="Calibri"/>
                <w:szCs w:val="22"/>
                <w:lang w:val="en-US"/>
              </w:rPr>
              <w:t>subannex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Change to "Any amount of padding can be added, as long as the resulting opaque identifier can fit in the Device ID element (in the Device ID field thereof)."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Revised: Changes to the Device ID definition have not been reflected in the annex. The value is 231, not</w:t>
            </w:r>
            <w:r>
              <w:rPr>
                <w:rFonts w:ascii="Calibri" w:hAnsi="Calibri" w:cs="Calibri"/>
                <w:szCs w:val="22"/>
                <w:lang w:val="en-US"/>
              </w:rPr>
              <w:t xml:space="preserve"> 237. 253 is largest body of an element but device ID eats up 5 more of those leaving 248 for a maximum device ID. Minus 1 for the pad length and 16 for SIV’s tag and it’s 231. Incorporate changes in &lt;this document&gt;.</w:t>
            </w:r>
          </w:p>
        </w:tc>
      </w:tr>
      <w:tr w:rsidR="00B672D2" w:rsidRPr="00B672D2" w:rsidTr="00B672D2">
        <w:trPr>
          <w:trHeight w:val="10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3183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RISON, Mark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51.51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AF.2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It is not clear whether the amount of padding is itself required to be random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 w:rsidRPr="00B672D2">
              <w:rPr>
                <w:rFonts w:ascii="Calibri" w:hAnsi="Calibri" w:cs="Calibri"/>
                <w:szCs w:val="22"/>
                <w:lang w:val="en-US"/>
              </w:rPr>
              <w:t>Clarify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Revised: Add “The amount of padding to add varies and its variability determines the resistance to traffic analysis that this scheme provides.”</w:t>
            </w:r>
            <w:r>
              <w:rPr>
                <w:rFonts w:ascii="Calibri" w:hAnsi="Calibri" w:cs="Calibri"/>
                <w:szCs w:val="22"/>
                <w:lang w:val="en-US"/>
              </w:rPr>
              <w:t xml:space="preserve"> per &lt;this document&gt;.</w:t>
            </w:r>
          </w:p>
          <w:p w:rsid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  <w:p w:rsid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B672D2" w:rsidRPr="00B672D2" w:rsidTr="00B672D2">
        <w:trPr>
          <w:trHeight w:val="510"/>
        </w:trPr>
        <w:tc>
          <w:tcPr>
            <w:tcW w:w="100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B672D2" w:rsidRPr="00B672D2" w:rsidRDefault="00B672D2" w:rsidP="00B672D2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:rsidR="00CA09B2" w:rsidRDefault="00CA09B2"/>
    <w:p w:rsidR="00B672D2" w:rsidRDefault="00B672D2">
      <w:pPr>
        <w:rPr>
          <w:sz w:val="20"/>
          <w:szCs w:val="16"/>
        </w:rPr>
      </w:pPr>
      <w:r>
        <w:rPr>
          <w:i/>
          <w:iCs/>
        </w:rPr>
        <w:t>Instruct the editor to modify AF.2 as indicated:</w:t>
      </w:r>
    </w:p>
    <w:p w:rsidR="00B672D2" w:rsidRDefault="00B672D2">
      <w:pPr>
        <w:rPr>
          <w:sz w:val="20"/>
          <w:szCs w:val="16"/>
        </w:rPr>
      </w:pPr>
    </w:p>
    <w:p w:rsidR="00B672D2" w:rsidRPr="00B672D2" w:rsidRDefault="00B672D2">
      <w:pPr>
        <w:rPr>
          <w:b/>
          <w:bCs/>
          <w:sz w:val="20"/>
          <w:szCs w:val="16"/>
        </w:rPr>
      </w:pPr>
      <w:r w:rsidRPr="00B672D2">
        <w:rPr>
          <w:b/>
          <w:bCs/>
          <w:sz w:val="20"/>
          <w:szCs w:val="16"/>
        </w:rPr>
        <w:t>AF.2 Generation of opaque device identifiers</w:t>
      </w:r>
    </w:p>
    <w:p w:rsidR="00B672D2" w:rsidRDefault="00B672D2"/>
    <w:p w:rsidR="00B672D2" w:rsidRDefault="00B672D2" w:rsidP="00B672D2">
      <w:pPr>
        <w:rPr>
          <w:sz w:val="20"/>
          <w:szCs w:val="16"/>
          <w:lang w:val="en-US"/>
        </w:rPr>
      </w:pPr>
      <w:r w:rsidRPr="00B672D2">
        <w:rPr>
          <w:sz w:val="20"/>
          <w:szCs w:val="16"/>
          <w:lang w:val="en-US"/>
        </w:rPr>
        <w:t>There is a single symmetric secret, k, shared by all APs in an ESS. The length of k is 256 bits if AES-SIV-256 is used or 512 bits if AES-SIV-512 is used. In either case, the procedure is to prepend the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 xml:space="preserve">identifier with a single octet indicating the number of random octets of padding that follow. </w:t>
      </w:r>
      <w:ins w:id="0" w:author="Harkins, Dan" w:date="2024-06-14T10:02:00Z">
        <w:r>
          <w:rPr>
            <w:sz w:val="20"/>
            <w:szCs w:val="16"/>
            <w:lang w:val="en-US"/>
          </w:rPr>
          <w:t>The amount of random padding to add var</w:t>
        </w:r>
      </w:ins>
      <w:ins w:id="1" w:author="Harkins, Dan" w:date="2024-06-14T10:03:00Z">
        <w:r>
          <w:rPr>
            <w:sz w:val="20"/>
            <w:szCs w:val="16"/>
            <w:lang w:val="en-US"/>
          </w:rPr>
          <w:t>ies and its variability determines the resistance to traffic analysis th</w:t>
        </w:r>
      </w:ins>
      <w:ins w:id="2" w:author="Harkins, Dan" w:date="2024-06-14T10:06:00Z">
        <w:r>
          <w:rPr>
            <w:sz w:val="20"/>
            <w:szCs w:val="16"/>
            <w:lang w:val="en-US"/>
          </w:rPr>
          <w:t>at this</w:t>
        </w:r>
      </w:ins>
      <w:ins w:id="3" w:author="Harkins, Dan" w:date="2024-06-14T10:03:00Z">
        <w:r>
          <w:rPr>
            <w:sz w:val="20"/>
            <w:szCs w:val="16"/>
            <w:lang w:val="en-US"/>
          </w:rPr>
          <w:t xml:space="preserve"> scheme provides. </w:t>
        </w:r>
      </w:ins>
      <w:r w:rsidRPr="00B672D2">
        <w:rPr>
          <w:sz w:val="20"/>
          <w:szCs w:val="16"/>
          <w:lang w:val="en-US"/>
        </w:rPr>
        <w:t>For example, if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>there are 4 octets of padding added to mitigate traffic analysis, the identifier, id, might be padded as:</w:t>
      </w:r>
    </w:p>
    <w:p w:rsidR="00B672D2" w:rsidRPr="00B672D2" w:rsidRDefault="00B672D2" w:rsidP="00B672D2">
      <w:pPr>
        <w:rPr>
          <w:sz w:val="20"/>
          <w:szCs w:val="16"/>
          <w:lang w:val="en-US"/>
        </w:rPr>
      </w:pPr>
    </w:p>
    <w:p w:rsidR="00B672D2" w:rsidRDefault="00B672D2" w:rsidP="00B672D2">
      <w:pPr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ab/>
      </w:r>
      <w:r>
        <w:rPr>
          <w:sz w:val="20"/>
          <w:szCs w:val="16"/>
          <w:lang w:val="en-US"/>
        </w:rPr>
        <w:tab/>
      </w:r>
      <w:r>
        <w:rPr>
          <w:sz w:val="20"/>
          <w:szCs w:val="16"/>
          <w:lang w:val="en-US"/>
        </w:rPr>
        <w:tab/>
      </w:r>
      <w:proofErr w:type="gramStart"/>
      <w:r w:rsidRPr="00B672D2">
        <w:rPr>
          <w:sz w:val="20"/>
          <w:szCs w:val="16"/>
          <w:lang w:val="en-US"/>
        </w:rPr>
        <w:t>padded-id</w:t>
      </w:r>
      <w:proofErr w:type="gramEnd"/>
      <w:r w:rsidRPr="00B672D2">
        <w:rPr>
          <w:sz w:val="20"/>
          <w:szCs w:val="16"/>
          <w:lang w:val="en-US"/>
        </w:rPr>
        <w:t xml:space="preserve"> = 0x04 0xc8 0x34 0x9a 0x70 &lt;id&gt;</w:t>
      </w:r>
    </w:p>
    <w:p w:rsidR="00B672D2" w:rsidRPr="00B672D2" w:rsidRDefault="00B672D2" w:rsidP="00B672D2">
      <w:pPr>
        <w:rPr>
          <w:sz w:val="20"/>
          <w:szCs w:val="16"/>
          <w:lang w:val="en-US"/>
        </w:rPr>
      </w:pPr>
    </w:p>
    <w:p w:rsidR="00B672D2" w:rsidRDefault="00B672D2" w:rsidP="00B672D2">
      <w:pPr>
        <w:rPr>
          <w:sz w:val="20"/>
          <w:szCs w:val="16"/>
          <w:lang w:val="en-US"/>
        </w:rPr>
      </w:pPr>
      <w:del w:id="4" w:author="Harkins, Dan" w:date="2024-06-14T09:55:00Z">
        <w:r w:rsidRPr="00B672D2" w:rsidDel="00B672D2">
          <w:rPr>
            <w:sz w:val="20"/>
            <w:szCs w:val="16"/>
            <w:lang w:val="en-US"/>
          </w:rPr>
          <w:delText>The maximum amount of padding is determined by the size of the identifier being padded and the value of n,</w:delText>
        </w:r>
        <w:r w:rsidDel="00B672D2">
          <w:rPr>
            <w:sz w:val="20"/>
            <w:szCs w:val="16"/>
            <w:lang w:val="en-US"/>
          </w:rPr>
          <w:delText xml:space="preserve"> </w:delText>
        </w:r>
        <w:r w:rsidRPr="00B672D2" w:rsidDel="00B672D2">
          <w:rPr>
            <w:sz w:val="20"/>
            <w:szCs w:val="16"/>
            <w:lang w:val="en-US"/>
          </w:rPr>
          <w:delText xml:space="preserve">and is equal to 237 minus the sum of the length of the identifier and n. </w:delText>
        </w:r>
      </w:del>
      <w:r w:rsidRPr="00B672D2">
        <w:rPr>
          <w:sz w:val="20"/>
          <w:szCs w:val="16"/>
          <w:lang w:val="en-US"/>
        </w:rPr>
        <w:t>If there is no padding, a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 xml:space="preserve">single zero octet is prepended to the identifier. </w:t>
      </w:r>
    </w:p>
    <w:p w:rsidR="00B672D2" w:rsidRDefault="00B672D2" w:rsidP="00B672D2">
      <w:pPr>
        <w:rPr>
          <w:sz w:val="20"/>
          <w:szCs w:val="16"/>
          <w:lang w:val="en-US"/>
        </w:rPr>
      </w:pPr>
    </w:p>
    <w:p w:rsidR="00CA09B2" w:rsidRDefault="00B672D2">
      <w:r w:rsidRPr="00B672D2">
        <w:rPr>
          <w:sz w:val="20"/>
          <w:szCs w:val="16"/>
          <w:lang w:val="en-US"/>
        </w:rPr>
        <w:t>The padded identifier is prepended with a variable length input comprised of random octets called a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>tweak. The length of the tweak</w:t>
      </w:r>
      <w:del w:id="5" w:author="Harkins, Dan" w:date="2024-06-14T10:13:00Z">
        <w:r w:rsidRPr="00B672D2" w:rsidDel="00B672D2">
          <w:rPr>
            <w:sz w:val="20"/>
            <w:szCs w:val="16"/>
            <w:lang w:val="en-US"/>
          </w:rPr>
          <w:delText xml:space="preserve">, n </w:delText>
        </w:r>
      </w:del>
      <w:ins w:id="6" w:author="Harkins, Dan" w:date="2024-06-14T10:13:00Z">
        <w:r>
          <w:rPr>
            <w:sz w:val="20"/>
            <w:szCs w:val="16"/>
            <w:lang w:val="en-US"/>
          </w:rPr>
          <w:t xml:space="preserve"> </w:t>
        </w:r>
      </w:ins>
      <w:r w:rsidRPr="00B672D2">
        <w:rPr>
          <w:sz w:val="20"/>
          <w:szCs w:val="16"/>
          <w:lang w:val="en-US"/>
        </w:rPr>
        <w:t>in bits,</w:t>
      </w:r>
      <w:ins w:id="7" w:author="Harkins, Dan" w:date="2024-06-14T10:13:00Z">
        <w:r>
          <w:rPr>
            <w:sz w:val="20"/>
            <w:szCs w:val="16"/>
            <w:lang w:val="en-US"/>
          </w:rPr>
          <w:t xml:space="preserve"> n,</w:t>
        </w:r>
      </w:ins>
      <w:r w:rsidRPr="00B672D2">
        <w:rPr>
          <w:sz w:val="20"/>
          <w:szCs w:val="16"/>
          <w:lang w:val="en-US"/>
        </w:rPr>
        <w:t xml:space="preserve"> determines the baseline security of the scheme such that the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>probability of a duplicate identifier being generated, assuming a worst case of no padding, would be 1/2</w:t>
      </w:r>
      <w:r w:rsidRPr="00B672D2">
        <w:rPr>
          <w:sz w:val="20"/>
          <w:szCs w:val="16"/>
          <w:vertAlign w:val="superscript"/>
          <w:lang w:val="en-US"/>
        </w:rPr>
        <w:t>(n/2)</w:t>
      </w:r>
      <w:r>
        <w:t>.</w:t>
      </w:r>
    </w:p>
    <w:p w:rsidR="00B672D2" w:rsidRDefault="00B672D2">
      <w:pPr>
        <w:rPr>
          <w:ins w:id="8" w:author="Harkins, Dan" w:date="2024-06-14T09:55:00Z"/>
          <w:sz w:val="20"/>
          <w:szCs w:val="16"/>
          <w:lang w:val="en-US"/>
        </w:rPr>
      </w:pPr>
    </w:p>
    <w:p w:rsidR="00B672D2" w:rsidRDefault="00B672D2">
      <w:pPr>
        <w:rPr>
          <w:ins w:id="9" w:author="Harkins, Dan" w:date="2024-06-14T09:55:00Z"/>
          <w:sz w:val="20"/>
          <w:szCs w:val="16"/>
          <w:lang w:val="en-US"/>
        </w:rPr>
      </w:pPr>
      <w:ins w:id="10" w:author="Harkins, Dan" w:date="2024-06-14T09:55:00Z">
        <w:r>
          <w:rPr>
            <w:sz w:val="20"/>
            <w:szCs w:val="16"/>
            <w:lang w:val="en-US"/>
          </w:rPr>
          <w:t xml:space="preserve">The maximum amount of padding is determined by the size of the identifier being padded and the size of the tweak in octets and is equal </w:t>
        </w:r>
      </w:ins>
      <w:ins w:id="11" w:author="Harkins, Dan" w:date="2024-06-14T09:56:00Z">
        <w:r>
          <w:rPr>
            <w:sz w:val="20"/>
            <w:szCs w:val="16"/>
            <w:lang w:val="en-US"/>
          </w:rPr>
          <w:t>to 231 minus the sum of the lengths of the identifier and the tweak (</w:t>
        </w:r>
      </w:ins>
      <w:ins w:id="12" w:author="Harkins, Dan" w:date="2024-06-14T09:58:00Z">
        <w:r>
          <w:rPr>
            <w:sz w:val="20"/>
            <w:szCs w:val="16"/>
            <w:lang w:val="en-US"/>
          </w:rPr>
          <w:t xml:space="preserve">231 is </w:t>
        </w:r>
      </w:ins>
      <w:ins w:id="13" w:author="Harkins, Dan" w:date="2024-06-14T09:56:00Z">
        <w:r>
          <w:rPr>
            <w:sz w:val="20"/>
            <w:szCs w:val="16"/>
            <w:lang w:val="en-US"/>
          </w:rPr>
          <w:t>248</w:t>
        </w:r>
      </w:ins>
      <w:ins w:id="14" w:author="Harkins, Dan" w:date="2024-06-14T09:58:00Z">
        <w:r>
          <w:rPr>
            <w:sz w:val="20"/>
            <w:szCs w:val="16"/>
            <w:lang w:val="en-US"/>
          </w:rPr>
          <w:t>,</w:t>
        </w:r>
      </w:ins>
      <w:ins w:id="15" w:author="Harkins, Dan" w:date="2024-06-14T09:56:00Z">
        <w:r>
          <w:rPr>
            <w:sz w:val="20"/>
            <w:szCs w:val="16"/>
            <w:lang w:val="en-US"/>
          </w:rPr>
          <w:t xml:space="preserve"> the largest Device ID po</w:t>
        </w:r>
      </w:ins>
      <w:ins w:id="16" w:author="Harkins, Dan" w:date="2024-06-14T09:57:00Z">
        <w:r>
          <w:rPr>
            <w:sz w:val="20"/>
            <w:szCs w:val="16"/>
            <w:lang w:val="en-US"/>
          </w:rPr>
          <w:t xml:space="preserve">ssible, </w:t>
        </w:r>
      </w:ins>
      <w:ins w:id="17" w:author="Harkins, Dan" w:date="2024-06-14T09:58:00Z">
        <w:r>
          <w:rPr>
            <w:sz w:val="20"/>
            <w:szCs w:val="16"/>
            <w:lang w:val="en-US"/>
          </w:rPr>
          <w:t xml:space="preserve">minus </w:t>
        </w:r>
      </w:ins>
      <w:ins w:id="18" w:author="Harkins, Dan" w:date="2024-06-14T09:57:00Z">
        <w:r>
          <w:rPr>
            <w:sz w:val="20"/>
            <w:szCs w:val="16"/>
            <w:lang w:val="en-US"/>
          </w:rPr>
          <w:t>1</w:t>
        </w:r>
      </w:ins>
      <w:ins w:id="19" w:author="Harkins, Dan" w:date="2024-06-14T09:59:00Z">
        <w:r>
          <w:rPr>
            <w:sz w:val="20"/>
            <w:szCs w:val="16"/>
            <w:lang w:val="en-US"/>
          </w:rPr>
          <w:t xml:space="preserve"> </w:t>
        </w:r>
      </w:ins>
      <w:ins w:id="20" w:author="Harkins, Dan" w:date="2024-06-14T09:57:00Z">
        <w:r>
          <w:rPr>
            <w:sz w:val="20"/>
            <w:szCs w:val="16"/>
            <w:lang w:val="en-US"/>
          </w:rPr>
          <w:t xml:space="preserve">for the pad length, and </w:t>
        </w:r>
      </w:ins>
      <w:ins w:id="21" w:author="Harkins, Dan" w:date="2024-06-14T09:58:00Z">
        <w:r>
          <w:rPr>
            <w:sz w:val="20"/>
            <w:szCs w:val="16"/>
            <w:lang w:val="en-US"/>
          </w:rPr>
          <w:t xml:space="preserve">minus </w:t>
        </w:r>
      </w:ins>
      <w:ins w:id="22" w:author="Harkins, Dan" w:date="2024-06-14T09:57:00Z">
        <w:r>
          <w:rPr>
            <w:sz w:val="20"/>
            <w:szCs w:val="16"/>
            <w:lang w:val="en-US"/>
          </w:rPr>
          <w:t>16 for the</w:t>
        </w:r>
      </w:ins>
      <w:ins w:id="23" w:author="Harkins, Dan" w:date="2024-06-14T09:58:00Z">
        <w:r>
          <w:rPr>
            <w:sz w:val="20"/>
            <w:szCs w:val="16"/>
            <w:lang w:val="en-US"/>
          </w:rPr>
          <w:t xml:space="preserve"> encryption overhead).</w:t>
        </w:r>
      </w:ins>
    </w:p>
    <w:p w:rsidR="00B672D2" w:rsidRPr="00B672D2" w:rsidRDefault="00B672D2">
      <w:pPr>
        <w:rPr>
          <w:sz w:val="20"/>
          <w:szCs w:val="16"/>
          <w:lang w:val="en-US"/>
        </w:rPr>
      </w:pPr>
    </w:p>
    <w:p w:rsidR="00B672D2" w:rsidRDefault="00B672D2" w:rsidP="00B672D2">
      <w:pPr>
        <w:rPr>
          <w:sz w:val="20"/>
          <w:szCs w:val="16"/>
          <w:lang w:val="en-US"/>
        </w:rPr>
      </w:pPr>
      <w:r w:rsidRPr="00B672D2">
        <w:rPr>
          <w:sz w:val="20"/>
          <w:szCs w:val="16"/>
          <w:lang w:val="en-US"/>
        </w:rPr>
        <w:t xml:space="preserve">For example, an </w:t>
      </w:r>
      <w:proofErr w:type="gramStart"/>
      <w:r w:rsidRPr="00B672D2">
        <w:rPr>
          <w:sz w:val="20"/>
          <w:szCs w:val="16"/>
          <w:lang w:val="en-US"/>
        </w:rPr>
        <w:t>8 octet</w:t>
      </w:r>
      <w:proofErr w:type="gramEnd"/>
      <w:r w:rsidRPr="00B672D2">
        <w:rPr>
          <w:sz w:val="20"/>
          <w:szCs w:val="16"/>
          <w:lang w:val="en-US"/>
        </w:rPr>
        <w:t xml:space="preserve"> tweak would provide collision resistance of at least 1/2</w:t>
      </w:r>
      <w:r w:rsidRPr="00B672D2">
        <w:rPr>
          <w:sz w:val="20"/>
          <w:szCs w:val="16"/>
          <w:vertAlign w:val="superscript"/>
          <w:lang w:val="en-US"/>
        </w:rPr>
        <w:t>32</w:t>
      </w:r>
      <w:r w:rsidRPr="00B672D2">
        <w:rPr>
          <w:sz w:val="20"/>
          <w:szCs w:val="16"/>
          <w:lang w:val="en-US"/>
        </w:rPr>
        <w:t xml:space="preserve"> (in addition to that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>provided by the padding) and the tweaked-padded-id would be constructed as (assuming the values of the</w:t>
      </w:r>
      <w:r>
        <w:rPr>
          <w:sz w:val="20"/>
          <w:szCs w:val="16"/>
          <w:lang w:val="en-US"/>
        </w:rPr>
        <w:t xml:space="preserve"> </w:t>
      </w:r>
      <w:r w:rsidRPr="00B672D2">
        <w:rPr>
          <w:sz w:val="20"/>
          <w:szCs w:val="16"/>
          <w:lang w:val="en-US"/>
        </w:rPr>
        <w:t>tweak are generated according to Annex J.5):</w:t>
      </w:r>
    </w:p>
    <w:p w:rsidR="00B672D2" w:rsidRPr="00B672D2" w:rsidRDefault="00B672D2" w:rsidP="00B672D2">
      <w:pPr>
        <w:rPr>
          <w:sz w:val="20"/>
          <w:szCs w:val="16"/>
          <w:lang w:val="en-US"/>
        </w:rPr>
      </w:pPr>
    </w:p>
    <w:p w:rsidR="00B672D2" w:rsidRDefault="00B672D2" w:rsidP="00B672D2">
      <w:pPr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ab/>
      </w:r>
      <w:r w:rsidRPr="00B672D2">
        <w:rPr>
          <w:sz w:val="20"/>
          <w:szCs w:val="16"/>
          <w:lang w:val="en-US"/>
        </w:rPr>
        <w:t>tweaked-padded-id = 0x7e 0x17 0x54 0x82 0xf1 0xd0 0xaa 0x52 0x04 0xc8 0x34 0x9a 0x70 &lt;id&gt;</w:t>
      </w:r>
    </w:p>
    <w:p w:rsidR="00B672D2" w:rsidRPr="00B672D2" w:rsidRDefault="00B672D2" w:rsidP="00B672D2">
      <w:pPr>
        <w:rPr>
          <w:sz w:val="20"/>
          <w:szCs w:val="16"/>
          <w:lang w:val="en-US"/>
        </w:rPr>
      </w:pPr>
    </w:p>
    <w:p w:rsidR="00B672D2" w:rsidRPr="00B672D2" w:rsidRDefault="00B672D2" w:rsidP="00B672D2">
      <w:pPr>
        <w:rPr>
          <w:sz w:val="20"/>
          <w:szCs w:val="16"/>
          <w:lang w:val="en-US"/>
        </w:rPr>
      </w:pPr>
      <w:r w:rsidRPr="00B672D2">
        <w:rPr>
          <w:sz w:val="20"/>
          <w:szCs w:val="16"/>
          <w:lang w:val="en-US"/>
        </w:rPr>
        <w:t>The tweaked-padded-id is then passed to AES-SIV in deterministic mode as plaintext using k as a key to</w:t>
      </w:r>
    </w:p>
    <w:p w:rsidR="00B672D2" w:rsidRPr="00B672D2" w:rsidRDefault="00B672D2" w:rsidP="00B672D2">
      <w:pPr>
        <w:rPr>
          <w:sz w:val="20"/>
          <w:szCs w:val="16"/>
        </w:rPr>
      </w:pPr>
      <w:r w:rsidRPr="00B672D2">
        <w:rPr>
          <w:sz w:val="20"/>
          <w:szCs w:val="16"/>
          <w:lang w:val="en-US"/>
        </w:rPr>
        <w:t>produce the opaque device identifier.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bookmarkStart w:id="24" w:name="_GoBack"/>
      <w:bookmarkEnd w:id="24"/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B84" w:rsidRDefault="00561B84">
      <w:r>
        <w:separator/>
      </w:r>
    </w:p>
  </w:endnote>
  <w:endnote w:type="continuationSeparator" w:id="0">
    <w:p w:rsidR="00561B84" w:rsidRDefault="0056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672D2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B672D2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B84" w:rsidRDefault="00561B84">
      <w:r>
        <w:separator/>
      </w:r>
    </w:p>
  </w:footnote>
  <w:footnote w:type="continuationSeparator" w:id="0">
    <w:p w:rsidR="00561B84" w:rsidRDefault="0056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B672D2">
    <w:pPr>
      <w:pStyle w:val="Header"/>
      <w:tabs>
        <w:tab w:val="clear" w:pos="6480"/>
        <w:tab w:val="center" w:pos="4680"/>
        <w:tab w:val="right" w:pos="9360"/>
      </w:tabs>
    </w:pPr>
    <w:r>
      <w:t>June 2024</w:t>
    </w:r>
    <w:r w:rsidR="0029020B">
      <w:tab/>
    </w:r>
    <w:r w:rsidR="0029020B">
      <w:tab/>
    </w:r>
    <w:fldSimple w:instr=" TITLE  \* MERGEFORMAT ">
      <w:r>
        <w:t>doc.: IEEE 802.11-24/1026r0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rkins, Dan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D2"/>
    <w:rsid w:val="001D723B"/>
    <w:rsid w:val="0029020B"/>
    <w:rsid w:val="002D44BE"/>
    <w:rsid w:val="00442037"/>
    <w:rsid w:val="004B064B"/>
    <w:rsid w:val="00561B84"/>
    <w:rsid w:val="00575FD1"/>
    <w:rsid w:val="0062440B"/>
    <w:rsid w:val="006C0727"/>
    <w:rsid w:val="006E145F"/>
    <w:rsid w:val="00770572"/>
    <w:rsid w:val="009F2FBC"/>
    <w:rsid w:val="00AA427C"/>
    <w:rsid w:val="00B672D2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9E8C0"/>
  <w15:chartTrackingRefBased/>
  <w15:docId w15:val="{C79D98E3-061A-8B4E-8486-FAE0E9ED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4</Pages>
  <Words>589</Words>
  <Characters>2853</Characters>
  <Application>Microsoft Office Word</Application>
  <DocSecurity>0</DocSecurity>
  <Lines>129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HPE</Company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802.11-24/1026r0</dc:title>
  <dc:subject>Submission</dc:subject>
  <dc:creator>Dan Harkins</dc:creator>
  <cp:keywords>June 2024</cp:keywords>
  <dc:description>Dan Harkins, HPE</dc:description>
  <cp:lastModifiedBy>Harkins, Dan</cp:lastModifiedBy>
  <cp:revision>1</cp:revision>
  <cp:lastPrinted>1601-01-01T00:00:00Z</cp:lastPrinted>
  <dcterms:created xsi:type="dcterms:W3CDTF">2024-06-14T16:43:00Z</dcterms:created>
  <dcterms:modified xsi:type="dcterms:W3CDTF">2024-06-14T17:23:00Z</dcterms:modified>
  <cp:category/>
</cp:coreProperties>
</file>