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CF90B94" w:rsidR="00A353D7" w:rsidRPr="00CC2C3C" w:rsidRDefault="00671D98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CR for </w:t>
            </w:r>
            <w:r w:rsidR="00FA45CC">
              <w:rPr>
                <w:b w:val="0"/>
              </w:rPr>
              <w:t>CID 2</w:t>
            </w:r>
            <w:r w:rsidR="001E78AF">
              <w:rPr>
                <w:b w:val="0"/>
              </w:rPr>
              <w:t>3000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D17534A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BB7F55">
              <w:rPr>
                <w:b w:val="0"/>
                <w:sz w:val="20"/>
              </w:rPr>
              <w:t>June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B7F55">
              <w:rPr>
                <w:b w:val="0"/>
                <w:sz w:val="20"/>
              </w:rPr>
              <w:t>14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41978EF2" w:rsidR="005C150E" w:rsidRDefault="009B2C7B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30090B71" w:rsidR="00CC6EC1" w:rsidRDefault="009B2C7B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5671266E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 xml:space="preserve">CID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</w:t>
      </w:r>
      <w:r w:rsidR="00BB7F55">
        <w:rPr>
          <w:rFonts w:cs="Times New Roman"/>
          <w:sz w:val="18"/>
          <w:szCs w:val="18"/>
          <w:lang w:eastAsia="ko-KR"/>
        </w:rPr>
        <w:t>1</w:t>
      </w:r>
      <w:r w:rsidR="00BB7F55" w:rsidRPr="00BB7F55">
        <w:rPr>
          <w:rFonts w:cs="Times New Roman"/>
          <w:sz w:val="18"/>
          <w:szCs w:val="18"/>
          <w:vertAlign w:val="superscript"/>
          <w:lang w:eastAsia="ko-KR"/>
        </w:rPr>
        <w:t>st</w:t>
      </w:r>
      <w:r w:rsidR="00BB7F55">
        <w:rPr>
          <w:rFonts w:cs="Times New Roman"/>
          <w:sz w:val="18"/>
          <w:szCs w:val="18"/>
          <w:lang w:eastAsia="ko-KR"/>
        </w:rPr>
        <w:t xml:space="preserve"> recirculation</w:t>
      </w:r>
      <w:r w:rsidR="00614306">
        <w:rPr>
          <w:rFonts w:cs="Times New Roman"/>
          <w:sz w:val="18"/>
          <w:szCs w:val="18"/>
          <w:lang w:eastAsia="ko-KR"/>
        </w:rPr>
        <w:t xml:space="preserve"> </w:t>
      </w:r>
      <w:r w:rsidR="002624DD">
        <w:rPr>
          <w:rFonts w:cs="Times New Roman" w:hint="eastAsia"/>
          <w:sz w:val="18"/>
          <w:szCs w:val="18"/>
          <w:lang w:eastAsia="zh-CN"/>
        </w:rPr>
        <w:t>SA</w:t>
      </w:r>
      <w:r w:rsidR="002624DD">
        <w:rPr>
          <w:rFonts w:cs="Times New Roman"/>
          <w:sz w:val="18"/>
          <w:szCs w:val="18"/>
          <w:lang w:eastAsia="ko-KR"/>
        </w:rPr>
        <w:t xml:space="preserve"> </w:t>
      </w:r>
      <w:r w:rsidR="00614306">
        <w:rPr>
          <w:rFonts w:cs="Times New Roman"/>
          <w:sz w:val="18"/>
          <w:szCs w:val="18"/>
          <w:lang w:eastAsia="ko-KR"/>
        </w:rPr>
        <w:t>ballot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1396D592" w14:textId="50CE77C1" w:rsidR="00E83BB8" w:rsidRPr="00FA45CC" w:rsidRDefault="00FA45CC" w:rsidP="00601D53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2</w:t>
      </w:r>
      <w:r w:rsidR="00BB7F55">
        <w:rPr>
          <w:rFonts w:ascii="Times New Roman" w:hAnsi="Times New Roman" w:cs="Times New Roman"/>
          <w:sz w:val="18"/>
          <w:szCs w:val="20"/>
          <w:lang w:val="en-GB" w:eastAsia="zh-CN"/>
        </w:rPr>
        <w:t>3000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985"/>
        <w:gridCol w:w="2077"/>
      </w:tblGrid>
      <w:tr w:rsidR="005C150E" w:rsidRPr="00E64581" w14:paraId="67A89138" w14:textId="77777777" w:rsidTr="00614306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4F343535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2DDBC5FE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077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A45CC" w:rsidRPr="00E64581" w14:paraId="75D99299" w14:textId="77777777" w:rsidTr="00614306">
        <w:trPr>
          <w:trHeight w:val="1878"/>
        </w:trPr>
        <w:tc>
          <w:tcPr>
            <w:tcW w:w="662" w:type="dxa"/>
            <w:shd w:val="clear" w:color="auto" w:fill="auto"/>
          </w:tcPr>
          <w:p w14:paraId="7BB9F29B" w14:textId="4F34EC20" w:rsidR="00FA45CC" w:rsidRPr="00E64581" w:rsidRDefault="00FA45CC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9545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039" w:type="dxa"/>
            <w:shd w:val="clear" w:color="auto" w:fill="auto"/>
          </w:tcPr>
          <w:p w14:paraId="279D2872" w14:textId="45A1E581" w:rsidR="00FA45CC" w:rsidRPr="00E64581" w:rsidRDefault="0089545A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45A">
              <w:rPr>
                <w:rFonts w:ascii="Arial" w:hAnsi="Arial" w:cs="Arial"/>
                <w:sz w:val="20"/>
                <w:szCs w:val="20"/>
              </w:rPr>
              <w:t>Binita Gupta</w:t>
            </w:r>
          </w:p>
        </w:tc>
        <w:tc>
          <w:tcPr>
            <w:tcW w:w="709" w:type="dxa"/>
            <w:shd w:val="clear" w:color="auto" w:fill="auto"/>
          </w:tcPr>
          <w:p w14:paraId="53257082" w14:textId="6536BF04" w:rsidR="00FA45CC" w:rsidRPr="00E64581" w:rsidRDefault="0089545A" w:rsidP="00FA45CC">
            <w:pPr>
              <w:rPr>
                <w:rFonts w:ascii="Arial" w:hAnsi="Arial" w:cs="Arial"/>
                <w:sz w:val="20"/>
                <w:szCs w:val="20"/>
              </w:rPr>
            </w:pPr>
            <w:r w:rsidRPr="0089545A"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5E5A15EC" w14:textId="0E2B9191" w:rsidR="00FA45CC" w:rsidRPr="00E64581" w:rsidRDefault="0089545A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45A">
              <w:rPr>
                <w:rFonts w:ascii="Arial" w:hAnsi="Arial" w:cs="Arial"/>
                <w:sz w:val="20"/>
                <w:szCs w:val="20"/>
              </w:rPr>
              <w:t>538.62</w:t>
            </w:r>
          </w:p>
        </w:tc>
        <w:tc>
          <w:tcPr>
            <w:tcW w:w="1984" w:type="dxa"/>
            <w:shd w:val="clear" w:color="auto" w:fill="auto"/>
          </w:tcPr>
          <w:p w14:paraId="4107F1C0" w14:textId="145C9AF6" w:rsidR="00FA45CC" w:rsidRPr="00E64581" w:rsidRDefault="0089545A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45A">
              <w:rPr>
                <w:rFonts w:ascii="Arial" w:hAnsi="Arial" w:cs="Arial"/>
                <w:sz w:val="20"/>
                <w:szCs w:val="20"/>
              </w:rPr>
              <w:t>This para repeats the rule in the previous para, and seems to be redundant. Combine sentences at L59 and L62 into a single paragraph. Also suggest to add reference to clause 35.3.7.2.3 (Negotiation of TTLM).</w:t>
            </w:r>
          </w:p>
        </w:tc>
        <w:tc>
          <w:tcPr>
            <w:tcW w:w="1985" w:type="dxa"/>
            <w:shd w:val="clear" w:color="auto" w:fill="auto"/>
          </w:tcPr>
          <w:p w14:paraId="68D2259E" w14:textId="0B78B72B" w:rsidR="00FA45CC" w:rsidRPr="00E64581" w:rsidRDefault="0089545A" w:rsidP="00FA45CC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89545A">
              <w:rPr>
                <w:rFonts w:ascii="Arial" w:hAnsi="Arial" w:cs="Arial"/>
                <w:sz w:val="20"/>
                <w:szCs w:val="20"/>
              </w:rPr>
              <w:t>As in the comment.</w:t>
            </w:r>
          </w:p>
        </w:tc>
        <w:tc>
          <w:tcPr>
            <w:tcW w:w="2077" w:type="dxa"/>
            <w:shd w:val="clear" w:color="auto" w:fill="auto"/>
          </w:tcPr>
          <w:p w14:paraId="206F7EE6" w14:textId="77777777" w:rsidR="00FA45CC" w:rsidRDefault="00064501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</w:t>
            </w:r>
          </w:p>
          <w:p w14:paraId="469560E5" w14:textId="77777777" w:rsidR="00064501" w:rsidRDefault="00064501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AEB4D15" w14:textId="736EE51D" w:rsidR="00064501" w:rsidRDefault="00064501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</w:t>
            </w:r>
            <w:r w:rsidR="00BC4423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in principle with the comment</w:t>
            </w:r>
            <w:r w:rsidR="007C228D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14:paraId="02E725B7" w14:textId="77777777" w:rsidR="007C228D" w:rsidRDefault="007C228D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0FA1A8E" w14:textId="26CC98D1" w:rsidR="007C228D" w:rsidRPr="00E64581" w:rsidRDefault="007C228D" w:rsidP="00FA45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 please implement the changes in this document tagged as #</w:t>
            </w:r>
            <w:r w:rsidR="0089545A">
              <w:rPr>
                <w:rFonts w:ascii="Arial" w:hAnsi="Arial" w:cs="Arial"/>
                <w:sz w:val="20"/>
                <w:szCs w:val="20"/>
              </w:rPr>
              <w:t>23000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0733DC58" w14:textId="481D3DFE" w:rsidR="00563D70" w:rsidRDefault="00563D7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bCs/>
          <w:i/>
          <w:iCs/>
          <w:color w:val="000000"/>
          <w:sz w:val="20"/>
          <w:highlight w:val="yellow"/>
          <w:lang w:eastAsia="zh-CN"/>
        </w:rPr>
      </w:pPr>
      <w:bookmarkStart w:id="1" w:name="_Hlk144911666"/>
      <w:proofErr w:type="spellStart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lastRenderedPageBreak/>
        <w:t>TGbe</w:t>
      </w:r>
      <w:proofErr w:type="spellEnd"/>
      <w:r w:rsidRPr="00554DD8">
        <w:rPr>
          <w:bCs/>
          <w:i/>
          <w:iCs/>
          <w:color w:val="000000"/>
          <w:sz w:val="20"/>
          <w:highlight w:val="yellow"/>
          <w:lang w:eastAsia="zh-CN"/>
        </w:rPr>
        <w:t xml:space="preserve"> editor: Please update the following paragraphs in this subclause as shown below:</w:t>
      </w:r>
    </w:p>
    <w:p w14:paraId="24E003C1" w14:textId="2EB07168" w:rsidR="001242B1" w:rsidRPr="001242B1" w:rsidRDefault="001242B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hint="eastAsia"/>
          <w:bCs/>
          <w:i/>
          <w:iCs/>
          <w:color w:val="000000"/>
          <w:sz w:val="20"/>
          <w:highlight w:val="yellow"/>
          <w:lang w:eastAsia="zh-CN"/>
        </w:rPr>
      </w:pPr>
      <w:r w:rsidRPr="001242B1">
        <w:rPr>
          <w:bCs/>
          <w:i/>
          <w:iCs/>
          <w:color w:val="000000"/>
          <w:sz w:val="20"/>
          <w:highlight w:val="yellow"/>
          <w:lang w:eastAsia="zh-CN"/>
        </w:rPr>
        <w:t xml:space="preserve">Note to the editor: </w:t>
      </w:r>
      <w:proofErr w:type="gramStart"/>
      <w:r w:rsidRPr="001242B1">
        <w:rPr>
          <w:bCs/>
          <w:i/>
          <w:iCs/>
          <w:color w:val="000000"/>
          <w:sz w:val="20"/>
          <w:highlight w:val="yellow"/>
          <w:lang w:eastAsia="zh-CN"/>
        </w:rPr>
        <w:t>the</w:t>
      </w:r>
      <w:proofErr w:type="gramEnd"/>
      <w:r w:rsidRPr="001242B1">
        <w:rPr>
          <w:bCs/>
          <w:i/>
          <w:iCs/>
          <w:color w:val="000000"/>
          <w:sz w:val="20"/>
          <w:highlight w:val="yellow"/>
          <w:lang w:eastAsia="zh-CN"/>
        </w:rPr>
        <w:t xml:space="preserve"> Page/line number should be 559.12 after checking with the commenter.</w:t>
      </w:r>
    </w:p>
    <w:p w14:paraId="5B0CB7C9" w14:textId="2069A96E" w:rsidR="00C92A8D" w:rsidRDefault="00F06C65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B633C">
        <w:rPr>
          <w:rFonts w:ascii="Arial-BoldMT" w:hAnsi="Arial-BoldMT"/>
          <w:b/>
          <w:bCs/>
          <w:color w:val="000000"/>
          <w:sz w:val="20"/>
          <w:szCs w:val="20"/>
        </w:rPr>
        <w:t>35.3.7.2.4 Advertised TTLM in Beacon and Probe Response frames</w:t>
      </w:r>
    </w:p>
    <w:bookmarkEnd w:id="1"/>
    <w:p w14:paraId="36868F52" w14:textId="77777777" w:rsidR="00A81B4F" w:rsidRDefault="00A81B4F" w:rsidP="00A81B4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……</w:t>
      </w:r>
    </w:p>
    <w:p w14:paraId="036D0705" w14:textId="1EF316C1" w:rsidR="00F06C65" w:rsidRDefault="00BC442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/>
          <w:color w:val="000000"/>
          <w:sz w:val="20"/>
          <w:szCs w:val="20"/>
        </w:rPr>
      </w:pPr>
      <w:ins w:id="2" w:author="Guoyuchen (Jason Yuchen Guo)" w:date="2024-06-17T10:30:00Z">
        <w:r>
          <w:rPr>
            <w:rFonts w:ascii="TimesNewRoman" w:hAnsi="TimesNewRoman"/>
            <w:color w:val="000000"/>
            <w:sz w:val="20"/>
            <w:szCs w:val="20"/>
          </w:rPr>
          <w:t>(#</w:t>
        </w:r>
        <w:proofErr w:type="gramStart"/>
        <w:r>
          <w:rPr>
            <w:rFonts w:ascii="TimesNewRoman" w:hAnsi="TimesNewRoman"/>
            <w:color w:val="000000"/>
            <w:sz w:val="20"/>
            <w:szCs w:val="20"/>
          </w:rPr>
          <w:t>23000)</w:t>
        </w:r>
      </w:ins>
      <w:r w:rsidR="00F06C65" w:rsidRPr="00F06C65">
        <w:rPr>
          <w:rFonts w:ascii="TimesNewRoman" w:hAnsi="TimesNewRoman"/>
          <w:color w:val="000000"/>
          <w:sz w:val="20"/>
          <w:szCs w:val="20"/>
        </w:rPr>
        <w:t>A</w:t>
      </w:r>
      <w:proofErr w:type="gramEnd"/>
      <w:r w:rsidR="00F06C65" w:rsidRPr="00F06C65">
        <w:rPr>
          <w:rFonts w:ascii="TimesNewRoman" w:hAnsi="TimesNewRoman"/>
          <w:color w:val="000000"/>
          <w:sz w:val="20"/>
          <w:szCs w:val="20"/>
        </w:rPr>
        <w:t xml:space="preserve"> non-AP MLD shall not transmit a response frame to acknowledge the</w:t>
      </w:r>
      <w:bookmarkStart w:id="3" w:name="_GoBack"/>
      <w:bookmarkEnd w:id="3"/>
      <w:r w:rsidR="00F06C65" w:rsidRPr="00F06C65">
        <w:rPr>
          <w:rFonts w:ascii="TimesNewRoman" w:hAnsi="TimesNewRoman"/>
          <w:color w:val="000000"/>
          <w:sz w:val="20"/>
          <w:szCs w:val="20"/>
        </w:rPr>
        <w:t xml:space="preserve"> reception of an advertised TTLM.</w:t>
      </w:r>
      <w:r w:rsidR="00F06C65">
        <w:rPr>
          <w:rFonts w:ascii="TimesNewRoman" w:hAnsi="TimesNewRoman"/>
          <w:color w:val="000000"/>
          <w:sz w:val="20"/>
          <w:szCs w:val="20"/>
        </w:rPr>
        <w:t xml:space="preserve"> </w:t>
      </w:r>
      <w:r w:rsidR="00F06C65" w:rsidRPr="00F06C65">
        <w:rPr>
          <w:rFonts w:ascii="TimesNewRoman" w:hAnsi="TimesNewRoman"/>
          <w:color w:val="000000"/>
          <w:sz w:val="20"/>
          <w:szCs w:val="20"/>
        </w:rPr>
        <w:t>However, a non-AP MLD may initiate a negotiation of a TTLM</w:t>
      </w:r>
      <w:ins w:id="4" w:author="Guoyuchen (Jason Yuchen Guo)" w:date="2024-06-17T10:24:00Z">
        <w:r>
          <w:rPr>
            <w:rFonts w:ascii="TimesNewRoman" w:hAnsi="TimesNewRoman"/>
            <w:color w:val="000000"/>
            <w:sz w:val="20"/>
            <w:szCs w:val="20"/>
          </w:rPr>
          <w:t xml:space="preserve"> that is different from the advertised TTLM</w:t>
        </w:r>
      </w:ins>
      <w:r w:rsidR="00F06C65" w:rsidRPr="00F06C65">
        <w:rPr>
          <w:rFonts w:ascii="TimesNewRoman" w:hAnsi="TimesNewRoman"/>
          <w:color w:val="000000"/>
          <w:sz w:val="20"/>
          <w:szCs w:val="20"/>
        </w:rPr>
        <w:t xml:space="preserve"> that maps all TIDs to a subset of the enabled</w:t>
      </w:r>
      <w:r w:rsidR="00F06C65">
        <w:rPr>
          <w:rFonts w:ascii="TimesNewRoman" w:hAnsi="TimesNewRoman"/>
          <w:color w:val="000000"/>
          <w:sz w:val="20"/>
          <w:szCs w:val="20"/>
        </w:rPr>
        <w:t xml:space="preserve"> </w:t>
      </w:r>
      <w:r w:rsidR="00F06C65" w:rsidRPr="00F06C65">
        <w:rPr>
          <w:rFonts w:ascii="TimesNewRoman" w:hAnsi="TimesNewRoman"/>
          <w:color w:val="000000"/>
          <w:sz w:val="20"/>
          <w:szCs w:val="20"/>
        </w:rPr>
        <w:t>links of the advertised TTLM by transmitting a TID-To-Link Mapping Request frame</w:t>
      </w:r>
      <w:ins w:id="5" w:author="Guoyuchen (Jason Yuchen Guo)" w:date="2024-06-17T10:28:00Z">
        <w:r>
          <w:rPr>
            <w:rFonts w:ascii="TimesNewRoman" w:hAnsi="TimesNewRoman"/>
            <w:color w:val="000000"/>
            <w:sz w:val="20"/>
            <w:szCs w:val="20"/>
          </w:rPr>
          <w:t xml:space="preserve"> as described in 35.3.7.2.3 (</w:t>
        </w:r>
      </w:ins>
      <w:ins w:id="6" w:author="Guoyuchen (Jason Yuchen Guo)" w:date="2024-06-17T10:29:00Z">
        <w:r w:rsidRPr="00BC4423">
          <w:rPr>
            <w:rFonts w:ascii="TimesNewRoman" w:hAnsi="TimesNewRoman"/>
            <w:color w:val="000000"/>
            <w:sz w:val="20"/>
            <w:szCs w:val="20"/>
          </w:rPr>
          <w:t>Negotiation of TTLM</w:t>
        </w:r>
      </w:ins>
      <w:ins w:id="7" w:author="Guoyuchen (Jason Yuchen Guo)" w:date="2024-06-17T10:28:00Z">
        <w:r>
          <w:rPr>
            <w:rFonts w:ascii="TimesNewRoman" w:hAnsi="TimesNewRoman"/>
            <w:color w:val="000000"/>
            <w:sz w:val="20"/>
            <w:szCs w:val="20"/>
          </w:rPr>
          <w:t>)</w:t>
        </w:r>
      </w:ins>
      <w:r w:rsidR="00F06C65" w:rsidRPr="00F06C65">
        <w:rPr>
          <w:rFonts w:ascii="TimesNewRoman" w:hAnsi="TimesNewRoman"/>
          <w:color w:val="000000"/>
          <w:sz w:val="20"/>
          <w:szCs w:val="20"/>
        </w:rPr>
        <w:t>.</w:t>
      </w:r>
      <w:r w:rsidR="00F06C65">
        <w:rPr>
          <w:rFonts w:ascii="TimesNewRoman" w:hAnsi="TimesNewRoman"/>
          <w:color w:val="000000"/>
          <w:sz w:val="20"/>
          <w:szCs w:val="20"/>
        </w:rPr>
        <w:t xml:space="preserve"> </w:t>
      </w:r>
    </w:p>
    <w:p w14:paraId="76277166" w14:textId="39800B7B" w:rsidR="00DB633C" w:rsidRDefault="00BC442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ins w:id="8" w:author="Guoyuchen (Jason Yuchen Guo)" w:date="2024-06-17T10:30:00Z">
        <w:r>
          <w:rPr>
            <w:rFonts w:ascii="TimesNewRoman" w:hAnsi="TimesNewRoman"/>
            <w:color w:val="000000"/>
            <w:sz w:val="20"/>
            <w:szCs w:val="20"/>
          </w:rPr>
          <w:t>(#23000)</w:t>
        </w:r>
      </w:ins>
      <w:del w:id="9" w:author="Guoyuchen (Jason Yuchen Guo)" w:date="2024-06-17T10:30:00Z">
        <w:r w:rsidR="00F06C65" w:rsidRPr="00F06C65" w:rsidDel="00BC4423">
          <w:rPr>
            <w:rFonts w:ascii="TimesNewRoman" w:hAnsi="TimesNewRoman"/>
            <w:color w:val="000000"/>
            <w:sz w:val="20"/>
            <w:szCs w:val="20"/>
          </w:rPr>
          <w:delText>A non-AP MLD that is associated with an AP MLD that advertises a TTLM may initiate a negotiation for a</w:delText>
        </w:r>
        <w:r w:rsidR="00F06C65" w:rsidDel="00BC4423">
          <w:rPr>
            <w:rFonts w:ascii="TimesNewRoman" w:hAnsi="TimesNewRoman"/>
            <w:color w:val="000000"/>
            <w:sz w:val="20"/>
            <w:szCs w:val="20"/>
          </w:rPr>
          <w:delText xml:space="preserve"> </w:delText>
        </w:r>
        <w:r w:rsidR="00F06C65" w:rsidRPr="00F06C65" w:rsidDel="00BC4423">
          <w:rPr>
            <w:rFonts w:ascii="TimesNewRoman" w:hAnsi="TimesNewRoman"/>
            <w:color w:val="000000"/>
            <w:sz w:val="20"/>
            <w:szCs w:val="20"/>
          </w:rPr>
          <w:delText>TTLM that is different from the TTLM established from the advertisement as described in this subclause.</w:delText>
        </w:r>
        <w:r w:rsidR="00F06C65" w:rsidDel="00BC4423">
          <w:rPr>
            <w:rFonts w:ascii="TimesNewRoman" w:hAnsi="TimesNewRoman"/>
            <w:color w:val="000000"/>
            <w:sz w:val="20"/>
            <w:szCs w:val="20"/>
          </w:rPr>
          <w:delText xml:space="preserve"> </w:delText>
        </w:r>
        <w:r w:rsidR="00F06C65" w:rsidRPr="00F06C65" w:rsidDel="00BC4423">
          <w:rPr>
            <w:rFonts w:ascii="TimesNewRoman" w:hAnsi="TimesNewRoman"/>
            <w:color w:val="000000"/>
            <w:sz w:val="20"/>
            <w:szCs w:val="20"/>
          </w:rPr>
          <w:delText>The non-AP MLD or the AP MLD shall not initiate a negotiation for a TTLM that maps a TID to a link if the</w:delText>
        </w:r>
        <w:r w:rsidR="00F06C65" w:rsidDel="00BC4423">
          <w:rPr>
            <w:rFonts w:ascii="TimesNewRoman" w:hAnsi="TimesNewRoman"/>
            <w:color w:val="000000"/>
            <w:sz w:val="20"/>
            <w:szCs w:val="20"/>
          </w:rPr>
          <w:delText xml:space="preserve"> </w:delText>
        </w:r>
        <w:r w:rsidR="00F06C65" w:rsidRPr="00F06C65" w:rsidDel="00BC4423">
          <w:rPr>
            <w:rFonts w:ascii="TimesNewRoman" w:hAnsi="TimesNewRoman"/>
            <w:color w:val="000000"/>
            <w:sz w:val="20"/>
            <w:szCs w:val="20"/>
          </w:rPr>
          <w:delText>requested TID is not already mapped to the link in the advertised TTLM.</w:delText>
        </w:r>
      </w:del>
    </w:p>
    <w:p w14:paraId="65FB5837" w14:textId="09EBCE31" w:rsidR="00C95C9B" w:rsidRDefault="00BC442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……</w:t>
      </w:r>
    </w:p>
    <w:p w14:paraId="2D074E40" w14:textId="77777777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95C9B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1126A" w14:textId="77777777" w:rsidR="00231512" w:rsidRDefault="00231512">
      <w:pPr>
        <w:spacing w:after="0" w:line="240" w:lineRule="auto"/>
      </w:pPr>
      <w:r>
        <w:separator/>
      </w:r>
    </w:p>
  </w:endnote>
  <w:endnote w:type="continuationSeparator" w:id="0">
    <w:p w14:paraId="3C7AE5D7" w14:textId="77777777" w:rsidR="00231512" w:rsidRDefault="00231512">
      <w:pPr>
        <w:spacing w:after="0" w:line="240" w:lineRule="auto"/>
      </w:pPr>
      <w:r>
        <w:continuationSeparator/>
      </w:r>
    </w:p>
  </w:endnote>
  <w:endnote w:type="continuationNotice" w:id="1">
    <w:p w14:paraId="3B1E4CAF" w14:textId="77777777" w:rsidR="00231512" w:rsidRDefault="00231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5780B" w14:textId="77777777" w:rsidR="00231512" w:rsidRDefault="00231512">
      <w:pPr>
        <w:spacing w:after="0" w:line="240" w:lineRule="auto"/>
      </w:pPr>
      <w:r>
        <w:separator/>
      </w:r>
    </w:p>
  </w:footnote>
  <w:footnote w:type="continuationSeparator" w:id="0">
    <w:p w14:paraId="27523E4E" w14:textId="77777777" w:rsidR="00231512" w:rsidRDefault="00231512">
      <w:pPr>
        <w:spacing w:after="0" w:line="240" w:lineRule="auto"/>
      </w:pPr>
      <w:r>
        <w:continuationSeparator/>
      </w:r>
    </w:p>
  </w:footnote>
  <w:footnote w:type="continuationNotice" w:id="1">
    <w:p w14:paraId="6B631E9C" w14:textId="77777777" w:rsidR="00231512" w:rsidRDefault="002315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257E2B27" w:rsidR="00F654D3" w:rsidRPr="00DE6B44" w:rsidRDefault="001E78AF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BE6E7B"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1023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2B1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E78AF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512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1CDD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45A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B7F55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423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6C65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563D70"/>
    <w:pPr>
      <w:ind w:leftChars="2500" w:left="100"/>
    </w:pPr>
  </w:style>
  <w:style w:type="character" w:customStyle="1" w:styleId="aff1">
    <w:name w:val="日期 字符"/>
    <w:basedOn w:val="a0"/>
    <w:link w:val="aff0"/>
    <w:uiPriority w:val="99"/>
    <w:semiHidden/>
    <w:rsid w:val="0056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2D8E852-91BA-4A3A-99F1-ADBE245A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7</cp:revision>
  <dcterms:created xsi:type="dcterms:W3CDTF">2024-06-14T08:43:00Z</dcterms:created>
  <dcterms:modified xsi:type="dcterms:W3CDTF">2024-06-17T02:35:00Z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(3)Y/QEBvqfJkx75JzNDm4oJhqWmya26hK9qpgv3qNgDYqhUb0YZQrd4R2HMiLbsTr7mY/GAoEM
yqu9M03+DBJJoe96ADQxMUqR/R5wlg3GmX8MnMDWQdy3HBXL5sKT62klYqubekJFrrRcwKR0
Ln95kLvYGh+xOfHlmjJdsxRH36Ljp9nwwcNQmRSJgUiHy2aJK2G+flkmDTw0NzRUQlDCGhcA
dON7krahV/yJtBRrTQ</vt:lpwstr>
  </property>
  <property fmtid="{D5CDD505-2E9C-101B-9397-08002B2CF9AE}" pid="6" name="_2015_ms_pID_7253431">
    <vt:lpwstr>8sl5DlqsxzdKhAnTtQjtWTGvPFjgdHkxmiVbOEBx89nW28797kbfDh
fALaHJjEELSb9wkOzxI6iYxX+Qatieu70/jGeFGti6L2Cd1CusGGYMrkOOhGSPMmIsg94Tmp
+XcLJTyz5efLTWu/ozd0FuHf7az6ajtM8XnBddDUnXXjElBr0PAfHNQjkYXE89x+oztKlXIt
VKoeGsc5589yX+EBRj712c9MULuMZH7WrtEF</vt:lpwstr>
  </property>
  <property fmtid="{D5CDD505-2E9C-101B-9397-08002B2CF9AE}" pid="7" name="_2015_ms_pID_7253432">
    <vt:lpwstr>S1KOnrfB0lRhKzpGZ09rcpE=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