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47607CB" w:rsidR="00A353D7" w:rsidRPr="0095147A" w:rsidRDefault="00C638A7" w:rsidP="00C75F57">
            <w:pPr>
              <w:pStyle w:val="T2"/>
              <w:suppressAutoHyphens/>
              <w:spacing w:before="120" w:after="120"/>
              <w:ind w:left="0"/>
              <w:rPr>
                <w:b w:val="0"/>
                <w:color w:val="000000" w:themeColor="text1"/>
              </w:rPr>
            </w:pPr>
            <w:r>
              <w:rPr>
                <w:b w:val="0"/>
                <w:color w:val="000000" w:themeColor="text1"/>
              </w:rPr>
              <w:t>CR for C</w:t>
            </w:r>
            <w:r w:rsidR="00E264C5">
              <w:rPr>
                <w:b w:val="0"/>
                <w:color w:val="000000" w:themeColor="text1"/>
              </w:rPr>
              <w:t>ID 23038</w:t>
            </w:r>
          </w:p>
        </w:tc>
      </w:tr>
      <w:tr w:rsidR="0095147A" w:rsidRPr="0095147A" w14:paraId="5101EAE9" w14:textId="77777777" w:rsidTr="007836FF">
        <w:trPr>
          <w:trHeight w:val="269"/>
          <w:jc w:val="center"/>
        </w:trPr>
        <w:tc>
          <w:tcPr>
            <w:tcW w:w="9576" w:type="dxa"/>
            <w:gridSpan w:val="5"/>
            <w:vAlign w:val="center"/>
          </w:tcPr>
          <w:p w14:paraId="3704DF93" w14:textId="434958FE"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E10859">
              <w:rPr>
                <w:b w:val="0"/>
                <w:color w:val="000000" w:themeColor="text1"/>
                <w:sz w:val="20"/>
              </w:rPr>
              <w:t>June</w:t>
            </w:r>
            <w:r w:rsidR="00C638A7">
              <w:rPr>
                <w:b w:val="0"/>
                <w:color w:val="000000" w:themeColor="text1"/>
                <w:sz w:val="20"/>
              </w:rPr>
              <w:t xml:space="preserve"> </w:t>
            </w:r>
            <w:r w:rsidR="00E10859">
              <w:rPr>
                <w:b w:val="0"/>
                <w:color w:val="000000" w:themeColor="text1"/>
                <w:sz w:val="20"/>
              </w:rPr>
              <w:t>1</w:t>
            </w:r>
            <w:r w:rsidR="004739B2">
              <w:rPr>
                <w:b w:val="0"/>
                <w:color w:val="000000" w:themeColor="text1"/>
                <w:sz w:val="20"/>
              </w:rPr>
              <w:t>9</w:t>
            </w:r>
            <w:r w:rsidR="00B23AAA" w:rsidRPr="0095147A">
              <w:rPr>
                <w:b w:val="0"/>
                <w:color w:val="000000" w:themeColor="text1"/>
                <w:sz w:val="20"/>
              </w:rPr>
              <w:t>, 20</w:t>
            </w:r>
            <w:r w:rsidR="00D11553" w:rsidRPr="0095147A">
              <w:rPr>
                <w:b w:val="0"/>
                <w:color w:val="000000" w:themeColor="text1"/>
                <w:sz w:val="20"/>
              </w:rPr>
              <w:t>2</w:t>
            </w:r>
            <w:r w:rsidR="00C638A7">
              <w:rPr>
                <w:b w:val="0"/>
                <w:color w:val="000000" w:themeColor="text1"/>
                <w:sz w:val="20"/>
              </w:rPr>
              <w:t>4</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8B6C3DD"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w:t>
      </w:r>
    </w:p>
    <w:p w14:paraId="63982A85" w14:textId="1BD68A63" w:rsidR="002D637B" w:rsidRDefault="00E264C5"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23038</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4902D1B" w14:textId="02735771" w:rsidR="003958CA" w:rsidRDefault="003958CA" w:rsidP="006A5222">
      <w:pPr>
        <w:pStyle w:val="ListParagraph"/>
        <w:suppressAutoHyphens/>
        <w:spacing w:after="0" w:line="240" w:lineRule="auto"/>
        <w:rPr>
          <w:rFonts w:ascii="Times New Roman" w:eastAsia="Malgun Gothic" w:hAnsi="Times New Roman" w:cs="Times New Roman"/>
          <w:color w:val="000000" w:themeColor="text1"/>
          <w:sz w:val="18"/>
          <w:szCs w:val="20"/>
          <w:lang w:val="en-GB"/>
        </w:rPr>
      </w:pP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4119D8" w:rsidRPr="0095147A" w14:paraId="5D12CC6C" w14:textId="77777777" w:rsidTr="00C0571F">
        <w:trPr>
          <w:trHeight w:val="220"/>
          <w:jc w:val="center"/>
        </w:trPr>
        <w:tc>
          <w:tcPr>
            <w:tcW w:w="625" w:type="dxa"/>
            <w:shd w:val="clear" w:color="auto" w:fill="auto"/>
            <w:noWrap/>
          </w:tcPr>
          <w:p w14:paraId="406CAC56" w14:textId="3C65CD45"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23038</w:t>
            </w:r>
          </w:p>
        </w:tc>
        <w:tc>
          <w:tcPr>
            <w:tcW w:w="1080" w:type="dxa"/>
            <w:shd w:val="clear" w:color="auto" w:fill="auto"/>
          </w:tcPr>
          <w:p w14:paraId="241C41F6" w14:textId="2880A290"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Joseph Levy</w:t>
            </w:r>
          </w:p>
        </w:tc>
        <w:tc>
          <w:tcPr>
            <w:tcW w:w="1080" w:type="dxa"/>
            <w:shd w:val="clear" w:color="auto" w:fill="auto"/>
            <w:noWrap/>
          </w:tcPr>
          <w:p w14:paraId="6B1B4CF0" w14:textId="69E947A0"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94.2.</w:t>
            </w:r>
            <w:proofErr w:type="gramStart"/>
            <w:r w:rsidRPr="004119D8">
              <w:rPr>
                <w:rFonts w:ascii="Times New Roman" w:hAnsi="Times New Roman" w:cs="Times New Roman"/>
                <w:sz w:val="16"/>
                <w:szCs w:val="16"/>
              </w:rPr>
              <w:t>321..</w:t>
            </w:r>
            <w:proofErr w:type="gramEnd"/>
            <w:r w:rsidRPr="004119D8">
              <w:rPr>
                <w:rFonts w:ascii="Times New Roman" w:hAnsi="Times New Roman" w:cs="Times New Roman"/>
                <w:sz w:val="16"/>
                <w:szCs w:val="16"/>
              </w:rPr>
              <w:t>4</w:t>
            </w:r>
          </w:p>
        </w:tc>
        <w:tc>
          <w:tcPr>
            <w:tcW w:w="720" w:type="dxa"/>
            <w:shd w:val="clear" w:color="auto" w:fill="auto"/>
          </w:tcPr>
          <w:p w14:paraId="11637379" w14:textId="356DB2BF"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258.44</w:t>
            </w:r>
          </w:p>
        </w:tc>
        <w:tc>
          <w:tcPr>
            <w:tcW w:w="2520" w:type="dxa"/>
            <w:shd w:val="clear" w:color="auto" w:fill="auto"/>
            <w:noWrap/>
          </w:tcPr>
          <w:p w14:paraId="2F51AC2B" w14:textId="4C6F1943"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 xml:space="preserve">This is a resubmission of a previous Comment CID 22032.  The rejection reason that the comment fails to identify a technical issue is  not correct.  Two technical issues were identified: 1) behavior should not be described in clause 9  2) the behavior is currently defined in clause 35, therefore the redundant requirement should be removed from clause 9. In </w:t>
            </w:r>
            <w:proofErr w:type="gramStart"/>
            <w:r w:rsidRPr="004119D8">
              <w:rPr>
                <w:rFonts w:ascii="Times New Roman" w:hAnsi="Times New Roman" w:cs="Times New Roman"/>
                <w:sz w:val="16"/>
                <w:szCs w:val="16"/>
              </w:rPr>
              <w:t>addition</w:t>
            </w:r>
            <w:proofErr w:type="gramEnd"/>
            <w:r w:rsidRPr="004119D8">
              <w:rPr>
                <w:rFonts w:ascii="Times New Roman" w:hAnsi="Times New Roman" w:cs="Times New Roman"/>
                <w:sz w:val="16"/>
                <w:szCs w:val="16"/>
              </w:rPr>
              <w:t xml:space="preserve"> the description is unnecessarily complex.</w:t>
            </w:r>
          </w:p>
        </w:tc>
        <w:tc>
          <w:tcPr>
            <w:tcW w:w="1980" w:type="dxa"/>
            <w:shd w:val="clear" w:color="auto" w:fill="auto"/>
            <w:noWrap/>
          </w:tcPr>
          <w:p w14:paraId="6B46C4D6" w14:textId="5D28EAF1"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 xml:space="preserve">Replace: "The Beacon Interval Present subfield indicates the presence of the Beacon Interval subfield in the STA Info field and is set to 1 if the Beacon Interval subfield is present in the STA Info field; and otherwise, it is set to 0. A non-AP STA sets the Beacon Interval Present subfield to 0 in the transmitted Basic Multi-Link element. An AP affiliated with an AP MLD that is not an NSTR mobile AP MLD sets this subfield to 1 when the element carries a complete profile. The AP affiliated with an NSTR mobile AP MLD operating on the primary link sets this subfield to 0 in the Per-STA Profile </w:t>
            </w:r>
            <w:proofErr w:type="spellStart"/>
            <w:r w:rsidRPr="004119D8">
              <w:rPr>
                <w:rFonts w:ascii="Times New Roman" w:hAnsi="Times New Roman" w:cs="Times New Roman"/>
                <w:sz w:val="16"/>
                <w:szCs w:val="16"/>
              </w:rPr>
              <w:t>subelement</w:t>
            </w:r>
            <w:proofErr w:type="spellEnd"/>
            <w:r w:rsidRPr="004119D8">
              <w:rPr>
                <w:rFonts w:ascii="Times New Roman" w:hAnsi="Times New Roman" w:cs="Times New Roman"/>
                <w:sz w:val="16"/>
                <w:szCs w:val="16"/>
              </w:rPr>
              <w:t xml:space="preserve"> corresponding to the AP affiliated with the same NSTR mobile AP MLD that is operating on the nonprimary link."  With: "The Beacon Interval Present subfield indicates the presence of the Beacon Interval subfield in the STA Info field."</w:t>
            </w:r>
          </w:p>
        </w:tc>
        <w:tc>
          <w:tcPr>
            <w:tcW w:w="2970" w:type="dxa"/>
            <w:shd w:val="clear" w:color="auto" w:fill="auto"/>
          </w:tcPr>
          <w:p w14:paraId="4B7FA419" w14:textId="77777777" w:rsidR="004119D8" w:rsidRDefault="00A1037E" w:rsidP="004119D8">
            <w:pPr>
              <w:suppressAutoHyphens/>
              <w:spacing w:after="0"/>
              <w:rPr>
                <w:rFonts w:ascii="Times New Roman" w:eastAsia="Times New Roman" w:hAnsi="Times New Roman" w:cs="Times New Roman"/>
                <w:b/>
                <w:bCs/>
                <w:color w:val="000000" w:themeColor="text1"/>
                <w:sz w:val="16"/>
                <w:szCs w:val="16"/>
              </w:rPr>
            </w:pPr>
            <w:r w:rsidRPr="00A1037E">
              <w:rPr>
                <w:rFonts w:ascii="Times New Roman" w:eastAsia="Times New Roman" w:hAnsi="Times New Roman" w:cs="Times New Roman"/>
                <w:b/>
                <w:bCs/>
                <w:color w:val="000000" w:themeColor="text1"/>
                <w:sz w:val="16"/>
                <w:szCs w:val="16"/>
              </w:rPr>
              <w:t>Rejected</w:t>
            </w:r>
          </w:p>
          <w:p w14:paraId="4812D463" w14:textId="77777777" w:rsidR="00A1037E" w:rsidRDefault="00A1037E" w:rsidP="004119D8">
            <w:pPr>
              <w:suppressAutoHyphens/>
              <w:spacing w:after="0"/>
              <w:rPr>
                <w:rFonts w:ascii="Times New Roman" w:eastAsia="Times New Roman" w:hAnsi="Times New Roman" w:cs="Times New Roman"/>
                <w:b/>
                <w:bCs/>
                <w:color w:val="000000" w:themeColor="text1"/>
                <w:sz w:val="16"/>
                <w:szCs w:val="16"/>
              </w:rPr>
            </w:pPr>
          </w:p>
          <w:p w14:paraId="3134E51F" w14:textId="3B35EAE7" w:rsidR="0032375D" w:rsidRDefault="00A1037E" w:rsidP="004119D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commenter fails to identify why the </w:t>
            </w:r>
            <w:r w:rsidR="008C5785">
              <w:rPr>
                <w:rFonts w:ascii="Times New Roman" w:eastAsia="Times New Roman" w:hAnsi="Times New Roman" w:cs="Times New Roman"/>
                <w:color w:val="000000" w:themeColor="text1"/>
                <w:sz w:val="16"/>
                <w:szCs w:val="16"/>
              </w:rPr>
              <w:t xml:space="preserve">text should not be described in Clause 9. </w:t>
            </w:r>
            <w:r w:rsidR="00E1262B">
              <w:rPr>
                <w:rFonts w:ascii="Times New Roman" w:eastAsia="Times New Roman" w:hAnsi="Times New Roman" w:cs="Times New Roman"/>
                <w:color w:val="000000" w:themeColor="text1"/>
                <w:sz w:val="16"/>
                <w:szCs w:val="16"/>
              </w:rPr>
              <w:t>Several other fields have been described in a similar manner</w:t>
            </w:r>
            <w:r w:rsidR="00510375">
              <w:rPr>
                <w:rFonts w:ascii="Times New Roman" w:eastAsia="Times New Roman" w:hAnsi="Times New Roman" w:cs="Times New Roman"/>
                <w:color w:val="000000" w:themeColor="text1"/>
                <w:sz w:val="16"/>
                <w:szCs w:val="16"/>
              </w:rPr>
              <w:t xml:space="preserve">. </w:t>
            </w:r>
          </w:p>
          <w:p w14:paraId="12BC542F" w14:textId="77777777" w:rsidR="0032375D" w:rsidRDefault="0032375D" w:rsidP="004119D8">
            <w:pPr>
              <w:suppressAutoHyphens/>
              <w:spacing w:after="0"/>
              <w:rPr>
                <w:rFonts w:ascii="Times New Roman" w:eastAsia="Times New Roman" w:hAnsi="Times New Roman" w:cs="Times New Roman"/>
                <w:color w:val="000000" w:themeColor="text1"/>
                <w:sz w:val="16"/>
                <w:szCs w:val="16"/>
              </w:rPr>
            </w:pPr>
          </w:p>
          <w:p w14:paraId="5377826E" w14:textId="1BF0145A" w:rsidR="00A1037E" w:rsidRDefault="00510375" w:rsidP="004119D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Moreover, the text specifies </w:t>
            </w:r>
            <w:r w:rsidR="005720CA">
              <w:rPr>
                <w:rFonts w:ascii="Times New Roman" w:eastAsia="Times New Roman" w:hAnsi="Times New Roman" w:cs="Times New Roman"/>
                <w:color w:val="000000" w:themeColor="text1"/>
                <w:sz w:val="16"/>
                <w:szCs w:val="16"/>
              </w:rPr>
              <w:t xml:space="preserve">how different STAs set the Presence Indicators, specifically for cases </w:t>
            </w:r>
            <w:r w:rsidR="00335181">
              <w:rPr>
                <w:rFonts w:ascii="Times New Roman" w:eastAsia="Times New Roman" w:hAnsi="Times New Roman" w:cs="Times New Roman"/>
                <w:color w:val="000000" w:themeColor="text1"/>
                <w:sz w:val="16"/>
                <w:szCs w:val="16"/>
              </w:rPr>
              <w:t xml:space="preserve">where </w:t>
            </w:r>
            <w:r w:rsidR="0032375D">
              <w:rPr>
                <w:rFonts w:ascii="Times New Roman" w:eastAsia="Times New Roman" w:hAnsi="Times New Roman" w:cs="Times New Roman"/>
                <w:color w:val="000000" w:themeColor="text1"/>
                <w:sz w:val="16"/>
                <w:szCs w:val="16"/>
              </w:rPr>
              <w:t>(</w:t>
            </w:r>
            <w:proofErr w:type="spellStart"/>
            <w:r w:rsidR="0032375D">
              <w:rPr>
                <w:rFonts w:ascii="Times New Roman" w:eastAsia="Times New Roman" w:hAnsi="Times New Roman" w:cs="Times New Roman"/>
                <w:color w:val="000000" w:themeColor="text1"/>
                <w:sz w:val="16"/>
                <w:szCs w:val="16"/>
              </w:rPr>
              <w:t>i</w:t>
            </w:r>
            <w:proofErr w:type="spellEnd"/>
            <w:r w:rsidR="0032375D">
              <w:rPr>
                <w:rFonts w:ascii="Times New Roman" w:eastAsia="Times New Roman" w:hAnsi="Times New Roman" w:cs="Times New Roman"/>
                <w:color w:val="000000" w:themeColor="text1"/>
                <w:sz w:val="16"/>
                <w:szCs w:val="16"/>
              </w:rPr>
              <w:t>)</w:t>
            </w:r>
            <w:r w:rsidR="005720CA">
              <w:rPr>
                <w:rFonts w:ascii="Times New Roman" w:eastAsia="Times New Roman" w:hAnsi="Times New Roman" w:cs="Times New Roman"/>
                <w:color w:val="000000" w:themeColor="text1"/>
                <w:sz w:val="16"/>
                <w:szCs w:val="16"/>
              </w:rPr>
              <w:t xml:space="preserve"> the STA is a non-AP STA, </w:t>
            </w:r>
            <w:r w:rsidR="0032375D">
              <w:rPr>
                <w:rFonts w:ascii="Times New Roman" w:eastAsia="Times New Roman" w:hAnsi="Times New Roman" w:cs="Times New Roman"/>
                <w:color w:val="000000" w:themeColor="text1"/>
                <w:sz w:val="16"/>
                <w:szCs w:val="16"/>
              </w:rPr>
              <w:t xml:space="preserve">(ii) the STA is affiliated with an AP MLD that is an NSTR mobile AP MLD, and (iii) the STA is affiliated with an AP MLD that is NOT an NSTR mobile AP MLD. </w:t>
            </w:r>
            <w:r w:rsidR="0082364C">
              <w:rPr>
                <w:rFonts w:ascii="Times New Roman" w:eastAsia="Times New Roman" w:hAnsi="Times New Roman" w:cs="Times New Roman"/>
                <w:color w:val="000000" w:themeColor="text1"/>
                <w:sz w:val="16"/>
                <w:szCs w:val="16"/>
              </w:rPr>
              <w:t>These are the minimum cases to be specified</w:t>
            </w:r>
            <w:r w:rsidR="00031568">
              <w:rPr>
                <w:rFonts w:ascii="Times New Roman" w:eastAsia="Times New Roman" w:hAnsi="Times New Roman" w:cs="Times New Roman"/>
                <w:color w:val="000000" w:themeColor="text1"/>
                <w:sz w:val="16"/>
                <w:szCs w:val="16"/>
              </w:rPr>
              <w:t xml:space="preserve"> (as is the case for several other subfields)</w:t>
            </w:r>
            <w:r w:rsidR="0082364C">
              <w:rPr>
                <w:rFonts w:ascii="Times New Roman" w:eastAsia="Times New Roman" w:hAnsi="Times New Roman" w:cs="Times New Roman"/>
                <w:color w:val="000000" w:themeColor="text1"/>
                <w:sz w:val="16"/>
                <w:szCs w:val="16"/>
              </w:rPr>
              <w:t>, and hence there is no complex behavior</w:t>
            </w:r>
            <w:r w:rsidR="00192354">
              <w:rPr>
                <w:rFonts w:ascii="Times New Roman" w:eastAsia="Times New Roman" w:hAnsi="Times New Roman" w:cs="Times New Roman"/>
                <w:color w:val="000000" w:themeColor="text1"/>
                <w:sz w:val="16"/>
                <w:szCs w:val="16"/>
              </w:rPr>
              <w:t xml:space="preserve"> described.</w:t>
            </w:r>
          </w:p>
          <w:p w14:paraId="14B8B530" w14:textId="77777777" w:rsidR="00D62341" w:rsidRDefault="00D62341" w:rsidP="004119D8">
            <w:pPr>
              <w:suppressAutoHyphens/>
              <w:spacing w:after="0"/>
              <w:rPr>
                <w:rFonts w:ascii="Times New Roman" w:eastAsia="Times New Roman" w:hAnsi="Times New Roman" w:cs="Times New Roman"/>
                <w:color w:val="000000" w:themeColor="text1"/>
                <w:sz w:val="16"/>
                <w:szCs w:val="16"/>
              </w:rPr>
            </w:pPr>
          </w:p>
          <w:p w14:paraId="14FA3012" w14:textId="0D5FDF23" w:rsidR="00D62341" w:rsidRPr="00A1037E" w:rsidRDefault="00D62341" w:rsidP="004119D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Additionally, </w:t>
            </w:r>
            <w:r w:rsidR="00577B8F">
              <w:rPr>
                <w:rFonts w:ascii="Times New Roman" w:eastAsia="Times New Roman" w:hAnsi="Times New Roman" w:cs="Times New Roman"/>
                <w:color w:val="000000" w:themeColor="text1"/>
                <w:sz w:val="16"/>
                <w:szCs w:val="16"/>
              </w:rPr>
              <w:t xml:space="preserve">no requirements for the inclusion of the Beacon Interval subfield in the STA Info field are specified in Clause 35.3.19 or its subclauses. Therefore, no duplication/redundancy was found in the draft text. </w:t>
            </w:r>
          </w:p>
        </w:tc>
      </w:tr>
    </w:tbl>
    <w:p w14:paraId="3DB9E910" w14:textId="77777777" w:rsidR="003B61B0" w:rsidRPr="00260530" w:rsidRDefault="003B61B0"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3B61B0"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81B5" w14:textId="77777777" w:rsidR="009C5422" w:rsidRDefault="009C5422">
      <w:pPr>
        <w:spacing w:after="0" w:line="240" w:lineRule="auto"/>
      </w:pPr>
      <w:r>
        <w:separator/>
      </w:r>
    </w:p>
  </w:endnote>
  <w:endnote w:type="continuationSeparator" w:id="0">
    <w:p w14:paraId="3E9453BB" w14:textId="77777777" w:rsidR="009C5422" w:rsidRDefault="009C5422">
      <w:pPr>
        <w:spacing w:after="0" w:line="240" w:lineRule="auto"/>
      </w:pPr>
      <w:r>
        <w:continuationSeparator/>
      </w:r>
    </w:p>
  </w:endnote>
  <w:endnote w:type="continuationNotice" w:id="1">
    <w:p w14:paraId="1A892F3A" w14:textId="77777777" w:rsidR="009C5422" w:rsidRDefault="009C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2249" w14:textId="77777777" w:rsidR="009C5422" w:rsidRDefault="009C5422">
      <w:pPr>
        <w:spacing w:after="0" w:line="240" w:lineRule="auto"/>
      </w:pPr>
      <w:r>
        <w:separator/>
      </w:r>
    </w:p>
  </w:footnote>
  <w:footnote w:type="continuationSeparator" w:id="0">
    <w:p w14:paraId="2800265C" w14:textId="77777777" w:rsidR="009C5422" w:rsidRDefault="009C5422">
      <w:pPr>
        <w:spacing w:after="0" w:line="240" w:lineRule="auto"/>
      </w:pPr>
      <w:r>
        <w:continuationSeparator/>
      </w:r>
    </w:p>
  </w:footnote>
  <w:footnote w:type="continuationNotice" w:id="1">
    <w:p w14:paraId="413F8145" w14:textId="77777777" w:rsidR="009C5422" w:rsidRDefault="009C5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4D84B54F" w:rsidR="00886F33" w:rsidRPr="002D636E" w:rsidRDefault="00472F4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BE4A54">
      <w:rPr>
        <w:rFonts w:ascii="Times New Roman" w:eastAsia="Malgun Gothic" w:hAnsi="Times New Roman" w:cs="Times New Roman"/>
        <w:b/>
        <w:sz w:val="28"/>
        <w:szCs w:val="20"/>
      </w:rPr>
      <w:t>4</w:t>
    </w:r>
    <w:r w:rsidR="00BE4A54">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BE4A54">
      <w:rPr>
        <w:rFonts w:ascii="Times New Roman" w:eastAsia="Malgun Gothic" w:hAnsi="Times New Roman" w:cs="Times New Roman"/>
        <w:b/>
        <w:sz w:val="28"/>
        <w:szCs w:val="20"/>
        <w:lang w:val="en-GB"/>
      </w:rPr>
      <w:t>4</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rPr>
      <w:t>1009</w:t>
    </w:r>
    <w:r w:rsidR="00410C03">
      <w:rPr>
        <w:rFonts w:ascii="Times New Roman" w:eastAsia="Malgun Gothic" w:hAnsi="Times New Roman" w:cs="Times New Roman"/>
        <w:b/>
        <w:sz w:val="28"/>
        <w:szCs w:val="20"/>
        <w:lang w:val="en-GB"/>
      </w:rPr>
      <w:t>r</w:t>
    </w:r>
    <w:r w:rsidR="00BE4A54">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1D99A5CE" w:rsidR="00886F33" w:rsidRPr="00355BE4" w:rsidRDefault="00E264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B738D4">
      <w:rPr>
        <w:rFonts w:ascii="Times New Roman" w:eastAsia="Malgun Gothic" w:hAnsi="Times New Roman" w:cs="Times New Roman"/>
        <w:b/>
        <w:sz w:val="28"/>
        <w:szCs w:val="20"/>
      </w:rPr>
      <w:t xml:space="preserve"> 202</w:t>
    </w:r>
    <w:r w:rsidR="00C638A7">
      <w:rPr>
        <w:rFonts w:ascii="Times New Roman" w:eastAsia="Malgun Gothic" w:hAnsi="Times New Roman" w:cs="Times New Roman"/>
        <w:b/>
        <w:sz w:val="28"/>
        <w:szCs w:val="20"/>
      </w:rPr>
      <w:t>4</w:t>
    </w:r>
    <w:r w:rsidR="00C638A7">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638A7">
      <w:rPr>
        <w:rFonts w:ascii="Times New Roman" w:eastAsia="Malgun Gothic" w:hAnsi="Times New Roman" w:cs="Times New Roman"/>
        <w:b/>
        <w:sz w:val="28"/>
        <w:szCs w:val="20"/>
        <w:lang w:val="en-GB"/>
      </w:rPr>
      <w:t>4</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1009</w:t>
    </w:r>
    <w:r w:rsidR="001E09B0">
      <w:rPr>
        <w:rFonts w:ascii="Times New Roman" w:eastAsia="Malgun Gothic" w:hAnsi="Times New Roman" w:cs="Times New Roman"/>
        <w:b/>
        <w:sz w:val="28"/>
        <w:szCs w:val="20"/>
        <w:lang w:val="en-GB"/>
      </w:rPr>
      <w:t>r</w:t>
    </w:r>
    <w:r w:rsidR="00C638A7">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0F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568"/>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202"/>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9EB"/>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3B4"/>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165"/>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7D0"/>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77EDE"/>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54"/>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B39"/>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792"/>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2FAB"/>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C04"/>
    <w:rsid w:val="00254DE1"/>
    <w:rsid w:val="002550AA"/>
    <w:rsid w:val="0025590B"/>
    <w:rsid w:val="00255BDA"/>
    <w:rsid w:val="00255E20"/>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3BA"/>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5D8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37C"/>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51D"/>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A47"/>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75D"/>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52B"/>
    <w:rsid w:val="00331BED"/>
    <w:rsid w:val="00331DB5"/>
    <w:rsid w:val="00332FAD"/>
    <w:rsid w:val="00333260"/>
    <w:rsid w:val="0033386F"/>
    <w:rsid w:val="00333B54"/>
    <w:rsid w:val="00333B8C"/>
    <w:rsid w:val="00334A9C"/>
    <w:rsid w:val="00334C5E"/>
    <w:rsid w:val="00335181"/>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BD"/>
    <w:rsid w:val="00377CD9"/>
    <w:rsid w:val="003803FB"/>
    <w:rsid w:val="003807B6"/>
    <w:rsid w:val="003807D8"/>
    <w:rsid w:val="003809C7"/>
    <w:rsid w:val="00380B42"/>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8CA"/>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90B"/>
    <w:rsid w:val="003A4B96"/>
    <w:rsid w:val="003A5224"/>
    <w:rsid w:val="003A5CDB"/>
    <w:rsid w:val="003A5F6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1B0"/>
    <w:rsid w:val="003B67B1"/>
    <w:rsid w:val="003B6808"/>
    <w:rsid w:val="003B6C0D"/>
    <w:rsid w:val="003B6DC6"/>
    <w:rsid w:val="003B7215"/>
    <w:rsid w:val="003B7C96"/>
    <w:rsid w:val="003C07DD"/>
    <w:rsid w:val="003C0E10"/>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86"/>
    <w:rsid w:val="003C3CE0"/>
    <w:rsid w:val="003C3D4A"/>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D21"/>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9D8"/>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2F4A"/>
    <w:rsid w:val="0047336B"/>
    <w:rsid w:val="004733FE"/>
    <w:rsid w:val="004734A2"/>
    <w:rsid w:val="004734DA"/>
    <w:rsid w:val="00473652"/>
    <w:rsid w:val="004739B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817"/>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B3A"/>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375"/>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597"/>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0CA"/>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B8F"/>
    <w:rsid w:val="00577DF0"/>
    <w:rsid w:val="00577FD9"/>
    <w:rsid w:val="00580224"/>
    <w:rsid w:val="0058049E"/>
    <w:rsid w:val="00580644"/>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5B5"/>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872"/>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C5E"/>
    <w:rsid w:val="005E7D7A"/>
    <w:rsid w:val="005E7E78"/>
    <w:rsid w:val="005E7E88"/>
    <w:rsid w:val="005F0446"/>
    <w:rsid w:val="005F064D"/>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0DC"/>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222"/>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EF1"/>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C50"/>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4DF"/>
    <w:rsid w:val="007505CE"/>
    <w:rsid w:val="007509C7"/>
    <w:rsid w:val="00750D07"/>
    <w:rsid w:val="00750D4A"/>
    <w:rsid w:val="007511C6"/>
    <w:rsid w:val="007517B3"/>
    <w:rsid w:val="00752344"/>
    <w:rsid w:val="007525BD"/>
    <w:rsid w:val="00752C3E"/>
    <w:rsid w:val="00752E69"/>
    <w:rsid w:val="00752F02"/>
    <w:rsid w:val="007532D6"/>
    <w:rsid w:val="007533B9"/>
    <w:rsid w:val="00753402"/>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4F"/>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1C8F"/>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3E05"/>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6A4"/>
    <w:rsid w:val="007D39E2"/>
    <w:rsid w:val="007D422E"/>
    <w:rsid w:val="007D433A"/>
    <w:rsid w:val="007D487A"/>
    <w:rsid w:val="007D4C13"/>
    <w:rsid w:val="007D510D"/>
    <w:rsid w:val="007D56AD"/>
    <w:rsid w:val="007D5F09"/>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C5E"/>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4C"/>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BFB"/>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785"/>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C87"/>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0CA9"/>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50"/>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955"/>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E82"/>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4AE0"/>
    <w:rsid w:val="009B53D6"/>
    <w:rsid w:val="009B57FC"/>
    <w:rsid w:val="009B5A6D"/>
    <w:rsid w:val="009B5C0D"/>
    <w:rsid w:val="009B633D"/>
    <w:rsid w:val="009B6EE9"/>
    <w:rsid w:val="009B70A7"/>
    <w:rsid w:val="009B71F7"/>
    <w:rsid w:val="009B73A4"/>
    <w:rsid w:val="009B782A"/>
    <w:rsid w:val="009B784E"/>
    <w:rsid w:val="009B78F7"/>
    <w:rsid w:val="009B7D4E"/>
    <w:rsid w:val="009B7E1F"/>
    <w:rsid w:val="009C0675"/>
    <w:rsid w:val="009C07B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422"/>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B0A"/>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6AE"/>
    <w:rsid w:val="00A04EAE"/>
    <w:rsid w:val="00A0556B"/>
    <w:rsid w:val="00A0578F"/>
    <w:rsid w:val="00A0596A"/>
    <w:rsid w:val="00A06B4B"/>
    <w:rsid w:val="00A072AA"/>
    <w:rsid w:val="00A07502"/>
    <w:rsid w:val="00A10302"/>
    <w:rsid w:val="00A1037E"/>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54F"/>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D65"/>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1E"/>
    <w:rsid w:val="00A61868"/>
    <w:rsid w:val="00A624C9"/>
    <w:rsid w:val="00A62607"/>
    <w:rsid w:val="00A6306B"/>
    <w:rsid w:val="00A63121"/>
    <w:rsid w:val="00A632BC"/>
    <w:rsid w:val="00A632F3"/>
    <w:rsid w:val="00A6398C"/>
    <w:rsid w:val="00A639A2"/>
    <w:rsid w:val="00A64004"/>
    <w:rsid w:val="00A6432C"/>
    <w:rsid w:val="00A647E8"/>
    <w:rsid w:val="00A648C0"/>
    <w:rsid w:val="00A64DD4"/>
    <w:rsid w:val="00A64EFE"/>
    <w:rsid w:val="00A654D5"/>
    <w:rsid w:val="00A6561F"/>
    <w:rsid w:val="00A65AA0"/>
    <w:rsid w:val="00A65C66"/>
    <w:rsid w:val="00A65D0D"/>
    <w:rsid w:val="00A65EB3"/>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908"/>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D4B"/>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0C4"/>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683"/>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B0D"/>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5EE"/>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A54"/>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2D"/>
    <w:rsid w:val="00BF2BCA"/>
    <w:rsid w:val="00BF2D33"/>
    <w:rsid w:val="00BF302E"/>
    <w:rsid w:val="00BF3201"/>
    <w:rsid w:val="00BF39E5"/>
    <w:rsid w:val="00BF3A54"/>
    <w:rsid w:val="00BF3D23"/>
    <w:rsid w:val="00BF3E52"/>
    <w:rsid w:val="00BF3E83"/>
    <w:rsid w:val="00BF41A9"/>
    <w:rsid w:val="00BF45E0"/>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05"/>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6CB"/>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8A7"/>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CA2"/>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8B8"/>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296"/>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786"/>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58B"/>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B4A"/>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A78"/>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BFE"/>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449"/>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341"/>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009"/>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A7"/>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862"/>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6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859"/>
    <w:rsid w:val="00E10CE1"/>
    <w:rsid w:val="00E11192"/>
    <w:rsid w:val="00E111A0"/>
    <w:rsid w:val="00E111A3"/>
    <w:rsid w:val="00E11283"/>
    <w:rsid w:val="00E116A7"/>
    <w:rsid w:val="00E11784"/>
    <w:rsid w:val="00E11F90"/>
    <w:rsid w:val="00E12056"/>
    <w:rsid w:val="00E12419"/>
    <w:rsid w:val="00E1262B"/>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4C5"/>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B87"/>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5F97"/>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3E8"/>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2A2F"/>
    <w:rsid w:val="00F632BE"/>
    <w:rsid w:val="00F63506"/>
    <w:rsid w:val="00F637EB"/>
    <w:rsid w:val="00F64833"/>
    <w:rsid w:val="00F65AB5"/>
    <w:rsid w:val="00F65EE6"/>
    <w:rsid w:val="00F6626C"/>
    <w:rsid w:val="00F66415"/>
    <w:rsid w:val="00F66460"/>
    <w:rsid w:val="00F66D32"/>
    <w:rsid w:val="00F66D9A"/>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2D97"/>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3C9"/>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923</TotalTime>
  <Pages>2</Pages>
  <Words>534</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63</cp:revision>
  <dcterms:created xsi:type="dcterms:W3CDTF">2023-11-15T01:09:00Z</dcterms:created>
  <dcterms:modified xsi:type="dcterms:W3CDTF">2024-06-18T21:55:00Z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