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47"/>
        <w:gridCol w:w="863"/>
        <w:gridCol w:w="1166"/>
        <w:gridCol w:w="2484"/>
        <w:gridCol w:w="2565"/>
        <w:gridCol w:w="2282"/>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1AAA5DE6" w14:textId="77777777" w:rsidR="00793E70" w:rsidRDefault="00793E70" w:rsidP="0018068B">
            <w:pPr>
              <w:rPr>
                <w:rFonts w:ascii="Arial" w:hAnsi="Arial" w:cs="Arial"/>
                <w:sz w:val="20"/>
              </w:rPr>
            </w:pPr>
          </w:p>
          <w:p w14:paraId="3D8FB8CD" w14:textId="44AD0256" w:rsidR="00395159" w:rsidRDefault="00793E70" w:rsidP="0018068B">
            <w:pPr>
              <w:rPr>
                <w:rFonts w:ascii="Arial" w:hAnsi="Arial" w:cs="Arial"/>
                <w:sz w:val="20"/>
              </w:rPr>
            </w:pPr>
            <w:r w:rsidRPr="00341309">
              <w:rPr>
                <w:rFonts w:ascii="Arial" w:hAnsi="Arial" w:cs="Arial"/>
                <w:sz w:val="20"/>
                <w:highlight w:val="green"/>
              </w:rPr>
              <w:t>Revise</w:t>
            </w: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3C2A5D6" w:rsidR="0076282E" w:rsidRPr="00427513" w:rsidRDefault="00793E70" w:rsidP="0076282E">
            <w:pPr>
              <w:autoSpaceDE w:val="0"/>
              <w:autoSpaceDN w:val="0"/>
              <w:adjustRightInd w:val="0"/>
              <w:rPr>
                <w:rFonts w:eastAsia="TimesNewRoman"/>
                <w:szCs w:val="22"/>
                <w:lang w:val="en-US" w:eastAsia="ja-JP"/>
              </w:rPr>
            </w:pPr>
            <w:r>
              <w:rPr>
                <w:b/>
                <w:bCs/>
                <w:szCs w:val="22"/>
                <w:lang w:val="en-US" w:eastAsia="ja-JP"/>
              </w:rPr>
              <w:t>“</w:t>
            </w:r>
            <w:proofErr w:type="gramStart"/>
            <w:r w:rsidR="0076282E" w:rsidRPr="00427513">
              <w:rPr>
                <w:b/>
                <w:bCs/>
                <w:szCs w:val="22"/>
                <w:lang w:val="en-US" w:eastAsia="ja-JP"/>
              </w:rPr>
              <w:t>device</w:t>
            </w:r>
            <w:proofErr w:type="gramEnd"/>
            <w:r w:rsidR="0076282E" w:rsidRPr="00427513">
              <w:rPr>
                <w:b/>
                <w:bCs/>
                <w:szCs w:val="22"/>
                <w:lang w:val="en-US" w:eastAsia="ja-JP"/>
              </w:rPr>
              <w:t xml:space="preserve"> </w:t>
            </w:r>
            <w:r w:rsidR="0076282E">
              <w:rPr>
                <w:b/>
                <w:bCs/>
                <w:szCs w:val="22"/>
                <w:lang w:val="en-US" w:eastAsia="ja-JP"/>
              </w:rPr>
              <w:t xml:space="preserve">identifier </w:t>
            </w:r>
            <w:r w:rsidR="0076282E" w:rsidRPr="00427513">
              <w:rPr>
                <w:b/>
                <w:bCs/>
                <w:szCs w:val="22"/>
                <w:lang w:val="en-US" w:eastAsia="ja-JP"/>
              </w:rPr>
              <w:t xml:space="preserve">(ID): </w:t>
            </w:r>
            <w:r w:rsidR="0076282E" w:rsidRPr="00427513">
              <w:rPr>
                <w:rFonts w:eastAsia="TimesNewRoman"/>
                <w:szCs w:val="22"/>
                <w:lang w:val="en-US" w:eastAsia="ja-JP"/>
              </w:rPr>
              <w:t xml:space="preserve">[device ID] An </w:t>
            </w:r>
            <w:r w:rsidR="0076282E">
              <w:rPr>
                <w:rFonts w:eastAsia="TimesNewRoman"/>
                <w:szCs w:val="22"/>
                <w:lang w:val="en-US" w:eastAsia="ja-JP"/>
              </w:rPr>
              <w:t xml:space="preserve">ID provided by an access point (AP) in an ESS </w:t>
            </w:r>
            <w:r w:rsidR="0076282E"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33E23D88" w14:textId="77777777" w:rsidR="00341309" w:rsidRDefault="00341309" w:rsidP="00BA6073">
            <w:pPr>
              <w:autoSpaceDE w:val="0"/>
              <w:autoSpaceDN w:val="0"/>
              <w:adjustRightInd w:val="0"/>
              <w:rPr>
                <w:rFonts w:eastAsia="TimesNewRoman"/>
                <w:szCs w:val="22"/>
                <w:lang w:val="en-US" w:eastAsia="ja-JP"/>
              </w:rPr>
            </w:pP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The text "device identification (ID): [device ID]” implies that “ID” is an abbreviation for “identification”. However, “ID” does not seem to be in the abbreviation list of 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1EE318DF" w14:textId="77777777" w:rsidR="001479C9" w:rsidRDefault="001479C9" w:rsidP="0018068B">
            <w:pPr>
              <w:rPr>
                <w:rFonts w:ascii="Arial" w:hAnsi="Arial" w:cs="Arial"/>
                <w:sz w:val="20"/>
              </w:rPr>
            </w:pPr>
          </w:p>
          <w:p w14:paraId="28CF77BE" w14:textId="2D166CA6" w:rsidR="001479C9" w:rsidRDefault="001479C9" w:rsidP="0018068B">
            <w:pPr>
              <w:rPr>
                <w:rFonts w:ascii="Arial" w:hAnsi="Arial" w:cs="Arial"/>
                <w:sz w:val="20"/>
              </w:rPr>
            </w:pPr>
            <w:r w:rsidRPr="007D42BD">
              <w:rPr>
                <w:rFonts w:ascii="Arial" w:hAnsi="Arial" w:cs="Arial"/>
                <w:sz w:val="20"/>
                <w:highlight w:val="green"/>
              </w:rPr>
              <w:t>Revise</w:t>
            </w:r>
          </w:p>
          <w:p w14:paraId="68454D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5C8E9C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47BD76F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4A89F5B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29A43D5B" w14:textId="77777777" w:rsidR="0093452C" w:rsidRPr="0093452C" w:rsidRDefault="0093452C" w:rsidP="0093452C">
            <w:pPr>
              <w:shd w:val="clear" w:color="auto" w:fill="FFFFFF"/>
              <w:textAlignment w:val="baseline"/>
              <w:rPr>
                <w:rFonts w:eastAsia="Times New Roman"/>
                <w:color w:val="242424"/>
                <w:sz w:val="20"/>
                <w:lang w:val="en-US"/>
              </w:rPr>
            </w:pPr>
          </w:p>
          <w:p w14:paraId="1CD297A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561112C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680B053B"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09D4A292"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1E933EB3" w14:textId="00DDC308" w:rsidR="00B50E97" w:rsidRDefault="00B50E97"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0D0A65B9" w14:textId="77777777" w:rsidR="0093452C" w:rsidRDefault="0093452C" w:rsidP="0093452C">
            <w:pPr>
              <w:rPr>
                <w:rFonts w:ascii="Arial" w:hAnsi="Arial" w:cs="Arial"/>
                <w:sz w:val="20"/>
              </w:rPr>
            </w:pPr>
            <w:r w:rsidRPr="007D42BD">
              <w:rPr>
                <w:rFonts w:ascii="Arial" w:hAnsi="Arial" w:cs="Arial"/>
                <w:sz w:val="20"/>
                <w:highlight w:val="green"/>
              </w:rPr>
              <w:t>Revise</w:t>
            </w:r>
          </w:p>
          <w:p w14:paraId="62ED33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0EB6DF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22E67DE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7F794409"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6A33F8CA" w14:textId="77777777" w:rsidR="0093452C" w:rsidRPr="0093452C" w:rsidRDefault="0093452C" w:rsidP="0093452C">
            <w:pPr>
              <w:shd w:val="clear" w:color="auto" w:fill="FFFFFF"/>
              <w:textAlignment w:val="baseline"/>
              <w:rPr>
                <w:rFonts w:eastAsia="Times New Roman"/>
                <w:color w:val="242424"/>
                <w:sz w:val="20"/>
                <w:lang w:val="en-US"/>
              </w:rPr>
            </w:pPr>
          </w:p>
          <w:p w14:paraId="66DC5065"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2D052BED"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3A72F8E4"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67C31BD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412087A3" w14:textId="7E834566" w:rsidR="00B50E97" w:rsidRPr="007F618D" w:rsidRDefault="00B50E97" w:rsidP="00B50E97">
            <w:pPr>
              <w:rPr>
                <w:rFonts w:ascii="Arial" w:hAnsi="Arial" w:cs="Arial"/>
                <w:sz w:val="20"/>
              </w:rPr>
            </w:pP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629389DB" w:rsidR="0065372E" w:rsidRPr="0065372E" w:rsidRDefault="00227164" w:rsidP="004E3DD9">
            <w:pPr>
              <w:rPr>
                <w:rFonts w:ascii="Arial" w:hAnsi="Arial" w:cs="Arial"/>
                <w:sz w:val="20"/>
              </w:rPr>
            </w:pPr>
            <w:r w:rsidRPr="00227164">
              <w:rPr>
                <w:rFonts w:ascii="Arial" w:hAnsi="Arial" w:cs="Arial"/>
                <w:sz w:val="20"/>
              </w:rPr>
              <w:t>Change "PASN Encrypted Data element" to "Encrypted Data element" throughout. Locations are: 24.26, 24.38, 29.3, 29.15, 29.21</w:t>
            </w:r>
            <w:proofErr w:type="gramStart"/>
            <w:r w:rsidRPr="00227164">
              <w:rPr>
                <w:rFonts w:ascii="Arial" w:hAnsi="Arial" w:cs="Arial"/>
                <w:sz w:val="20"/>
              </w:rPr>
              <w:t>,  29.26</w:t>
            </w:r>
            <w:proofErr w:type="gramEnd"/>
            <w:r w:rsidRPr="00227164">
              <w:rPr>
                <w:rFonts w:ascii="Arial" w:hAnsi="Arial" w:cs="Arial"/>
                <w:sz w:val="20"/>
              </w:rPr>
              <w:t>, 29.44, 39.37, 39.41, 39.58, 44.25, 44.26, 44.27, 44.32, 44.33, 44.34, 44.60, 44.61, 44.52, 44.64</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EC1E9D">
              <w:rPr>
                <w:rFonts w:eastAsia="TimesNewRoman"/>
                <w:color w:val="000000"/>
                <w:szCs w:val="22"/>
                <w:highlight w:val="green"/>
                <w:lang w:val="en-US" w:eastAsia="ja-JP"/>
              </w:rPr>
              <w:t>Rejected.</w:t>
            </w:r>
            <w:r w:rsidRPr="0065372E">
              <w:rPr>
                <w:rFonts w:eastAsia="TimesNewRoman"/>
                <w:color w:val="000000"/>
                <w:szCs w:val="22"/>
                <w:lang w:val="en-US" w:eastAsia="ja-JP"/>
              </w:rPr>
              <w:t xml:space="preserve">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sidRPr="00EC1E9D">
              <w:rPr>
                <w:rFonts w:ascii="Arial" w:hAnsi="Arial" w:cs="Arial"/>
                <w:sz w:val="20"/>
                <w:highlight w:val="green"/>
              </w:rPr>
              <w:t>Rejected</w:t>
            </w:r>
            <w:r>
              <w:rPr>
                <w:rFonts w:ascii="Arial" w:hAnsi="Arial" w:cs="Arial"/>
                <w:sz w:val="20"/>
              </w:rPr>
              <w:t xml:space="preserve">.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w:t>
            </w:r>
            <w:r>
              <w:rPr>
                <w:rFonts w:ascii="Arial" w:hAnsi="Arial" w:cs="Arial"/>
                <w:sz w:val="20"/>
              </w:rPr>
              <w:lastRenderedPageBreak/>
              <w:t xml:space="preserve">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EC1E9D">
        <w:trPr>
          <w:trHeight w:val="2870"/>
        </w:trPr>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78E03E3E" w14:textId="77777777" w:rsidR="00EC1E9D" w:rsidRPr="00EC1E9D" w:rsidRDefault="00EC1E9D" w:rsidP="00EC1E9D">
            <w:pPr>
              <w:rPr>
                <w:rFonts w:ascii="Arial" w:hAnsi="Arial" w:cs="Arial"/>
                <w:sz w:val="20"/>
              </w:rPr>
            </w:pPr>
            <w:r w:rsidRPr="00EC1E9D">
              <w:rPr>
                <w:rFonts w:ascii="Arial" w:hAnsi="Arial" w:cs="Arial"/>
                <w:sz w:val="20"/>
              </w:rPr>
              <w:t>Change the sentence at 28.24 to read "The IRM Status field is present if the element is sent to a non-AP STA and otherwise not present" (so that we have one statement on presence or absence).</w:t>
            </w:r>
          </w:p>
          <w:p w14:paraId="4DC0BAEC" w14:textId="77777777" w:rsidR="00EC1E9D" w:rsidRPr="00EC1E9D" w:rsidRDefault="00EC1E9D" w:rsidP="00EC1E9D">
            <w:pPr>
              <w:rPr>
                <w:rFonts w:ascii="Arial" w:hAnsi="Arial" w:cs="Arial"/>
                <w:sz w:val="20"/>
              </w:rPr>
            </w:pPr>
          </w:p>
          <w:p w14:paraId="75CFC6DF" w14:textId="77777777" w:rsidR="00EC1E9D" w:rsidRPr="00EC1E9D" w:rsidRDefault="00EC1E9D" w:rsidP="00EC1E9D">
            <w:pPr>
              <w:rPr>
                <w:rFonts w:ascii="Arial" w:hAnsi="Arial" w:cs="Arial"/>
                <w:sz w:val="20"/>
              </w:rPr>
            </w:pPr>
            <w:r w:rsidRPr="00EC1E9D">
              <w:rPr>
                <w:rFonts w:ascii="Arial" w:hAnsi="Arial" w:cs="Arial"/>
                <w:sz w:val="20"/>
              </w:rPr>
              <w:t>Change the statement at 28.26 to read "The IRM Status field is defined in Table 9-417b"</w:t>
            </w:r>
          </w:p>
          <w:p w14:paraId="3F0D62BB" w14:textId="77777777" w:rsidR="00EC1E9D" w:rsidRPr="00EC1E9D" w:rsidRDefault="00EC1E9D" w:rsidP="00EC1E9D">
            <w:pPr>
              <w:rPr>
                <w:rFonts w:ascii="Arial" w:hAnsi="Arial" w:cs="Arial"/>
                <w:sz w:val="20"/>
              </w:rPr>
            </w:pPr>
          </w:p>
          <w:p w14:paraId="2CBD1D69" w14:textId="7F917460" w:rsidR="00F14638" w:rsidRPr="00395159" w:rsidRDefault="00EC1E9D" w:rsidP="00EC1E9D">
            <w:pPr>
              <w:rPr>
                <w:rFonts w:ascii="Arial" w:hAnsi="Arial" w:cs="Arial"/>
                <w:sz w:val="20"/>
              </w:rPr>
            </w:pPr>
            <w:r w:rsidRPr="00EC1E9D">
              <w:rPr>
                <w:rFonts w:ascii="Arial" w:hAnsi="Arial" w:cs="Arial"/>
                <w:sz w:val="20"/>
              </w:rPr>
              <w:t>For consistency, change the statement at 28.44 and 28.47 to "The IRM field is present if the element is sent to an AP and otherwise not present." and "The IRM field contains a MAC address.", respectively.</w:t>
            </w:r>
          </w:p>
        </w:tc>
        <w:tc>
          <w:tcPr>
            <w:tcW w:w="2286" w:type="dxa"/>
          </w:tcPr>
          <w:p w14:paraId="07F29A57" w14:textId="77777777" w:rsidR="00F14638" w:rsidRDefault="00154D41" w:rsidP="0018068B">
            <w:pPr>
              <w:rPr>
                <w:rFonts w:ascii="Arial" w:hAnsi="Arial" w:cs="Arial"/>
                <w:sz w:val="20"/>
              </w:rPr>
            </w:pPr>
            <w:r w:rsidRPr="006B22BB">
              <w:rPr>
                <w:rFonts w:ascii="Arial" w:hAnsi="Arial" w:cs="Arial"/>
                <w:sz w:val="20"/>
                <w:highlight w:val="green"/>
              </w:rPr>
              <w:t>Revised</w:t>
            </w:r>
          </w:p>
          <w:p w14:paraId="74B9C8BC" w14:textId="77777777" w:rsidR="00A532BE" w:rsidRDefault="00A532BE" w:rsidP="00154D41">
            <w:pPr>
              <w:rPr>
                <w:szCs w:val="22"/>
              </w:rPr>
            </w:pPr>
          </w:p>
          <w:p w14:paraId="1A4E7941" w14:textId="12311956" w:rsidR="00A532BE" w:rsidRDefault="00A532BE" w:rsidP="00154D41">
            <w:pPr>
              <w:rPr>
                <w:szCs w:val="22"/>
              </w:rPr>
            </w:pPr>
            <w:r>
              <w:rPr>
                <w:szCs w:val="22"/>
              </w:rPr>
              <w:t xml:space="preserve">At 28.24 to read </w:t>
            </w:r>
          </w:p>
          <w:p w14:paraId="7217DCB7" w14:textId="00C21790" w:rsidR="00A532BE" w:rsidRPr="00D84283" w:rsidRDefault="00A532BE" w:rsidP="00154D41">
            <w:pPr>
              <w:rPr>
                <w:szCs w:val="22"/>
              </w:rPr>
            </w:pPr>
            <w:r w:rsidRPr="00D84283">
              <w:rPr>
                <w:rFonts w:eastAsia="TimesNewRoman"/>
                <w:sz w:val="20"/>
                <w:lang w:val="en-US" w:eastAsia="ja-JP"/>
              </w:rPr>
              <w:t>“When the element is sent to an AP, the IRM Status field is not present.”</w:t>
            </w:r>
          </w:p>
          <w:p w14:paraId="27CC510D" w14:textId="77777777" w:rsidR="00A532BE" w:rsidRDefault="00A532BE" w:rsidP="00154D41">
            <w:pPr>
              <w:rPr>
                <w:szCs w:val="22"/>
              </w:rPr>
            </w:pPr>
          </w:p>
          <w:p w14:paraId="5EA1354B" w14:textId="39384AD8" w:rsidR="00154D41" w:rsidRDefault="00154D41" w:rsidP="00154D41">
            <w:pPr>
              <w:rPr>
                <w:szCs w:val="22"/>
              </w:rPr>
            </w:pPr>
            <w:r w:rsidRPr="00A532BE">
              <w:rPr>
                <w:szCs w:val="22"/>
              </w:rPr>
              <w:t>Change the statement at 28.26 to read</w:t>
            </w:r>
            <w:r w:rsidR="00A532BE">
              <w:rPr>
                <w:szCs w:val="22"/>
              </w:rPr>
              <w:t>:</w:t>
            </w:r>
            <w:r w:rsidRPr="00A532BE">
              <w:rPr>
                <w:szCs w:val="22"/>
              </w:rPr>
              <w:t xml:space="preserve"> </w:t>
            </w:r>
            <w:r w:rsidR="00A532BE">
              <w:rPr>
                <w:rFonts w:eastAsia="TimesNewRoman"/>
                <w:szCs w:val="22"/>
                <w:lang w:val="en-US" w:eastAsia="ja-JP"/>
              </w:rPr>
              <w:t>“</w:t>
            </w:r>
            <w:r w:rsidR="00A532BE" w:rsidRPr="00A532BE">
              <w:rPr>
                <w:rFonts w:eastAsia="TimesNewRoman"/>
                <w:szCs w:val="22"/>
                <w:lang w:val="en-US" w:eastAsia="ja-JP"/>
              </w:rPr>
              <w:t xml:space="preserve">When </w:t>
            </w:r>
            <w:r w:rsidR="00A532BE">
              <w:rPr>
                <w:rFonts w:eastAsia="TimesNewRoman"/>
                <w:szCs w:val="22"/>
                <w:lang w:val="en-US" w:eastAsia="ja-JP"/>
              </w:rPr>
              <w:t xml:space="preserve">the element is </w:t>
            </w:r>
            <w:r w:rsidR="00A532BE" w:rsidRPr="00A532BE">
              <w:rPr>
                <w:rFonts w:eastAsia="TimesNewRoman"/>
                <w:szCs w:val="22"/>
                <w:lang w:val="en-US" w:eastAsia="ja-JP"/>
              </w:rPr>
              <w:t xml:space="preserve">sent from an AP, the IRM Status </w:t>
            </w:r>
            <w:r w:rsidRPr="00A532BE">
              <w:rPr>
                <w:szCs w:val="22"/>
              </w:rPr>
              <w:t>field is defined in Table 9-417b"</w:t>
            </w:r>
          </w:p>
          <w:p w14:paraId="5EDA93BC" w14:textId="77777777" w:rsidR="006B22BB" w:rsidRDefault="006B22BB" w:rsidP="00154D41">
            <w:pPr>
              <w:rPr>
                <w:szCs w:val="22"/>
              </w:rPr>
            </w:pPr>
          </w:p>
          <w:p w14:paraId="15DEFF6E" w14:textId="77777777" w:rsidR="006B22BB" w:rsidRPr="00A532BE" w:rsidRDefault="006B22BB" w:rsidP="00154D41">
            <w:pPr>
              <w:rPr>
                <w:szCs w:val="22"/>
              </w:rPr>
            </w:pPr>
          </w:p>
          <w:p w14:paraId="07030F04" w14:textId="77777777" w:rsidR="00154D41" w:rsidRDefault="00154D41" w:rsidP="0018068B">
            <w:pPr>
              <w:rPr>
                <w:rFonts w:ascii="Arial" w:hAnsi="Arial" w:cs="Arial"/>
                <w:sz w:val="20"/>
              </w:rPr>
            </w:pPr>
          </w:p>
          <w:p w14:paraId="6E1DFEB0" w14:textId="5AED63D0" w:rsidR="00154D41" w:rsidRDefault="00154D41" w:rsidP="0018068B">
            <w:pPr>
              <w:rPr>
                <w:rFonts w:ascii="Arial" w:hAnsi="Arial" w:cs="Arial"/>
                <w:sz w:val="20"/>
              </w:rPr>
            </w:pP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36175C2F"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and “uniquely identifies</w:t>
            </w:r>
            <w:r w:rsidR="00D84283">
              <w:rPr>
                <w:rFonts w:ascii="Arial" w:eastAsia="TimesNewRoman" w:hAnsi="Arial" w:cs="Arial"/>
                <w:color w:val="000000"/>
                <w:szCs w:val="22"/>
                <w:lang w:val="en-US"/>
              </w:rPr>
              <w:t>”</w:t>
            </w:r>
            <w:r w:rsidR="00427513">
              <w:rPr>
                <w:rFonts w:ascii="Arial" w:eastAsia="TimesNewRoman" w:hAnsi="Arial" w:cs="Arial"/>
                <w:color w:val="000000"/>
                <w:szCs w:val="22"/>
                <w:lang w:val="en-US"/>
              </w:rPr>
              <w:t xml:space="preserve">,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identification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sidRPr="006B22BB">
              <w:rPr>
                <w:rFonts w:ascii="Arial" w:hAnsi="Arial" w:cs="Arial"/>
                <w:highlight w:val="green"/>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58E215F"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lastRenderedPageBreak/>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495A7C66" w:rsidR="004710A1" w:rsidRPr="00751105" w:rsidRDefault="004710A1" w:rsidP="00427513">
            <w:pPr>
              <w:rPr>
                <w:rFonts w:ascii="Arial" w:hAnsi="Arial" w:cs="Arial"/>
                <w:color w:val="000000"/>
                <w:sz w:val="18"/>
                <w:szCs w:val="16"/>
              </w:rPr>
            </w:pPr>
            <w:r w:rsidRPr="00751105">
              <w:rPr>
                <w:rFonts w:ascii="Arial" w:hAnsi="Arial" w:cs="Arial"/>
                <w:color w:val="000000"/>
                <w:sz w:val="18"/>
                <w:szCs w:val="16"/>
              </w:rPr>
              <w:t xml:space="preserve">NOTE </w:t>
            </w:r>
            <w:r w:rsidR="00751105" w:rsidRPr="00751105">
              <w:rPr>
                <w:rFonts w:ascii="Arial" w:hAnsi="Arial" w:cs="Arial"/>
                <w:color w:val="000000"/>
                <w:sz w:val="18"/>
                <w:szCs w:val="16"/>
              </w:rPr>
              <w:t>Please also see</w:t>
            </w:r>
            <w:r w:rsidRPr="00751105">
              <w:rPr>
                <w:rFonts w:ascii="Arial" w:hAnsi="Arial" w:cs="Arial"/>
                <w:color w:val="000000"/>
                <w:sz w:val="18"/>
                <w:szCs w:val="16"/>
              </w:rPr>
              <w:t xml:space="preserve"> CID 3085 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"can" defines ability; "might" more appropriate here. It is not clear why one identifier is "provided" and the other "used". The second sentence seems unnecessary since the 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t>Change the first sentence to "Such a STA, might identify itself to the AP (and only the AP) by providing to the AP a device ID previously allocated to the non-AP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625B54">
              <w:rPr>
                <w:rFonts w:eastAsia="TimesNewRoman"/>
                <w:color w:val="000000"/>
                <w:szCs w:val="22"/>
                <w:highlight w:val="green"/>
                <w:lang w:val="en-US" w:eastAsia="ja-JP"/>
              </w:rPr>
              <w:t>Reject</w:t>
            </w:r>
          </w:p>
          <w:p w14:paraId="5F6111A2" w14:textId="77777777" w:rsidR="00625B54"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w:t>
            </w:r>
            <w:r w:rsidR="00751105">
              <w:rPr>
                <w:rFonts w:eastAsia="TimesNewRoman"/>
                <w:color w:val="000000"/>
                <w:szCs w:val="22"/>
                <w:lang w:val="en-US" w:eastAsia="ja-JP"/>
              </w:rPr>
              <w:t xml:space="preserve">the network </w:t>
            </w:r>
            <w:r w:rsidR="0065372E">
              <w:rPr>
                <w:rFonts w:eastAsia="TimesNewRoman"/>
                <w:color w:val="000000"/>
                <w:szCs w:val="22"/>
                <w:lang w:val="en-US" w:eastAsia="ja-JP"/>
              </w:rPr>
              <w:t xml:space="preserve">recognizing the </w:t>
            </w:r>
            <w:r w:rsidR="00751105">
              <w:rPr>
                <w:rFonts w:eastAsia="TimesNewRoman"/>
                <w:color w:val="000000"/>
                <w:szCs w:val="22"/>
                <w:lang w:val="en-US" w:eastAsia="ja-JP"/>
              </w:rPr>
              <w:t xml:space="preserve">STA, </w:t>
            </w:r>
            <w:r w:rsidR="0065372E">
              <w:rPr>
                <w:rFonts w:eastAsia="TimesNewRoman"/>
                <w:color w:val="000000"/>
                <w:szCs w:val="22"/>
                <w:lang w:val="en-US" w:eastAsia="ja-JP"/>
              </w:rPr>
              <w:t xml:space="preserve">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w:t>
            </w:r>
          </w:p>
          <w:p w14:paraId="31C428CA" w14:textId="5C047940" w:rsidR="00625B54" w:rsidRDefault="00625B54" w:rsidP="00625B54">
            <w:pPr>
              <w:pStyle w:val="NormalWeb"/>
              <w:spacing w:before="0" w:beforeAutospacing="0" w:after="0" w:afterAutospacing="0"/>
              <w:rPr>
                <w:rFonts w:ascii="Segoe UI" w:hAnsi="Segoe UI" w:cs="Segoe UI"/>
              </w:rPr>
            </w:pPr>
            <w:r>
              <w:rPr>
                <w:rFonts w:ascii="Segoe UI" w:hAnsi="Segoe UI" w:cs="Segoe UI"/>
              </w:rPr>
              <w:t>"</w:t>
            </w:r>
            <w:r w:rsidRPr="00625B54">
              <w:rPr>
                <w:sz w:val="20"/>
                <w:szCs w:val="20"/>
              </w:rPr>
              <w:t>Provide" is for device ID, because the device ID is embedded in the protocol, but the STA is "using" MAC addresses (not providing them), so the IRM as an TA is a "use"</w:t>
            </w:r>
            <w:r>
              <w:rPr>
                <w:sz w:val="20"/>
                <w:szCs w:val="20"/>
              </w:rPr>
              <w:t>.</w:t>
            </w:r>
          </w:p>
          <w:p w14:paraId="14610027" w14:textId="4E11A1A2" w:rsidR="0076282E" w:rsidRPr="0076282E" w:rsidRDefault="0076282E" w:rsidP="0076282E">
            <w:pPr>
              <w:autoSpaceDE w:val="0"/>
              <w:autoSpaceDN w:val="0"/>
              <w:adjustRightInd w:val="0"/>
              <w:rPr>
                <w:rFonts w:eastAsia="TimesNewRoman"/>
                <w:color w:val="000000"/>
                <w:szCs w:val="22"/>
                <w:lang w:val="en-US" w:eastAsia="ja-JP"/>
              </w:rPr>
            </w:pP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6C0816EA" w14:textId="19DAAE72" w:rsidR="0065372E" w:rsidRDefault="00625B54" w:rsidP="003731DA">
            <w:pPr>
              <w:autoSpaceDE w:val="0"/>
              <w:autoSpaceDN w:val="0"/>
              <w:adjustRightInd w:val="0"/>
              <w:rPr>
                <w:rFonts w:eastAsia="TimesNewRoman"/>
                <w:color w:val="000000"/>
                <w:szCs w:val="22"/>
                <w:lang w:val="en-US" w:eastAsia="ja-JP"/>
              </w:rPr>
            </w:pPr>
            <w:r w:rsidRPr="00625B54">
              <w:rPr>
                <w:rFonts w:eastAsia="TimesNewRoman"/>
                <w:color w:val="000000"/>
                <w:szCs w:val="22"/>
                <w:highlight w:val="green"/>
                <w:lang w:val="en-US" w:eastAsia="ja-JP"/>
              </w:rPr>
              <w:t>Revise</w:t>
            </w:r>
          </w:p>
          <w:p w14:paraId="57B06EFE" w14:textId="1D659B6C"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18.15, 18.14 and 18.20</w:t>
            </w:r>
          </w:p>
          <w:p w14:paraId="7B2B8780" w14:textId="68790BD9"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Change “a STA” to “a non-AP STA”</w:t>
            </w:r>
          </w:p>
          <w:p w14:paraId="08814F86" w14:textId="4E7559A4" w:rsidR="00625B54" w:rsidRDefault="00625B54" w:rsidP="003731DA">
            <w:pPr>
              <w:autoSpaceDE w:val="0"/>
              <w:autoSpaceDN w:val="0"/>
              <w:adjustRightInd w:val="0"/>
              <w:rPr>
                <w:rFonts w:eastAsia="TimesNewRoman"/>
                <w:color w:val="000000"/>
                <w:szCs w:val="22"/>
                <w:lang w:val="en-US" w:eastAsia="ja-JP"/>
              </w:rPr>
            </w:pP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 xml:space="preserve">As mentioned in the comment targeted to </w:t>
            </w:r>
            <w:r w:rsidRPr="0086377C">
              <w:rPr>
                <w:rFonts w:ascii="Arial" w:hAnsi="Arial" w:cs="Arial"/>
                <w:sz w:val="20"/>
              </w:rPr>
              <w:lastRenderedPageBreak/>
              <w:t>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lastRenderedPageBreak/>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lastRenderedPageBreak/>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10652D6A" w14:textId="77777777" w:rsidR="005F68BB" w:rsidRPr="00532498" w:rsidRDefault="005F68BB" w:rsidP="005F68BB">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148BE505"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55DDBC6B"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36923947" w14:textId="77777777" w:rsidR="005F68BB" w:rsidRPr="00532498" w:rsidRDefault="005F68BB" w:rsidP="005F68BB">
            <w:pPr>
              <w:autoSpaceDE w:val="0"/>
              <w:autoSpaceDN w:val="0"/>
              <w:adjustRightInd w:val="0"/>
              <w:rPr>
                <w:rFonts w:eastAsia="TimesNewRoman"/>
                <w:szCs w:val="22"/>
                <w:lang w:val="en-US" w:eastAsia="ja-JP"/>
              </w:rPr>
            </w:pPr>
            <w:r>
              <w:rPr>
                <w:rFonts w:eastAsia="TimesNewRoman"/>
                <w:szCs w:val="22"/>
                <w:lang w:val="en-US" w:eastAsia="ja-JP"/>
              </w:rPr>
              <w:t xml:space="preserve">“When associating for the first time </w:t>
            </w:r>
            <w:r w:rsidRPr="00532498">
              <w:rPr>
                <w:rFonts w:eastAsia="TimesNewRoman"/>
                <w:szCs w:val="22"/>
                <w:lang w:val="en-US" w:eastAsia="ja-JP"/>
              </w:rPr>
              <w:t>or authenticat</w:t>
            </w:r>
            <w:r>
              <w:rPr>
                <w:rFonts w:eastAsia="TimesNewRoman"/>
                <w:szCs w:val="22"/>
                <w:lang w:val="en-US" w:eastAsia="ja-JP"/>
              </w:rPr>
              <w:t>ing</w:t>
            </w:r>
            <w:r w:rsidRPr="00532498">
              <w:rPr>
                <w:rFonts w:eastAsia="TimesNewRoman"/>
                <w:szCs w:val="22"/>
                <w:lang w:val="en-US" w:eastAsia="ja-JP"/>
              </w:rPr>
              <w:t xml:space="preserve"> using</w:t>
            </w:r>
          </w:p>
          <w:p w14:paraId="22AC1B8E" w14:textId="77777777" w:rsidR="005F68BB" w:rsidRPr="00532498"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for the first time to any AP in an </w:t>
            </w:r>
            <w:r w:rsidRPr="0086377C">
              <w:rPr>
                <w:rFonts w:eastAsia="TimesNewRoman"/>
                <w:szCs w:val="22"/>
                <w:lang w:val="en-US" w:eastAsia="ja-JP"/>
              </w:rPr>
              <w:t>ESS</w:t>
            </w:r>
            <w:r w:rsidRPr="00532498">
              <w:rPr>
                <w:rFonts w:eastAsia="TimesNewRoman"/>
                <w:szCs w:val="22"/>
                <w:lang w:val="en-US" w:eastAsia="ja-JP"/>
              </w:rPr>
              <w:t>, the AP set</w:t>
            </w:r>
            <w:r>
              <w:rPr>
                <w:rFonts w:eastAsia="TimesNewRoman"/>
                <w:szCs w:val="22"/>
                <w:lang w:val="en-US" w:eastAsia="ja-JP"/>
              </w:rPr>
              <w:t>s</w:t>
            </w:r>
            <w:r w:rsidRPr="00532498">
              <w:rPr>
                <w:rFonts w:eastAsia="TimesNewRoman"/>
                <w:szCs w:val="22"/>
                <w:lang w:val="en-US" w:eastAsia="ja-JP"/>
              </w:rPr>
              <w:t xml:space="preserve"> </w:t>
            </w:r>
            <w:r>
              <w:rPr>
                <w:rFonts w:eastAsia="TimesNewRoman"/>
                <w:szCs w:val="22"/>
                <w:lang w:val="en-US" w:eastAsia="ja-JP"/>
              </w:rPr>
              <w:t>the</w:t>
            </w:r>
            <w:r w:rsidRPr="00532498">
              <w:rPr>
                <w:rFonts w:eastAsia="TimesNewRoman"/>
                <w:szCs w:val="22"/>
                <w:lang w:val="en-US" w:eastAsia="ja-JP"/>
              </w:rPr>
              <w:t xml:space="preserve"> IRM status field to 1 indicating Not Recognized</w:t>
            </w:r>
            <w:r>
              <w:rPr>
                <w:rFonts w:eastAsia="TimesNewRoman"/>
                <w:szCs w:val="22"/>
                <w:lang w:val="en-US" w:eastAsia="ja-JP"/>
              </w:rPr>
              <w:t>.</w:t>
            </w:r>
            <w:r w:rsidRPr="00532498">
              <w:rPr>
                <w:rFonts w:eastAsia="TimesNewRoman"/>
                <w:szCs w:val="22"/>
                <w:lang w:val="en-US" w:eastAsia="ja-JP"/>
              </w:rPr>
              <w:t xml:space="preserve"> </w:t>
            </w:r>
            <w:r>
              <w:rPr>
                <w:rFonts w:eastAsia="TimesNewRoman"/>
                <w:szCs w:val="22"/>
                <w:lang w:val="en-US" w:eastAsia="ja-JP"/>
              </w:rPr>
              <w:t>In this case, the</w:t>
            </w:r>
            <w:r w:rsidRPr="00532498">
              <w:rPr>
                <w:rFonts w:eastAsia="TimesNewRoman"/>
                <w:szCs w:val="22"/>
                <w:lang w:val="en-US" w:eastAsia="ja-JP"/>
              </w:rPr>
              <w:t xml:space="preserve"> non-AP STA </w:t>
            </w:r>
            <w:r>
              <w:rPr>
                <w:rFonts w:eastAsia="TimesNewRoman"/>
                <w:szCs w:val="22"/>
                <w:lang w:val="en-US" w:eastAsia="ja-JP"/>
              </w:rPr>
              <w:t>shall</w:t>
            </w:r>
            <w:r w:rsidRPr="00532498">
              <w:rPr>
                <w:rFonts w:eastAsia="TimesNewRoman"/>
                <w:szCs w:val="22"/>
                <w:lang w:val="en-US" w:eastAsia="ja-JP"/>
              </w:rPr>
              <w:t xml:space="preserve"> ignore that</w:t>
            </w:r>
            <w:r>
              <w:rPr>
                <w:rFonts w:eastAsia="TimesNewRoman"/>
                <w:szCs w:val="22"/>
                <w:lang w:val="en-US" w:eastAsia="ja-JP"/>
              </w:rPr>
              <w:t xml:space="preserve"> setting and </w:t>
            </w:r>
            <w:r w:rsidRPr="00532498">
              <w:rPr>
                <w:rFonts w:eastAsia="TimesNewRoman"/>
                <w:szCs w:val="22"/>
                <w:lang w:val="en-US" w:eastAsia="ja-JP"/>
              </w:rPr>
              <w:t>continue to associate or authenticate using</w:t>
            </w:r>
          </w:p>
          <w:p w14:paraId="3FA9EA5B" w14:textId="77777777" w:rsidR="005F68BB"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749081BE" w14:textId="77777777" w:rsidR="005F68BB" w:rsidRDefault="005F68BB" w:rsidP="005F68BB">
            <w:pPr>
              <w:autoSpaceDE w:val="0"/>
              <w:autoSpaceDN w:val="0"/>
              <w:adjustRightInd w:val="0"/>
              <w:rPr>
                <w:rFonts w:eastAsia="TimesNewRoman"/>
                <w:szCs w:val="22"/>
                <w:lang w:val="en-US" w:eastAsia="ja-JP"/>
              </w:rPr>
            </w:pPr>
          </w:p>
          <w:p w14:paraId="66CE4A4F" w14:textId="77777777" w:rsidR="005F68BB" w:rsidRPr="00DF5DE2" w:rsidRDefault="005F68BB" w:rsidP="005F68BB">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021D58C0" w14:textId="5D094DCC" w:rsidR="0086377C" w:rsidRPr="0086377C" w:rsidRDefault="005F68BB" w:rsidP="005F68BB">
            <w:pPr>
              <w:autoSpaceDE w:val="0"/>
              <w:autoSpaceDN w:val="0"/>
              <w:adjustRightInd w:val="0"/>
              <w:rPr>
                <w:rFonts w:eastAsia="TimesNewRoman"/>
                <w:color w:val="000000"/>
                <w:sz w:val="24"/>
                <w:szCs w:val="24"/>
                <w:lang w:val="en-US" w:eastAsia="ja-JP"/>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235AB359" w14:textId="736E4F55" w:rsidR="00DF5DE2" w:rsidRDefault="00DF5DE2" w:rsidP="00532498">
            <w:pPr>
              <w:autoSpaceDE w:val="0"/>
              <w:autoSpaceDN w:val="0"/>
              <w:adjustRightInd w:val="0"/>
              <w:rPr>
                <w:rFonts w:eastAsia="TimesNewRoman"/>
                <w:szCs w:val="22"/>
                <w:lang w:val="en-US" w:eastAsia="ja-JP"/>
              </w:rPr>
            </w:pPr>
            <w:r>
              <w:rPr>
                <w:rFonts w:eastAsia="TimesNewRoman"/>
                <w:szCs w:val="22"/>
                <w:lang w:val="en-US" w:eastAsia="ja-JP"/>
              </w:rPr>
              <w:t xml:space="preserve">Reflector discussion showed support for adding </w:t>
            </w:r>
            <w:proofErr w:type="gramStart"/>
            <w:r>
              <w:rPr>
                <w:rFonts w:eastAsia="TimesNewRoman"/>
                <w:szCs w:val="22"/>
                <w:lang w:val="en-US" w:eastAsia="ja-JP"/>
              </w:rPr>
              <w:t>note</w:t>
            </w:r>
            <w:proofErr w:type="gramEnd"/>
            <w:r>
              <w:rPr>
                <w:rFonts w:eastAsia="TimesNewRoman"/>
                <w:szCs w:val="22"/>
                <w:lang w:val="en-US" w:eastAsia="ja-JP"/>
              </w:rPr>
              <w:t xml:space="preserve"> on a STA deleting IRMs </w:t>
            </w:r>
            <w:proofErr w:type="gramStart"/>
            <w:r>
              <w:rPr>
                <w:rFonts w:eastAsia="TimesNewRoman"/>
                <w:szCs w:val="22"/>
                <w:lang w:val="en-US" w:eastAsia="ja-JP"/>
              </w:rPr>
              <w:t>similar to</w:t>
            </w:r>
            <w:proofErr w:type="gramEnd"/>
            <w:r>
              <w:rPr>
                <w:rFonts w:eastAsia="TimesNewRoman"/>
                <w:szCs w:val="22"/>
                <w:lang w:val="en-US" w:eastAsia="ja-JP"/>
              </w:rPr>
              <w:t xml:space="preserve"> </w:t>
            </w:r>
            <w:r w:rsidR="005F68BB">
              <w:rPr>
                <w:rFonts w:eastAsia="TimesNewRoman"/>
                <w:szCs w:val="22"/>
                <w:lang w:val="en-US" w:eastAsia="ja-JP"/>
              </w:rPr>
              <w:t xml:space="preserve">device </w:t>
            </w:r>
            <w:r>
              <w:rPr>
                <w:rFonts w:eastAsia="TimesNewRoman"/>
                <w:szCs w:val="22"/>
                <w:lang w:val="en-US" w:eastAsia="ja-JP"/>
              </w:rPr>
              <w:t xml:space="preserve">ID.  </w:t>
            </w:r>
          </w:p>
          <w:p w14:paraId="1A7FB520" w14:textId="77777777" w:rsidR="00DF5DE2" w:rsidRPr="00DF5DE2" w:rsidRDefault="00DF5DE2" w:rsidP="00532498">
            <w:pPr>
              <w:autoSpaceDE w:val="0"/>
              <w:autoSpaceDN w:val="0"/>
              <w:adjustRightInd w:val="0"/>
              <w:rPr>
                <w:rFonts w:eastAsia="TimesNewRoman"/>
                <w:szCs w:val="22"/>
                <w:lang w:val="en-US" w:eastAsia="ja-JP"/>
              </w:rPr>
            </w:pP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lastRenderedPageBreak/>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3C78289D" w14:textId="77777777" w:rsidR="00C34CBA" w:rsidRPr="00DF5DE2" w:rsidRDefault="00C34CBA" w:rsidP="00C34CBA">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68BAD2C5" w14:textId="77777777" w:rsidR="00C34CBA" w:rsidRPr="00DF5DE2" w:rsidRDefault="00C34CBA" w:rsidP="00C34CBA">
            <w:pPr>
              <w:autoSpaceDE w:val="0"/>
              <w:autoSpaceDN w:val="0"/>
              <w:adjustRightInd w:val="0"/>
              <w:rPr>
                <w:rFonts w:eastAsia="Times New Roman"/>
                <w:color w:val="000000"/>
                <w:sz w:val="20"/>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0ED2B468" w:rsidR="00960B58" w:rsidRPr="00D763DC" w:rsidRDefault="00960B58" w:rsidP="0018068B">
            <w:pPr>
              <w:rPr>
                <w:rFonts w:ascii="Arial" w:hAnsi="Arial" w:cs="Arial"/>
                <w:sz w:val="20"/>
              </w:rPr>
            </w:pPr>
            <w:r w:rsidRPr="00960B58">
              <w:rPr>
                <w:rFonts w:ascii="Arial" w:hAnsi="Arial" w:cs="Arial"/>
                <w:sz w:val="20"/>
              </w:rPr>
              <w:t>The text “ought to” is not typically used in IEEE standard. It appears to be intended to mean “should”. Such text should be within a normative paragraph, not in a note. Also, consider the overlap with P38L29 ("Each time the non-AP STA associates with an AP in an ESS, it may provide a new IRM to the AP during association.”), which uses the very weak word “may".</w:t>
            </w:r>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preassociation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Revised</w:t>
            </w:r>
          </w:p>
          <w:p w14:paraId="622C88D5" w14:textId="77777777" w:rsidR="00F21889" w:rsidRDefault="00F21889" w:rsidP="00F21889">
            <w:pPr>
              <w:autoSpaceDE w:val="0"/>
              <w:autoSpaceDN w:val="0"/>
              <w:adjustRightInd w:val="0"/>
              <w:rPr>
                <w:rFonts w:ascii="TimesNewRoman" w:eastAsia="TimesNewRoman" w:cs="TimesNewRoman"/>
                <w:sz w:val="18"/>
                <w:szCs w:val="18"/>
                <w:lang w:val="en-US" w:eastAsia="ja-JP"/>
              </w:rPr>
            </w:pPr>
          </w:p>
          <w:p w14:paraId="02BACC1B" w14:textId="11A02463" w:rsidR="00F21889" w:rsidRPr="00F77774" w:rsidRDefault="00F21889" w:rsidP="00F21889">
            <w:pPr>
              <w:autoSpaceDE w:val="0"/>
              <w:autoSpaceDN w:val="0"/>
              <w:adjustRightInd w:val="0"/>
              <w:rPr>
                <w:rFonts w:eastAsia="TimesNewRoman"/>
                <w:sz w:val="20"/>
                <w:lang w:val="en-US" w:eastAsia="ja-JP"/>
              </w:rPr>
            </w:pPr>
            <w:r w:rsidRPr="00F77774">
              <w:rPr>
                <w:rFonts w:eastAsia="TimesNewRoman"/>
                <w:sz w:val="20"/>
                <w:lang w:val="en-US" w:eastAsia="ja-JP"/>
              </w:rPr>
              <w:t>Delete Note 3 and add</w:t>
            </w:r>
          </w:p>
          <w:p w14:paraId="7BC4BA8F" w14:textId="07D6A33F" w:rsidR="00F21889" w:rsidRPr="00F21889" w:rsidRDefault="00F21889" w:rsidP="00F21889">
            <w:pPr>
              <w:autoSpaceDE w:val="0"/>
              <w:autoSpaceDN w:val="0"/>
              <w:adjustRightInd w:val="0"/>
              <w:rPr>
                <w:rFonts w:eastAsia="TimesNewRoman"/>
                <w:sz w:val="20"/>
                <w:lang w:val="en-US" w:eastAsia="ja-JP"/>
              </w:rPr>
            </w:pPr>
            <w:r>
              <w:rPr>
                <w:rFonts w:eastAsia="TimesNewRoman"/>
                <w:sz w:val="20"/>
                <w:lang w:val="en-US" w:eastAsia="ja-JP"/>
              </w:rPr>
              <w:t>“</w:t>
            </w:r>
            <w:r w:rsidR="00F77774">
              <w:rPr>
                <w:rFonts w:eastAsia="TimesNewRoman"/>
                <w:sz w:val="20"/>
                <w:lang w:val="en-US" w:eastAsia="ja-JP"/>
              </w:rPr>
              <w:t>A</w:t>
            </w:r>
            <w:r w:rsidRPr="00F21889">
              <w:rPr>
                <w:rFonts w:eastAsia="TimesNewRoman"/>
                <w:sz w:val="20"/>
                <w:lang w:val="en-US" w:eastAsia="ja-JP"/>
              </w:rPr>
              <w:t xml:space="preserve"> non-AP STA </w:t>
            </w:r>
            <w:r>
              <w:rPr>
                <w:rFonts w:eastAsia="TimesNewRoman"/>
                <w:sz w:val="20"/>
                <w:lang w:val="en-US" w:eastAsia="ja-JP"/>
              </w:rPr>
              <w:t xml:space="preserve">should </w:t>
            </w:r>
            <w:r w:rsidRPr="00F21889">
              <w:rPr>
                <w:rFonts w:eastAsia="TimesNewRoman"/>
                <w:sz w:val="20"/>
                <w:lang w:val="en-US" w:eastAsia="ja-JP"/>
              </w:rPr>
              <w:t xml:space="preserve">change </w:t>
            </w:r>
            <w:r>
              <w:rPr>
                <w:rFonts w:eastAsia="TimesNewRoman"/>
                <w:sz w:val="20"/>
                <w:lang w:val="en-US" w:eastAsia="ja-JP"/>
              </w:rPr>
              <w:t>the</w:t>
            </w:r>
            <w:r w:rsidRPr="00F21889">
              <w:rPr>
                <w:rFonts w:eastAsia="TimesNewRoman"/>
                <w:sz w:val="20"/>
                <w:lang w:val="en-US" w:eastAsia="ja-JP"/>
              </w:rPr>
              <w:t xml:space="preserve"> IRM </w:t>
            </w:r>
            <w:r>
              <w:rPr>
                <w:rFonts w:eastAsia="TimesNewRoman"/>
                <w:sz w:val="20"/>
                <w:lang w:val="en-US" w:eastAsia="ja-JP"/>
              </w:rPr>
              <w:t>at</w:t>
            </w:r>
            <w:r w:rsidRPr="00F21889">
              <w:rPr>
                <w:rFonts w:eastAsia="TimesNewRoman"/>
                <w:sz w:val="20"/>
                <w:lang w:val="en-US" w:eastAsia="ja-JP"/>
              </w:rPr>
              <w:t xml:space="preserve"> each association or PASN</w:t>
            </w:r>
          </w:p>
          <w:p w14:paraId="211FC764" w14:textId="50BDE60E" w:rsidR="00960B58" w:rsidRDefault="00F21889" w:rsidP="00F21889">
            <w:pPr>
              <w:autoSpaceDE w:val="0"/>
              <w:autoSpaceDN w:val="0"/>
              <w:adjustRightInd w:val="0"/>
              <w:rPr>
                <w:rFonts w:eastAsia="TimesNewRoman"/>
                <w:szCs w:val="22"/>
                <w:lang w:val="en-US"/>
              </w:rPr>
            </w:pPr>
            <w:r w:rsidRPr="00F21889">
              <w:rPr>
                <w:rFonts w:eastAsia="TimesNewRoman"/>
                <w:sz w:val="20"/>
                <w:lang w:val="en-US" w:eastAsia="ja-JP"/>
              </w:rPr>
              <w:t>Preassociation</w:t>
            </w:r>
            <w:r>
              <w:rPr>
                <w:rFonts w:eastAsia="TimesNewRoman"/>
                <w:sz w:val="20"/>
                <w:lang w:val="en-US" w:eastAsia="ja-JP"/>
              </w:rPr>
              <w:t>.</w:t>
            </w:r>
            <w:r>
              <w:rPr>
                <w:rFonts w:ascii="TimesNewRoman" w:eastAsia="TimesNewRoman" w:cs="TimesNewRoman"/>
                <w:sz w:val="18"/>
                <w:szCs w:val="18"/>
                <w:lang w:val="en-US" w:eastAsia="ja-JP"/>
              </w:rPr>
              <w:t>”</w:t>
            </w:r>
          </w:p>
          <w:p w14:paraId="329A0966" w14:textId="548EABCE" w:rsidR="00960B58" w:rsidRPr="00960B58" w:rsidRDefault="00960B58" w:rsidP="00532498">
            <w:pPr>
              <w:autoSpaceDE w:val="0"/>
              <w:autoSpaceDN w:val="0"/>
              <w:adjustRightInd w:val="0"/>
              <w:rPr>
                <w:rFonts w:eastAsia="TimesNewRoman"/>
                <w:szCs w:val="22"/>
                <w:lang w:val="en-US" w:eastAsia="ja-JP"/>
              </w:rPr>
            </w:pP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lastRenderedPageBreak/>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264B23AF" w14:textId="77777777" w:rsidR="008A77B5" w:rsidRDefault="0065146A"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Reject</w:t>
            </w:r>
          </w:p>
          <w:p w14:paraId="680243B3" w14:textId="77777777" w:rsidR="0065146A" w:rsidRDefault="0065146A" w:rsidP="00532498">
            <w:pPr>
              <w:autoSpaceDE w:val="0"/>
              <w:autoSpaceDN w:val="0"/>
              <w:adjustRightInd w:val="0"/>
              <w:rPr>
                <w:rFonts w:eastAsia="TimesNewRoman"/>
                <w:szCs w:val="22"/>
                <w:lang w:val="en-US" w:eastAsia="ja-JP"/>
              </w:rPr>
            </w:pPr>
          </w:p>
          <w:p w14:paraId="6657DB92" w14:textId="3784D683" w:rsidR="0065146A" w:rsidRDefault="0065146A" w:rsidP="00532498">
            <w:pPr>
              <w:autoSpaceDE w:val="0"/>
              <w:autoSpaceDN w:val="0"/>
              <w:adjustRightInd w:val="0"/>
              <w:rPr>
                <w:rFonts w:eastAsia="TimesNewRoman"/>
                <w:szCs w:val="22"/>
                <w:lang w:val="en-US" w:eastAsia="ja-JP"/>
              </w:rPr>
            </w:pPr>
            <w:r>
              <w:rPr>
                <w:rFonts w:eastAsia="TimesNewRoman"/>
                <w:szCs w:val="22"/>
                <w:lang w:val="en-US" w:eastAsia="ja-JP"/>
              </w:rPr>
              <w:t xml:space="preserve">This is baseline </w:t>
            </w:r>
            <w:proofErr w:type="gramStart"/>
            <w:r>
              <w:rPr>
                <w:rFonts w:eastAsia="TimesNewRoman"/>
                <w:szCs w:val="22"/>
                <w:lang w:val="en-US" w:eastAsia="ja-JP"/>
              </w:rPr>
              <w:t>text</w:t>
            </w:r>
            <w:proofErr w:type="gramEnd"/>
            <w:r>
              <w:rPr>
                <w:rFonts w:eastAsia="TimesNewRoman"/>
                <w:szCs w:val="22"/>
                <w:lang w:val="en-US" w:eastAsia="ja-JP"/>
              </w:rPr>
              <w:t xml:space="preserve"> and the commenter is recommended to take it up with 11me.</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37C3707" w14:textId="7C03203E" w:rsidR="0065146A" w:rsidRDefault="0065146A" w:rsidP="0065146A">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105BA900" w14:textId="77777777" w:rsidR="0065146A" w:rsidRPr="0065146A" w:rsidRDefault="0065146A" w:rsidP="0065146A">
            <w:pPr>
              <w:autoSpaceDE w:val="0"/>
              <w:autoSpaceDN w:val="0"/>
              <w:adjustRightInd w:val="0"/>
              <w:rPr>
                <w:rFonts w:eastAsia="TimesNewRoman"/>
                <w:sz w:val="20"/>
                <w:szCs w:val="18"/>
                <w:lang w:val="en-US" w:eastAsia="ja-JP"/>
              </w:rPr>
            </w:pPr>
            <w:r w:rsidRPr="0065146A">
              <w:rPr>
                <w:rFonts w:eastAsia="TimesNewRoman"/>
                <w:sz w:val="20"/>
                <w:szCs w:val="18"/>
                <w:lang w:val="en-US" w:eastAsia="ja-JP"/>
              </w:rPr>
              <w:t>At 45.17</w:t>
            </w:r>
          </w:p>
          <w:p w14:paraId="4D23E0F9" w14:textId="7D49B96E"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Change</w:t>
            </w:r>
          </w:p>
          <w:p w14:paraId="16791497" w14:textId="0432B03B"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the AKMP is other than PASN AKMP or PASN with defined key wrap AKMP”</w:t>
            </w:r>
          </w:p>
          <w:p w14:paraId="19F90FBA" w14:textId="74EA59BC"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to</w:t>
            </w:r>
          </w:p>
          <w:p w14:paraId="1019F18B" w14:textId="6DA0AFB5"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w:t>
            </w:r>
            <w:r w:rsidRPr="0065146A">
              <w:rPr>
                <w:sz w:val="20"/>
              </w:rPr>
              <w:t>the AKMP is neither PASN AKMP nor PAS</w:t>
            </w:r>
            <w:r w:rsidR="00804485">
              <w:rPr>
                <w:sz w:val="20"/>
              </w:rPr>
              <w:t>N</w:t>
            </w:r>
            <w:r w:rsidRPr="0065146A">
              <w:rPr>
                <w:sz w:val="20"/>
              </w:rPr>
              <w:t xml:space="preserve"> with defined key wrap AKMP</w:t>
            </w:r>
            <w:r w:rsidRPr="0065146A">
              <w:rPr>
                <w:rFonts w:eastAsia="TimesNewRoman"/>
                <w:sz w:val="20"/>
                <w:lang w:val="en-US" w:eastAsia="ja-JP"/>
              </w:rPr>
              <w:t>”</w:t>
            </w:r>
          </w:p>
          <w:p w14:paraId="3DFB8BD9" w14:textId="4E541EC9" w:rsidR="007F618D" w:rsidRDefault="007F618D" w:rsidP="00532498">
            <w:pPr>
              <w:autoSpaceDE w:val="0"/>
              <w:autoSpaceDN w:val="0"/>
              <w:adjustRightInd w:val="0"/>
              <w:rPr>
                <w:rFonts w:eastAsia="TimesNewRoman"/>
                <w:szCs w:val="22"/>
                <w:lang w:val="en-US" w:eastAsia="ja-JP"/>
              </w:rPr>
            </w:pP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40E4C9D9" w14:textId="198ED808" w:rsidR="007F618D" w:rsidRPr="00BD7E80" w:rsidRDefault="00BD7E80" w:rsidP="00532498">
            <w:pPr>
              <w:autoSpaceDE w:val="0"/>
              <w:autoSpaceDN w:val="0"/>
              <w:adjustRightInd w:val="0"/>
              <w:rPr>
                <w:rFonts w:eastAsia="TimesNewRoman"/>
                <w:szCs w:val="22"/>
                <w:highlight w:val="yellow"/>
                <w:lang w:val="en-US" w:eastAsia="ja-JP"/>
              </w:rPr>
            </w:pPr>
            <w:r>
              <w:rPr>
                <w:rFonts w:eastAsia="TimesNewRoman"/>
                <w:szCs w:val="22"/>
                <w:highlight w:val="yellow"/>
                <w:lang w:val="en-US" w:eastAsia="ja-JP"/>
              </w:rPr>
              <w:t>Deferred</w:t>
            </w:r>
          </w:p>
          <w:p w14:paraId="04E05AB7" w14:textId="596BC621" w:rsidR="00BD7E80" w:rsidRDefault="00BD7E80" w:rsidP="00532498">
            <w:pPr>
              <w:autoSpaceDE w:val="0"/>
              <w:autoSpaceDN w:val="0"/>
              <w:adjustRightInd w:val="0"/>
              <w:rPr>
                <w:rFonts w:eastAsia="TimesNewRoman"/>
                <w:szCs w:val="22"/>
                <w:lang w:val="en-US" w:eastAsia="ja-JP"/>
              </w:rPr>
            </w:pPr>
            <w:r w:rsidRPr="00BD7E80">
              <w:rPr>
                <w:rFonts w:eastAsia="TimesNewRoman"/>
                <w:szCs w:val="22"/>
                <w:highlight w:val="yellow"/>
                <w:lang w:val="en-US" w:eastAsia="ja-JP"/>
              </w:rPr>
              <w:t>No-one knows what it should be so we can’t change it.  Let an ‘e</w:t>
            </w:r>
            <w:r>
              <w:rPr>
                <w:rFonts w:eastAsia="TimesNewRoman"/>
                <w:szCs w:val="22"/>
                <w:highlight w:val="yellow"/>
                <w:lang w:val="en-US" w:eastAsia="ja-JP"/>
              </w:rPr>
              <w:t>x</w:t>
            </w:r>
            <w:r w:rsidRPr="00BD7E80">
              <w:rPr>
                <w:rFonts w:eastAsia="TimesNewRoman"/>
                <w:szCs w:val="22"/>
                <w:highlight w:val="yellow"/>
                <w:lang w:val="en-US" w:eastAsia="ja-JP"/>
              </w:rPr>
              <w:t>pert’ look at it.</w:t>
            </w:r>
            <w:r>
              <w:rPr>
                <w:rFonts w:eastAsia="TimesNewRoman"/>
                <w:szCs w:val="22"/>
                <w:lang w:val="en-US" w:eastAsia="ja-JP"/>
              </w:rPr>
              <w:t xml:space="preserve"> Po Kai/Okan?</w:t>
            </w: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0DF99866" w14:textId="77777777"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59B5EDE3" w14:textId="57C07948" w:rsidR="007F618D" w:rsidRDefault="002B5F2B" w:rsidP="00532498">
            <w:pPr>
              <w:autoSpaceDE w:val="0"/>
              <w:autoSpaceDN w:val="0"/>
              <w:adjustRightInd w:val="0"/>
              <w:rPr>
                <w:rFonts w:eastAsia="TimesNewRoman"/>
                <w:szCs w:val="22"/>
                <w:lang w:val="en-US" w:eastAsia="ja-JP"/>
              </w:rPr>
            </w:pPr>
            <w:r>
              <w:rPr>
                <w:rFonts w:eastAsia="TimesNewRoman"/>
                <w:szCs w:val="22"/>
                <w:lang w:val="en-US" w:eastAsia="ja-JP"/>
              </w:rPr>
              <w:t>Baseline text.</w:t>
            </w:r>
          </w:p>
          <w:p w14:paraId="5BE3E82F" w14:textId="2B36DCBD"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Commenter does not identify a change.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6C267A2C" w14:textId="166E2A74"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37B90BA5" w14:textId="77777777" w:rsidR="002B5F2B" w:rsidRDefault="002B5F2B" w:rsidP="00532498">
            <w:pPr>
              <w:autoSpaceDE w:val="0"/>
              <w:autoSpaceDN w:val="0"/>
              <w:adjustRightInd w:val="0"/>
              <w:rPr>
                <w:rFonts w:eastAsia="TimesNewRoman"/>
                <w:szCs w:val="22"/>
                <w:lang w:val="en-US" w:eastAsia="ja-JP"/>
              </w:rPr>
            </w:pPr>
          </w:p>
          <w:p w14:paraId="1ABBDA7B" w14:textId="6B7F368E"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This text is aligned with similar text in the baseline.</w:t>
            </w:r>
          </w:p>
          <w:p w14:paraId="4D16BA7D" w14:textId="459926C5" w:rsidR="002B5F2B" w:rsidRDefault="002B5F2B" w:rsidP="002B5F2B">
            <w:pPr>
              <w:autoSpaceDE w:val="0"/>
              <w:autoSpaceDN w:val="0"/>
              <w:adjustRightInd w:val="0"/>
              <w:rPr>
                <w:rFonts w:eastAsia="TimesNewRoman"/>
                <w:szCs w:val="22"/>
                <w:lang w:val="en-US" w:eastAsia="ja-JP"/>
              </w:rPr>
            </w:pP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sidRPr="002B5F2B">
              <w:rPr>
                <w:rFonts w:ascii="Arial" w:hAnsi="Arial" w:cs="Arial"/>
                <w:sz w:val="20"/>
                <w:highlight w:val="green"/>
              </w:rPr>
              <w:t>Rejected</w:t>
            </w:r>
            <w:r>
              <w:rPr>
                <w:rFonts w:ascii="Arial" w:hAnsi="Arial" w:cs="Arial"/>
                <w:sz w:val="20"/>
              </w:rPr>
              <w:t xml:space="preserve">.  </w:t>
            </w:r>
          </w:p>
          <w:p w14:paraId="30B8E5D7" w14:textId="1BD8A692" w:rsidR="007F618D" w:rsidRDefault="007F618D" w:rsidP="007F618D">
            <w:pPr>
              <w:rPr>
                <w:rFonts w:ascii="Arial" w:hAnsi="Arial" w:cs="Arial"/>
                <w:sz w:val="20"/>
              </w:rPr>
            </w:pPr>
            <w:r>
              <w:rPr>
                <w:rFonts w:ascii="Arial" w:hAnsi="Arial" w:cs="Arial"/>
                <w:sz w:val="20"/>
              </w:rPr>
              <w:t xml:space="preserve">1) This is an informative annex, so there's a limit to how much effort to put into technical fine details. 2) </w:t>
            </w:r>
            <w:r w:rsidR="002B5F2B">
              <w:rPr>
                <w:rFonts w:ascii="Arial" w:hAnsi="Arial" w:cs="Arial"/>
                <w:sz w:val="20"/>
              </w:rPr>
              <w:t xml:space="preserve">802.11 </w:t>
            </w:r>
            <w:r>
              <w:rPr>
                <w:rFonts w:ascii="Arial" w:hAnsi="Arial" w:cs="Arial"/>
                <w:sz w:val="20"/>
              </w:rPr>
              <w:t>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2B5F2B">
              <w:rPr>
                <w:rFonts w:ascii="Arial" w:hAnsi="Arial" w:cs="Arial"/>
                <w:sz w:val="20"/>
                <w:highlight w:val="green"/>
              </w:rPr>
              <w:t>Rejected.</w:t>
            </w:r>
            <w:r w:rsidRPr="007F618D">
              <w:rPr>
                <w:rFonts w:ascii="Arial" w:hAnsi="Arial" w:cs="Arial"/>
                <w:sz w:val="20"/>
              </w:rPr>
              <w:t xml:space="preserve"> </w:t>
            </w:r>
          </w:p>
          <w:p w14:paraId="07B0215C" w14:textId="1F73EEC9" w:rsidR="007F618D" w:rsidRDefault="007F618D" w:rsidP="007F618D">
            <w:pPr>
              <w:rPr>
                <w:rFonts w:ascii="Arial" w:hAnsi="Arial" w:cs="Arial"/>
                <w:sz w:val="20"/>
              </w:rPr>
            </w:pPr>
            <w:r w:rsidRPr="007F618D">
              <w:rPr>
                <w:rFonts w:ascii="Arial" w:hAnsi="Arial" w:cs="Arial"/>
                <w:sz w:val="20"/>
              </w:rPr>
              <w:t xml:space="preserve"> No problem is identified in the comment</w:t>
            </w:r>
            <w:r w:rsidR="002B5F2B">
              <w:rPr>
                <w:rFonts w:ascii="Arial" w:hAnsi="Arial" w:cs="Arial"/>
                <w:sz w:val="20"/>
              </w:rPr>
              <w:t xml:space="preserve">.  </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4FCEFE9E" w14:textId="5E87C4D1" w:rsidR="00C20366" w:rsidRDefault="00C20366" w:rsidP="007F618D">
            <w:pPr>
              <w:rPr>
                <w:rFonts w:ascii="Arial" w:hAnsi="Arial" w:cs="Arial"/>
                <w:sz w:val="20"/>
              </w:rPr>
            </w:pPr>
          </w:p>
          <w:p w14:paraId="22A56746" w14:textId="530AC080" w:rsidR="00C20366" w:rsidRDefault="00C20366" w:rsidP="007F618D">
            <w:pPr>
              <w:rPr>
                <w:rFonts w:ascii="Arial" w:hAnsi="Arial" w:cs="Arial"/>
                <w:sz w:val="20"/>
              </w:rPr>
            </w:pPr>
            <w:r w:rsidRPr="00C20366">
              <w:rPr>
                <w:rFonts w:ascii="Arial" w:hAnsi="Arial" w:cs="Arial"/>
                <w:sz w:val="20"/>
                <w:highlight w:val="green"/>
              </w:rPr>
              <w:t>Reject</w:t>
            </w:r>
          </w:p>
          <w:p w14:paraId="3BEFB879" w14:textId="59B1A0E0" w:rsidR="00C20366" w:rsidRDefault="00C20366" w:rsidP="007F618D">
            <w:pPr>
              <w:rPr>
                <w:rFonts w:ascii="Arial" w:hAnsi="Arial" w:cs="Arial"/>
                <w:sz w:val="20"/>
              </w:rPr>
            </w:pPr>
            <w:r>
              <w:rPr>
                <w:rFonts w:ascii="Arial" w:hAnsi="Arial" w:cs="Arial"/>
                <w:sz w:val="20"/>
              </w:rPr>
              <w:t>Similar wording is present in the baseline</w:t>
            </w:r>
          </w:p>
          <w:p w14:paraId="5554D63D" w14:textId="3C23B9E8" w:rsidR="00C20366" w:rsidRPr="007F618D" w:rsidRDefault="00C20366" w:rsidP="007F618D">
            <w:pPr>
              <w:rPr>
                <w:rFonts w:ascii="Arial" w:hAnsi="Arial" w:cs="Arial"/>
                <w:sz w:val="20"/>
              </w:rPr>
            </w:pP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45D97A38" w14:textId="77777777" w:rsidR="00C20366" w:rsidRDefault="00C20366" w:rsidP="00C20366">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53E53137" w14:textId="7D3CF5BF" w:rsidR="00D62F45" w:rsidRDefault="00D62F45" w:rsidP="00C20366">
            <w:pPr>
              <w:autoSpaceDE w:val="0"/>
              <w:autoSpaceDN w:val="0"/>
              <w:adjustRightInd w:val="0"/>
              <w:rPr>
                <w:rFonts w:eastAsia="TimesNewRoman"/>
                <w:szCs w:val="22"/>
                <w:lang w:val="en-US" w:eastAsia="ja-JP"/>
              </w:rPr>
            </w:pPr>
            <w:r>
              <w:rPr>
                <w:rFonts w:eastAsia="TimesNewRoman"/>
                <w:szCs w:val="22"/>
                <w:lang w:val="en-US" w:eastAsia="ja-JP"/>
              </w:rPr>
              <w:t xml:space="preserve">Add </w:t>
            </w:r>
            <w:r w:rsidR="00A60D52">
              <w:rPr>
                <w:rFonts w:eastAsia="TimesNewRoman"/>
                <w:szCs w:val="22"/>
                <w:lang w:val="en-US" w:eastAsia="ja-JP"/>
              </w:rPr>
              <w:t>“</w:t>
            </w:r>
            <w:r>
              <w:rPr>
                <w:rFonts w:eastAsia="TimesNewRoman"/>
                <w:szCs w:val="22"/>
                <w:lang w:val="en-US" w:eastAsia="ja-JP"/>
              </w:rPr>
              <w:t>AKMP</w:t>
            </w:r>
            <w:r w:rsidR="00A60D52">
              <w:rPr>
                <w:rFonts w:eastAsia="TimesNewRoman"/>
                <w:szCs w:val="22"/>
                <w:lang w:val="en-US" w:eastAsia="ja-JP"/>
              </w:rPr>
              <w:t>”</w:t>
            </w:r>
            <w:r>
              <w:rPr>
                <w:rFonts w:eastAsia="TimesNewRoman"/>
                <w:szCs w:val="22"/>
                <w:lang w:val="en-US" w:eastAsia="ja-JP"/>
              </w:rPr>
              <w:t xml:space="preserve"> at end of </w:t>
            </w:r>
            <w:r w:rsidR="00A60D52">
              <w:rPr>
                <w:rFonts w:eastAsia="TimesNewRoman"/>
                <w:szCs w:val="22"/>
                <w:lang w:val="en-US" w:eastAsia="ja-JP"/>
              </w:rPr>
              <w:t xml:space="preserve">cited </w:t>
            </w:r>
            <w:r>
              <w:rPr>
                <w:rFonts w:eastAsia="TimesNewRoman"/>
                <w:szCs w:val="22"/>
                <w:lang w:val="en-US" w:eastAsia="ja-JP"/>
              </w:rPr>
              <w:t>phrase to read:</w:t>
            </w:r>
          </w:p>
          <w:p w14:paraId="745518FA" w14:textId="5EC185D1" w:rsidR="00D62F45" w:rsidRPr="00D62F45" w:rsidRDefault="00D62F45" w:rsidP="00D62F45">
            <w:pPr>
              <w:autoSpaceDE w:val="0"/>
              <w:autoSpaceDN w:val="0"/>
              <w:adjustRightInd w:val="0"/>
              <w:rPr>
                <w:rFonts w:eastAsia="TimesNewRoman"/>
                <w:sz w:val="20"/>
                <w:lang w:val="en-US" w:eastAsia="ja-JP"/>
              </w:rPr>
            </w:pPr>
            <w:r w:rsidRPr="00D62F45">
              <w:rPr>
                <w:rFonts w:eastAsia="TimesNewRoman"/>
                <w:sz w:val="20"/>
                <w:lang w:val="en-US" w:eastAsia="ja-JP"/>
              </w:rPr>
              <w:t>“Otherwise, if the Base AKMP is PASN</w:t>
            </w:r>
          </w:p>
          <w:p w14:paraId="2A441F04" w14:textId="03A52269" w:rsidR="00C20366" w:rsidRDefault="00D62F45" w:rsidP="00D62F45">
            <w:pPr>
              <w:rPr>
                <w:rFonts w:ascii="Arial" w:hAnsi="Arial" w:cs="Arial"/>
                <w:sz w:val="20"/>
              </w:rPr>
            </w:pPr>
            <w:r w:rsidRPr="00D62F45">
              <w:rPr>
                <w:rFonts w:eastAsia="TimesNewRoman"/>
                <w:sz w:val="20"/>
                <w:lang w:val="en-US" w:eastAsia="ja-JP"/>
              </w:rPr>
              <w:t>AKMP or PASN with defined key wrap AKMP</w:t>
            </w:r>
            <w:r>
              <w:rPr>
                <w:rFonts w:ascii="TimesNewRoman" w:eastAsia="TimesNewRoman" w:cs="TimesNewRoman"/>
                <w:sz w:val="20"/>
                <w:lang w:val="en-US" w:eastAsia="ja-JP"/>
              </w:rPr>
              <w:t>”</w:t>
            </w:r>
          </w:p>
          <w:p w14:paraId="05FC947F" w14:textId="77777777" w:rsidR="00C20366" w:rsidRDefault="00C20366" w:rsidP="007F618D">
            <w:pPr>
              <w:rPr>
                <w:rFonts w:ascii="Arial" w:hAnsi="Arial" w:cs="Arial"/>
                <w:sz w:val="20"/>
              </w:rPr>
            </w:pPr>
          </w:p>
          <w:p w14:paraId="293AA753" w14:textId="007B0376" w:rsidR="00E532A2" w:rsidRDefault="00E532A2" w:rsidP="007F618D">
            <w:pPr>
              <w:rPr>
                <w:rFonts w:ascii="Arial" w:hAnsi="Arial" w:cs="Arial"/>
                <w:sz w:val="20"/>
              </w:rPr>
            </w:pP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6709C3ED" w14:textId="63873D49" w:rsidR="002E62E6" w:rsidRPr="002E62E6" w:rsidRDefault="002E62E6" w:rsidP="002E62E6">
            <w:pPr>
              <w:autoSpaceDE w:val="0"/>
              <w:autoSpaceDN w:val="0"/>
              <w:adjustRightInd w:val="0"/>
              <w:rPr>
                <w:rFonts w:eastAsia="TimesNewRoman"/>
                <w:sz w:val="20"/>
                <w:lang w:val="en-US" w:eastAsia="ja-JP"/>
              </w:rPr>
            </w:pPr>
            <w:r w:rsidRPr="00644C9D">
              <w:rPr>
                <w:rFonts w:eastAsia="TimesNewRoman"/>
                <w:sz w:val="20"/>
                <w:highlight w:val="green"/>
                <w:lang w:val="en-US" w:eastAsia="ja-JP"/>
              </w:rPr>
              <w:t>Revise</w:t>
            </w:r>
          </w:p>
          <w:p w14:paraId="7B65DCEB" w14:textId="47A5D01E"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At cited location change to:</w:t>
            </w:r>
          </w:p>
          <w:p w14:paraId="3B9D2449" w14:textId="1873AF6B"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w:t>
            </w:r>
            <w:r w:rsidRPr="002E62E6">
              <w:rPr>
                <w:rFonts w:eastAsia="TimesNewRoman"/>
                <w:sz w:val="20"/>
                <w:lang w:val="en-US" w:eastAsia="ja-JP"/>
              </w:rPr>
              <w:t>element</w:t>
            </w:r>
            <w:proofErr w:type="spellEnd"/>
            <w:r w:rsidRPr="002E62E6">
              <w:rPr>
                <w:rFonts w:eastAsia="TimesNewRoman"/>
                <w:sz w:val="20"/>
                <w:lang w:val="en-US" w:eastAsia="ja-JP"/>
              </w:rPr>
              <w:t>,</w:t>
            </w:r>
            <w:r w:rsidRPr="002E62E6">
              <w:rPr>
                <w:rFonts w:eastAsia="TimesNewRoman"/>
                <w:sz w:val="20"/>
                <w:lang w:val="en-US" w:eastAsia="ja-JP"/>
              </w:rPr>
              <w:t xml:space="preserve"> as defined in</w:t>
            </w:r>
          </w:p>
          <w:p w14:paraId="1685E82D" w14:textId="6E1D44BD"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9.4.2.317 (IRM element)</w:t>
            </w:r>
            <w:r w:rsidRPr="002E62E6">
              <w:rPr>
                <w:rFonts w:eastAsia="TimesNewRoman"/>
                <w:sz w:val="20"/>
                <w:lang w:val="en-US" w:eastAsia="ja-JP"/>
              </w:rPr>
              <w:t>,</w:t>
            </w:r>
            <w:r w:rsidRPr="002E62E6">
              <w:rPr>
                <w:rFonts w:eastAsia="TimesNewRoman"/>
                <w:sz w:val="20"/>
                <w:lang w:val="en-US" w:eastAsia="ja-JP"/>
              </w:rPr>
              <w:t xml:space="preserve"> in </w:t>
            </w:r>
            <w:r w:rsidRPr="002E62E6">
              <w:rPr>
                <w:rFonts w:eastAsia="TimesNewRoman"/>
                <w:sz w:val="20"/>
                <w:lang w:val="en-US" w:eastAsia="ja-JP"/>
              </w:rPr>
              <w:t>a</w:t>
            </w:r>
            <w:r w:rsidRPr="002E62E6">
              <w:rPr>
                <w:rFonts w:eastAsia="TimesNewRoman"/>
                <w:sz w:val="20"/>
                <w:lang w:val="en-US" w:eastAsia="ja-JP"/>
              </w:rPr>
              <w:t xml:space="preserve"> PASN Encrypted Data element, </w:t>
            </w:r>
            <w:r w:rsidRPr="002E62E6">
              <w:rPr>
                <w:rFonts w:eastAsia="TimesNewRoman"/>
                <w:sz w:val="20"/>
                <w:lang w:val="en-US" w:eastAsia="ja-JP"/>
              </w:rPr>
              <w:t>if required per</w:t>
            </w:r>
            <w:r w:rsidRPr="002E62E6">
              <w:rPr>
                <w:rFonts w:eastAsia="TimesNewRoman"/>
                <w:sz w:val="20"/>
                <w:lang w:val="en-US" w:eastAsia="ja-JP"/>
              </w:rPr>
              <w:t xml:space="preserve"> the procedure in 12.2.12.2</w:t>
            </w:r>
          </w:p>
          <w:p w14:paraId="4F8825C9" w14:textId="77777777" w:rsidR="00E532A2" w:rsidRPr="002E62E6" w:rsidRDefault="002E62E6" w:rsidP="002E62E6">
            <w:pPr>
              <w:rPr>
                <w:rFonts w:eastAsia="TimesNewRoman"/>
                <w:sz w:val="20"/>
                <w:lang w:val="en-US" w:eastAsia="ja-JP"/>
              </w:rPr>
            </w:pPr>
            <w:r w:rsidRPr="002E62E6">
              <w:rPr>
                <w:rFonts w:eastAsia="TimesNewRoman"/>
                <w:sz w:val="20"/>
                <w:lang w:val="en-US" w:eastAsia="ja-JP"/>
              </w:rPr>
              <w:t>(Identifiable random MAC address (IRM) operation</w:t>
            </w:r>
            <w:r w:rsidRPr="002E62E6">
              <w:rPr>
                <w:rFonts w:eastAsia="TimesNewRoman"/>
                <w:sz w:val="20"/>
                <w:lang w:val="en-US" w:eastAsia="ja-JP"/>
              </w:rPr>
              <w:t>.”</w:t>
            </w:r>
          </w:p>
          <w:p w14:paraId="6D792FF1" w14:textId="77777777" w:rsidR="002E62E6" w:rsidRDefault="002E62E6" w:rsidP="002E62E6">
            <w:pPr>
              <w:rPr>
                <w:sz w:val="20"/>
              </w:rPr>
            </w:pPr>
          </w:p>
          <w:p w14:paraId="6BE5B76D" w14:textId="0C49DFA6" w:rsidR="002E62E6" w:rsidRPr="002E62E6" w:rsidRDefault="002E62E6" w:rsidP="002E62E6">
            <w:pPr>
              <w:rPr>
                <w:sz w:val="20"/>
              </w:rPr>
            </w:pPr>
            <w:r>
              <w:rPr>
                <w:sz w:val="20"/>
              </w:rPr>
              <w:t>At 44.25</w:t>
            </w:r>
          </w:p>
          <w:p w14:paraId="59E8A3BE" w14:textId="64D1FABE" w:rsidR="002E62E6" w:rsidRPr="002E62E6" w:rsidRDefault="00644C9D" w:rsidP="002E62E6">
            <w:pPr>
              <w:autoSpaceDE w:val="0"/>
              <w:autoSpaceDN w:val="0"/>
              <w:adjustRightInd w:val="0"/>
              <w:rPr>
                <w:rFonts w:eastAsia="TimesNewRoman"/>
                <w:sz w:val="20"/>
                <w:lang w:val="en-US" w:eastAsia="ja-JP"/>
              </w:rPr>
            </w:pPr>
            <w:r>
              <w:rPr>
                <w:rFonts w:eastAsia="TimesNewRoman"/>
                <w:sz w:val="20"/>
                <w:lang w:val="en-US" w:eastAsia="ja-JP"/>
              </w:rPr>
              <w:t>“</w:t>
            </w:r>
            <w:r w:rsidR="002E62E6" w:rsidRPr="002E62E6">
              <w:rPr>
                <w:rFonts w:eastAsia="TimesNewRoman"/>
                <w:sz w:val="20"/>
                <w:lang w:val="en-US" w:eastAsia="ja-JP"/>
              </w:rPr>
              <w:t>If</w:t>
            </w:r>
            <w:r w:rsidR="002E62E6">
              <w:rPr>
                <w:rFonts w:eastAsia="TimesNewRoman"/>
                <w:sz w:val="20"/>
                <w:lang w:val="en-US" w:eastAsia="ja-JP"/>
              </w:rPr>
              <w:t xml:space="preserve"> d</w:t>
            </w:r>
            <w:r w:rsidR="002E62E6" w:rsidRPr="002E62E6">
              <w:rPr>
                <w:rFonts w:eastAsia="TimesNewRoman"/>
                <w:sz w:val="20"/>
                <w:lang w:val="en-US" w:eastAsia="ja-JP"/>
              </w:rPr>
              <w:t xml:space="preserve">ot11DeviceIDActivated is true, including a Device ID </w:t>
            </w:r>
            <w:proofErr w:type="spellStart"/>
            <w:r w:rsidR="002E62E6" w:rsidRPr="002E62E6">
              <w:rPr>
                <w:rFonts w:eastAsia="TimesNewRoman"/>
                <w:sz w:val="20"/>
                <w:lang w:val="en-US" w:eastAsia="ja-JP"/>
              </w:rPr>
              <w:t>subelement</w:t>
            </w:r>
            <w:proofErr w:type="spellEnd"/>
            <w:r w:rsidR="002E62E6" w:rsidRPr="002E62E6">
              <w:rPr>
                <w:rFonts w:eastAsia="TimesNewRoman"/>
                <w:sz w:val="20"/>
                <w:lang w:val="en-US" w:eastAsia="ja-JP"/>
              </w:rPr>
              <w:t xml:space="preserve"> </w:t>
            </w:r>
            <w:r w:rsidR="002E62E6" w:rsidRPr="002E62E6">
              <w:rPr>
                <w:rFonts w:eastAsia="TimesNewRoman"/>
                <w:sz w:val="20"/>
                <w:lang w:val="en-US" w:eastAsia="ja-JP"/>
              </w:rPr>
              <w:t>as defined in 9.4.2.316 (Device ID element)</w:t>
            </w:r>
            <w:r w:rsidR="002E62E6">
              <w:rPr>
                <w:rFonts w:eastAsia="TimesNewRoman"/>
                <w:sz w:val="20"/>
                <w:lang w:val="en-US" w:eastAsia="ja-JP"/>
              </w:rPr>
              <w:t xml:space="preserve"> in</w:t>
            </w:r>
            <w:r w:rsidR="002E62E6" w:rsidRPr="002E62E6">
              <w:rPr>
                <w:rFonts w:eastAsia="TimesNewRoman"/>
                <w:sz w:val="20"/>
                <w:lang w:val="en-US" w:eastAsia="ja-JP"/>
              </w:rPr>
              <w:t xml:space="preserve"> a PASN Encrypted Data element, if</w:t>
            </w:r>
          </w:p>
          <w:p w14:paraId="1B23F564" w14:textId="7C49686E" w:rsidR="002E62E6" w:rsidRDefault="002E62E6" w:rsidP="002E62E6">
            <w:pPr>
              <w:rPr>
                <w:rFonts w:eastAsia="TimesNewRoman"/>
                <w:sz w:val="20"/>
                <w:lang w:val="en-US" w:eastAsia="ja-JP"/>
              </w:rPr>
            </w:pPr>
            <w:r w:rsidRPr="002E62E6">
              <w:rPr>
                <w:rFonts w:eastAsia="TimesNewRoman"/>
                <w:sz w:val="20"/>
                <w:lang w:val="en-US" w:eastAsia="ja-JP"/>
              </w:rPr>
              <w:t>required per the procedure in 12.2.12.1 (Device ID mechanism)</w:t>
            </w:r>
            <w:r w:rsidR="00644C9D">
              <w:rPr>
                <w:rFonts w:eastAsia="TimesNewRoman"/>
                <w:sz w:val="20"/>
                <w:lang w:val="en-US" w:eastAsia="ja-JP"/>
              </w:rPr>
              <w:t>”</w:t>
            </w:r>
          </w:p>
          <w:p w14:paraId="3B21C907" w14:textId="77777777" w:rsidR="002E62E6" w:rsidRDefault="002E62E6" w:rsidP="002E62E6">
            <w:pPr>
              <w:rPr>
                <w:sz w:val="20"/>
              </w:rPr>
            </w:pPr>
          </w:p>
          <w:p w14:paraId="039562DD" w14:textId="4ADEED7D" w:rsidR="00644C9D" w:rsidRDefault="00644C9D" w:rsidP="002E62E6">
            <w:pPr>
              <w:rPr>
                <w:sz w:val="20"/>
              </w:rPr>
            </w:pPr>
            <w:r>
              <w:rPr>
                <w:sz w:val="20"/>
              </w:rPr>
              <w:t>At 44.31</w:t>
            </w:r>
          </w:p>
          <w:p w14:paraId="30C3B773" w14:textId="67FDC6F2" w:rsidR="00644C9D" w:rsidRPr="002E62E6" w:rsidRDefault="00644C9D" w:rsidP="00644C9D">
            <w:pPr>
              <w:autoSpaceDE w:val="0"/>
              <w:autoSpaceDN w:val="0"/>
              <w:adjustRightInd w:val="0"/>
              <w:rPr>
                <w:rFonts w:eastAsia="TimesNewRoman"/>
                <w:sz w:val="20"/>
                <w:lang w:val="en-US" w:eastAsia="ja-JP"/>
              </w:rPr>
            </w:pPr>
            <w:r>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5F6181DB" w14:textId="77777777" w:rsidR="00644C9D" w:rsidRPr="002E62E6" w:rsidRDefault="00644C9D" w:rsidP="00644C9D">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3ABF888C" w14:textId="77777777" w:rsidR="00644C9D" w:rsidRPr="002E62E6" w:rsidRDefault="00644C9D" w:rsidP="00644C9D">
            <w:pPr>
              <w:rPr>
                <w:rFonts w:eastAsia="TimesNewRoman"/>
                <w:sz w:val="20"/>
                <w:lang w:val="en-US" w:eastAsia="ja-JP"/>
              </w:rPr>
            </w:pPr>
            <w:r w:rsidRPr="002E62E6">
              <w:rPr>
                <w:rFonts w:eastAsia="TimesNewRoman"/>
                <w:sz w:val="20"/>
                <w:lang w:val="en-US" w:eastAsia="ja-JP"/>
              </w:rPr>
              <w:lastRenderedPageBreak/>
              <w:t>(Identifiable random MAC address (IRM) operation.”</w:t>
            </w:r>
          </w:p>
          <w:p w14:paraId="017F8FE0" w14:textId="7C90C6BD" w:rsidR="002E62E6" w:rsidRPr="002E62E6" w:rsidRDefault="002E62E6" w:rsidP="002E62E6">
            <w:pPr>
              <w:rPr>
                <w:sz w:val="20"/>
              </w:rPr>
            </w:pP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65D58D1C" w14:textId="0A0B1971" w:rsidR="00E532A2" w:rsidRDefault="00E532A2" w:rsidP="007F618D">
            <w:pPr>
              <w:rPr>
                <w:rFonts w:ascii="Arial" w:hAnsi="Arial" w:cs="Arial"/>
                <w:sz w:val="20"/>
              </w:rPr>
            </w:pPr>
            <w:r w:rsidRPr="00E532A2">
              <w:rPr>
                <w:rFonts w:ascii="Arial" w:hAnsi="Arial" w:cs="Arial"/>
                <w:sz w:val="20"/>
              </w:rPr>
              <w:t xml:space="preserve">This text should match (identically) the text in the baseline, quoted at P46.9.  However, that text has an error in the </w:t>
            </w:r>
            <w:proofErr w:type="spellStart"/>
            <w:r w:rsidRPr="00E532A2">
              <w:rPr>
                <w:rFonts w:ascii="Arial" w:hAnsi="Arial" w:cs="Arial"/>
                <w:sz w:val="20"/>
              </w:rPr>
              <w:t>REVme</w:t>
            </w:r>
            <w:proofErr w:type="spellEnd"/>
            <w:r w:rsidRPr="00E532A2">
              <w:rPr>
                <w:rFonts w:ascii="Arial" w:hAnsi="Arial" w:cs="Arial"/>
                <w:sz w:val="20"/>
              </w:rPr>
              <w:t xml:space="preserve"> draft baseline, so P802.11bh needs to request </w:t>
            </w:r>
            <w:proofErr w:type="spellStart"/>
            <w:r w:rsidRPr="00E532A2">
              <w:rPr>
                <w:rFonts w:ascii="Arial" w:hAnsi="Arial" w:cs="Arial"/>
                <w:sz w:val="20"/>
              </w:rPr>
              <w:t>REVme</w:t>
            </w:r>
            <w:proofErr w:type="spellEnd"/>
            <w:r w:rsidRPr="00E532A2">
              <w:rPr>
                <w:rFonts w:ascii="Arial" w:hAnsi="Arial" w:cs="Arial"/>
                <w:sz w:val="20"/>
              </w:rPr>
              <w:t xml:space="preserve"> to correct their error, and th</w:t>
            </w:r>
            <w:r>
              <w:rPr>
                <w:rFonts w:ascii="Arial" w:hAnsi="Arial" w:cs="Arial"/>
                <w:sz w:val="20"/>
              </w:rPr>
              <w:t xml:space="preserve">en </w:t>
            </w:r>
            <w:r w:rsidRPr="00E532A2">
              <w:rPr>
                <w:rFonts w:ascii="Arial" w:hAnsi="Arial" w:cs="Arial"/>
                <w:sz w:val="20"/>
              </w:rPr>
              <w:t>match the resulting text at our P46.50.</w:t>
            </w:r>
          </w:p>
          <w:p w14:paraId="30D22CBD" w14:textId="77777777" w:rsidR="00644C9D" w:rsidRDefault="00644C9D" w:rsidP="007F618D">
            <w:pPr>
              <w:rPr>
                <w:rFonts w:ascii="Arial" w:hAnsi="Arial" w:cs="Arial"/>
                <w:sz w:val="20"/>
              </w:rPr>
            </w:pPr>
          </w:p>
          <w:p w14:paraId="4D322311" w14:textId="2A9D197B" w:rsidR="00644C9D" w:rsidRDefault="00644C9D" w:rsidP="007F618D">
            <w:pPr>
              <w:rPr>
                <w:rFonts w:ascii="Arial" w:hAnsi="Arial" w:cs="Arial"/>
                <w:sz w:val="20"/>
              </w:rPr>
            </w:pPr>
            <w:r w:rsidRPr="00E532A2">
              <w:rPr>
                <w:rFonts w:ascii="Arial" w:hAnsi="Arial" w:cs="Arial"/>
                <w:sz w:val="20"/>
              </w:rPr>
              <w:t xml:space="preserve">Revised.  </w:t>
            </w:r>
          </w:p>
          <w:p w14:paraId="6AF0FBC6" w14:textId="77777777" w:rsidR="00644C9D" w:rsidRDefault="00644C9D" w:rsidP="00644C9D">
            <w:pPr>
              <w:rPr>
                <w:rFonts w:ascii="Arial" w:hAnsi="Arial" w:cs="Arial"/>
                <w:sz w:val="20"/>
              </w:rPr>
            </w:pPr>
            <w:r>
              <w:rPr>
                <w:rFonts w:ascii="Arial" w:hAnsi="Arial" w:cs="Arial"/>
                <w:sz w:val="20"/>
              </w:rPr>
              <w:t>At 44.50, and at 44.9</w:t>
            </w:r>
          </w:p>
          <w:p w14:paraId="622FABCE" w14:textId="77777777" w:rsidR="00644C9D" w:rsidRDefault="00644C9D" w:rsidP="007F618D">
            <w:pPr>
              <w:rPr>
                <w:rFonts w:ascii="Arial" w:hAnsi="Arial" w:cs="Arial"/>
                <w:sz w:val="20"/>
              </w:rPr>
            </w:pPr>
          </w:p>
          <w:p w14:paraId="7001802E" w14:textId="4C2929A6" w:rsidR="00644C9D" w:rsidRDefault="00644C9D" w:rsidP="007F618D">
            <w:pPr>
              <w:rPr>
                <w:rFonts w:ascii="Arial" w:hAnsi="Arial" w:cs="Arial"/>
                <w:sz w:val="20"/>
              </w:rPr>
            </w:pPr>
            <w:r>
              <w:rPr>
                <w:rFonts w:ascii="Arial" w:hAnsi="Arial" w:cs="Arial"/>
                <w:sz w:val="20"/>
              </w:rPr>
              <w:t xml:space="preserve">Text to be same as 802.11me D6.0 at 3174.18, </w:t>
            </w:r>
            <w:r w:rsidRPr="00644C9D">
              <w:rPr>
                <w:rFonts w:ascii="Arial" w:hAnsi="Arial" w:cs="Arial"/>
                <w:b/>
                <w:bCs/>
                <w:sz w:val="20"/>
              </w:rPr>
              <w:t>once it has been fixed</w:t>
            </w:r>
            <w:r>
              <w:rPr>
                <w:rFonts w:ascii="Arial" w:hAnsi="Arial" w:cs="Arial"/>
                <w:sz w:val="20"/>
              </w:rPr>
              <w:t>.</w:t>
            </w:r>
          </w:p>
          <w:p w14:paraId="0A9E0D59" w14:textId="77777777" w:rsidR="00644C9D" w:rsidRDefault="00644C9D" w:rsidP="007F618D">
            <w:pPr>
              <w:rPr>
                <w:rFonts w:ascii="Arial" w:hAnsi="Arial" w:cs="Arial"/>
                <w:sz w:val="20"/>
              </w:rPr>
            </w:pPr>
          </w:p>
          <w:p w14:paraId="754BBC24" w14:textId="5C114879" w:rsidR="00644C9D" w:rsidRDefault="00552CBA" w:rsidP="007F618D">
            <w:pPr>
              <w:rPr>
                <w:rFonts w:ascii="Arial" w:hAnsi="Arial" w:cs="Arial"/>
                <w:sz w:val="20"/>
              </w:rPr>
            </w:pPr>
            <w:r w:rsidRPr="00552CBA">
              <w:rPr>
                <w:rFonts w:ascii="Arial" w:hAnsi="Arial" w:cs="Arial"/>
                <w:sz w:val="20"/>
                <w:highlight w:val="yellow"/>
              </w:rPr>
              <w:t>Assign to Jouni “what is the correct value?”</w:t>
            </w:r>
          </w:p>
          <w:p w14:paraId="1EEDC1E3" w14:textId="2945D3BB" w:rsidR="00644C9D" w:rsidRDefault="00644C9D" w:rsidP="007F618D">
            <w:pPr>
              <w:rPr>
                <w:rFonts w:ascii="Arial" w:hAnsi="Arial" w:cs="Arial"/>
                <w:sz w:val="20"/>
              </w:rPr>
            </w:pP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CB2465">
              <w:rPr>
                <w:rFonts w:ascii="Arial" w:hAnsi="Arial" w:cs="Arial"/>
                <w:sz w:val="20"/>
                <w:highlight w:val="green"/>
              </w:rPr>
              <w:t>Accept.</w:t>
            </w:r>
            <w:r w:rsidRPr="00E532A2">
              <w:rPr>
                <w:rFonts w:ascii="Arial" w:hAnsi="Arial" w:cs="Arial"/>
                <w:sz w:val="20"/>
              </w:rPr>
              <w:t xml:space="preserve">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sidRPr="00CB2465">
              <w:rPr>
                <w:rFonts w:ascii="Arial" w:hAnsi="Arial" w:cs="Arial"/>
                <w:sz w:val="20"/>
                <w:highlight w:val="green"/>
              </w:rPr>
              <w:t>Revised</w:t>
            </w:r>
            <w:r>
              <w:rPr>
                <w:rFonts w:ascii="Arial" w:hAnsi="Arial" w:cs="Arial"/>
                <w:sz w:val="20"/>
              </w:rPr>
              <w:t xml:space="preserve">.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 xml:space="preserve">"These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w:t>
            </w:r>
            <w:r w:rsidRPr="009D5EEB">
              <w:rPr>
                <w:rFonts w:ascii="Arial" w:hAnsi="Arial" w:cs="Arial"/>
                <w:sz w:val="20"/>
              </w:rPr>
              <w:lastRenderedPageBreak/>
              <w:t>"references in this standard to a “&lt;name&gt; frame”, where &lt;name&gt; corresponds to an Action frame subtype identified 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lastRenderedPageBreak/>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sidRPr="00CB2465">
              <w:rPr>
                <w:rFonts w:ascii="Arial" w:hAnsi="Arial" w:cs="Arial"/>
                <w:sz w:val="20"/>
                <w:highlight w:val="green"/>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lastRenderedPageBreak/>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sidRPr="00361144">
              <w:rPr>
                <w:rFonts w:ascii="Arial" w:hAnsi="Arial" w:cs="Arial"/>
                <w:sz w:val="20"/>
                <w:highlight w:val="green"/>
              </w:rPr>
              <w:t>Reject</w:t>
            </w:r>
          </w:p>
          <w:p w14:paraId="2E30ED42" w14:textId="14766433" w:rsidR="00866313" w:rsidRDefault="00866313" w:rsidP="009D5EEB">
            <w:pPr>
              <w:rPr>
                <w:rFonts w:ascii="Arial" w:hAnsi="Arial" w:cs="Arial"/>
                <w:sz w:val="20"/>
              </w:rPr>
            </w:pPr>
            <w:r>
              <w:rPr>
                <w:rFonts w:ascii="Arial" w:hAnsi="Arial" w:cs="Arial"/>
                <w:sz w:val="20"/>
              </w:rPr>
              <w:t xml:space="preserve">At 51.38 we have </w:t>
            </w:r>
          </w:p>
          <w:p w14:paraId="6348042F" w14:textId="26C100CA" w:rsidR="00866313" w:rsidRPr="00866313" w:rsidRDefault="00866313" w:rsidP="00866313">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866313">
              <w:rPr>
                <w:rFonts w:eastAsia="TimesNewRoman"/>
                <w:sz w:val="20"/>
                <w:lang w:val="en-US" w:eastAsia="ja-JP"/>
              </w:rPr>
              <w:t>To a non-AP STA they are indistinguishable from a</w:t>
            </w:r>
            <w:r>
              <w:rPr>
                <w:rFonts w:eastAsia="TimesNewRoman"/>
                <w:sz w:val="20"/>
                <w:lang w:val="en-US" w:eastAsia="ja-JP"/>
              </w:rPr>
              <w:t xml:space="preserve"> </w:t>
            </w:r>
            <w:r w:rsidRPr="00866313">
              <w:rPr>
                <w:rFonts w:eastAsia="TimesNewRoman"/>
                <w:sz w:val="20"/>
                <w:lang w:val="en-US" w:eastAsia="ja-JP"/>
              </w:rPr>
              <w:t>random string and have no significance</w:t>
            </w:r>
            <w:r w:rsidRPr="00866313">
              <w:rPr>
                <w:rFonts w:eastAsia="TimesNewRoman"/>
                <w:sz w:val="20"/>
                <w:lang w:val="en-US" w:eastAsia="ja-JP"/>
              </w:rPr>
              <w:t>”</w:t>
            </w:r>
          </w:p>
          <w:p w14:paraId="64BEA7B6" w14:textId="6D9957FF" w:rsidR="003A61A9" w:rsidRDefault="00866313" w:rsidP="00866313">
            <w:pPr>
              <w:rPr>
                <w:rFonts w:ascii="Arial" w:hAnsi="Arial" w:cs="Arial"/>
                <w:sz w:val="20"/>
              </w:rPr>
            </w:pPr>
            <w:r w:rsidRPr="00866313">
              <w:rPr>
                <w:sz w:val="20"/>
              </w:rPr>
              <w:t>Hence it is clear that t</w:t>
            </w:r>
            <w:r w:rsidR="003A61A9" w:rsidRPr="00866313">
              <w:rPr>
                <w:sz w:val="20"/>
              </w:rPr>
              <w:t xml:space="preserve">he non-AP STA knows nothing about opaque IDs.  To the non-AP STA it is simply an </w:t>
            </w:r>
            <w:proofErr w:type="gramStart"/>
            <w:r w:rsidR="003A61A9" w:rsidRPr="00866313">
              <w:rPr>
                <w:sz w:val="20"/>
              </w:rPr>
              <w:t>ID</w:t>
            </w:r>
            <w:proofErr w:type="gramEnd"/>
            <w:r w:rsidR="003A61A9" w:rsidRPr="00866313">
              <w:rPr>
                <w:sz w:val="20"/>
              </w:rPr>
              <w:t xml:space="preserve"> and it does not know if it is opaque or not</w:t>
            </w:r>
            <w:r w:rsidR="003A61A9">
              <w:rPr>
                <w:rFonts w:ascii="Arial" w:hAnsi="Arial" w:cs="Arial"/>
                <w:sz w:val="20"/>
              </w:rPr>
              <w: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398CCAD8" w14:textId="77777777" w:rsidR="003A61A9" w:rsidRDefault="00361144" w:rsidP="009D5EEB">
            <w:pPr>
              <w:rPr>
                <w:rFonts w:ascii="Arial" w:hAnsi="Arial" w:cs="Arial"/>
                <w:sz w:val="20"/>
              </w:rPr>
            </w:pPr>
            <w:r w:rsidRPr="00361144">
              <w:rPr>
                <w:rFonts w:ascii="Arial" w:hAnsi="Arial" w:cs="Arial"/>
                <w:sz w:val="20"/>
                <w:highlight w:val="green"/>
              </w:rPr>
              <w:t>Revise</w:t>
            </w:r>
          </w:p>
          <w:p w14:paraId="646C0E3C" w14:textId="77777777" w:rsidR="00361144" w:rsidRDefault="00361144" w:rsidP="009D5EEB">
            <w:pPr>
              <w:rPr>
                <w:rFonts w:ascii="Arial" w:hAnsi="Arial" w:cs="Arial"/>
                <w:sz w:val="20"/>
              </w:rPr>
            </w:pPr>
            <w:r>
              <w:rPr>
                <w:rFonts w:ascii="Arial" w:hAnsi="Arial" w:cs="Arial"/>
                <w:sz w:val="20"/>
              </w:rPr>
              <w:t xml:space="preserve">At 60.54 </w:t>
            </w:r>
          </w:p>
          <w:p w14:paraId="0A85450B" w14:textId="7064E8EE" w:rsidR="00361144" w:rsidRDefault="00361144" w:rsidP="009D5EEB">
            <w:pPr>
              <w:rPr>
                <w:rFonts w:ascii="Arial" w:hAnsi="Arial" w:cs="Arial"/>
                <w:sz w:val="20"/>
              </w:rPr>
            </w:pPr>
            <w:r>
              <w:rPr>
                <w:rFonts w:ascii="Arial" w:hAnsi="Arial" w:cs="Arial"/>
                <w:sz w:val="20"/>
              </w:rPr>
              <w:t>Replace</w:t>
            </w:r>
          </w:p>
          <w:p w14:paraId="6F28F92A" w14:textId="02F9793F" w:rsidR="00361144" w:rsidRPr="00361144" w:rsidRDefault="00361144" w:rsidP="00361144">
            <w:pPr>
              <w:autoSpaceDE w:val="0"/>
              <w:autoSpaceDN w:val="0"/>
              <w:adjustRightInd w:val="0"/>
              <w:rPr>
                <w:color w:val="000000"/>
                <w:sz w:val="20"/>
                <w:lang w:val="en-US" w:eastAsia="ja-JP"/>
              </w:rPr>
            </w:pPr>
            <w:r>
              <w:rPr>
                <w:sz w:val="20"/>
                <w:lang w:val="en-US" w:eastAsia="ja-JP"/>
              </w:rPr>
              <w:t>“</w:t>
            </w:r>
            <w:r w:rsidRPr="00361144">
              <w:rPr>
                <w:sz w:val="20"/>
                <w:lang w:val="en-US" w:eastAsia="ja-JP"/>
              </w:rPr>
              <w:t>This attribute, when true at a non-AP STA, indicates support</w:t>
            </w:r>
            <w:r w:rsidRPr="00361144">
              <w:rPr>
                <w:color w:val="000000"/>
                <w:sz w:val="20"/>
                <w:lang w:val="en-US" w:eastAsia="ja-JP"/>
              </w:rPr>
              <w:t xml:space="preserve"> </w:t>
            </w:r>
            <w:r w:rsidRPr="00361144">
              <w:rPr>
                <w:color w:val="000000"/>
                <w:sz w:val="20"/>
                <w:lang w:val="en-US" w:eastAsia="ja-JP"/>
              </w:rPr>
              <w:t xml:space="preserve">for IRM operation at the </w:t>
            </w:r>
            <w:proofErr w:type="gramStart"/>
            <w:r w:rsidRPr="00361144">
              <w:rPr>
                <w:color w:val="000000"/>
                <w:sz w:val="20"/>
                <w:lang w:val="en-US" w:eastAsia="ja-JP"/>
              </w:rPr>
              <w:t>STA.</w:t>
            </w:r>
            <w:r w:rsidRPr="00361144">
              <w:rPr>
                <w:color w:val="218A21"/>
                <w:sz w:val="20"/>
                <w:lang w:val="en-US" w:eastAsia="ja-JP"/>
              </w:rPr>
              <w:t>[</w:t>
            </w:r>
            <w:proofErr w:type="gramEnd"/>
            <w:r w:rsidRPr="00361144">
              <w:rPr>
                <w:color w:val="218A21"/>
                <w:sz w:val="20"/>
                <w:lang w:val="en-US" w:eastAsia="ja-JP"/>
              </w:rPr>
              <w:t xml:space="preserve">21] </w:t>
            </w:r>
            <w:r w:rsidRPr="00361144">
              <w:rPr>
                <w:color w:val="000000"/>
                <w:sz w:val="20"/>
                <w:lang w:val="en-US" w:eastAsia="ja-JP"/>
              </w:rPr>
              <w:t>This attribute, when true at an AP indicates</w:t>
            </w:r>
          </w:p>
          <w:p w14:paraId="7A63D088" w14:textId="77777777" w:rsidR="00361144" w:rsidRDefault="00361144" w:rsidP="00361144">
            <w:pPr>
              <w:rPr>
                <w:color w:val="000000"/>
                <w:sz w:val="20"/>
                <w:lang w:val="en-US" w:eastAsia="ja-JP"/>
              </w:rPr>
            </w:pPr>
            <w:r w:rsidRPr="00361144">
              <w:rPr>
                <w:color w:val="000000"/>
                <w:sz w:val="20"/>
                <w:lang w:val="en-US" w:eastAsia="ja-JP"/>
              </w:rPr>
              <w:t>that the AP supports IRM</w:t>
            </w:r>
            <w:r>
              <w:rPr>
                <w:color w:val="000000"/>
                <w:sz w:val="20"/>
                <w:lang w:val="en-US" w:eastAsia="ja-JP"/>
              </w:rPr>
              <w:t>.”</w:t>
            </w:r>
          </w:p>
          <w:p w14:paraId="60F81DAE" w14:textId="77777777" w:rsidR="00361144" w:rsidRDefault="00361144" w:rsidP="00361144">
            <w:pPr>
              <w:rPr>
                <w:color w:val="000000"/>
                <w:sz w:val="20"/>
                <w:lang w:val="en-US"/>
              </w:rPr>
            </w:pPr>
          </w:p>
          <w:p w14:paraId="09D2D35B" w14:textId="24E7EC67" w:rsidR="00361144" w:rsidRDefault="00361144" w:rsidP="00361144">
            <w:pPr>
              <w:rPr>
                <w:color w:val="000000"/>
                <w:sz w:val="20"/>
                <w:lang w:val="en-US"/>
              </w:rPr>
            </w:pPr>
            <w:r>
              <w:rPr>
                <w:color w:val="000000"/>
                <w:sz w:val="20"/>
                <w:lang w:val="en-US"/>
              </w:rPr>
              <w:t>With</w:t>
            </w:r>
          </w:p>
          <w:p w14:paraId="6476F770" w14:textId="193363D7" w:rsidR="00361144" w:rsidRPr="00361144" w:rsidRDefault="00361144" w:rsidP="00361144">
            <w:pPr>
              <w:rPr>
                <w:sz w:val="20"/>
              </w:rPr>
            </w:pPr>
            <w:r>
              <w:rPr>
                <w:sz w:val="20"/>
                <w:lang w:val="en-US" w:eastAsia="ja-JP"/>
              </w:rPr>
              <w:t>“</w:t>
            </w:r>
            <w:r w:rsidRPr="00361144">
              <w:rPr>
                <w:sz w:val="20"/>
                <w:lang w:val="en-US" w:eastAsia="ja-JP"/>
              </w:rPr>
              <w:t xml:space="preserve">This attribute, when true, indicates support for </w:t>
            </w:r>
            <w:r>
              <w:rPr>
                <w:sz w:val="20"/>
                <w:lang w:val="en-US" w:eastAsia="ja-JP"/>
              </w:rPr>
              <w:t xml:space="preserve">IRM </w:t>
            </w:r>
            <w:r w:rsidRPr="00361144">
              <w:rPr>
                <w:sz w:val="20"/>
                <w:lang w:val="en-US" w:eastAsia="ja-JP"/>
              </w:rPr>
              <w:t>operation</w:t>
            </w:r>
            <w:r>
              <w:rPr>
                <w:sz w:val="20"/>
                <w:lang w:val="en-US" w:eastAsia="ja-JP"/>
              </w:rPr>
              <w:t>.”</w:t>
            </w:r>
          </w:p>
        </w:tc>
      </w:tr>
    </w:tbl>
    <w:p w14:paraId="1DBFCC11" w14:textId="68222174" w:rsidR="004C34C1" w:rsidRDefault="004C34C1" w:rsidP="00796A63">
      <w:pPr>
        <w:autoSpaceDE w:val="0"/>
        <w:autoSpaceDN w:val="0"/>
        <w:adjustRightInd w:val="0"/>
        <w:rPr>
          <w:rFonts w:eastAsia="TimesNewRoman"/>
          <w:strike/>
          <w:color w:val="FF0000"/>
          <w:sz w:val="24"/>
          <w:szCs w:val="24"/>
          <w:lang w:val="en-US" w:eastAsia="ja-JP"/>
        </w:rPr>
      </w:pPr>
    </w:p>
    <w:p w14:paraId="420C0312" w14:textId="77777777" w:rsidR="0093452C" w:rsidRDefault="0093452C" w:rsidP="00796A63">
      <w:pPr>
        <w:autoSpaceDE w:val="0"/>
        <w:autoSpaceDN w:val="0"/>
        <w:adjustRightInd w:val="0"/>
        <w:rPr>
          <w:rFonts w:eastAsia="TimesNewRoman"/>
          <w:strike/>
          <w:color w:val="FF0000"/>
          <w:sz w:val="24"/>
          <w:szCs w:val="24"/>
          <w:lang w:val="en-US" w:eastAsia="ja-JP"/>
        </w:rPr>
      </w:pPr>
    </w:p>
    <w:p w14:paraId="32461368" w14:textId="77777777" w:rsidR="0093452C" w:rsidRDefault="0093452C" w:rsidP="00796A63">
      <w:pPr>
        <w:autoSpaceDE w:val="0"/>
        <w:autoSpaceDN w:val="0"/>
        <w:adjustRightInd w:val="0"/>
        <w:rPr>
          <w:rFonts w:eastAsia="TimesNewRoman"/>
          <w:strike/>
          <w:color w:val="FF0000"/>
          <w:sz w:val="24"/>
          <w:szCs w:val="24"/>
          <w:lang w:val="en-US" w:eastAsia="ja-JP"/>
        </w:rPr>
      </w:pPr>
    </w:p>
    <w:p w14:paraId="0DE80FFB" w14:textId="77777777" w:rsidR="0093452C" w:rsidRDefault="0093452C" w:rsidP="00796A63">
      <w:pPr>
        <w:autoSpaceDE w:val="0"/>
        <w:autoSpaceDN w:val="0"/>
        <w:adjustRightInd w:val="0"/>
        <w:rPr>
          <w:rFonts w:eastAsia="TimesNewRoman"/>
          <w:strike/>
          <w:color w:val="FF0000"/>
          <w:sz w:val="24"/>
          <w:szCs w:val="24"/>
          <w:lang w:val="en-US" w:eastAsia="ja-JP"/>
        </w:rPr>
      </w:pPr>
    </w:p>
    <w:sectPr w:rsidR="0093452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C125" w14:textId="77777777" w:rsidR="00CF50A7" w:rsidRDefault="00CF50A7">
      <w:r>
        <w:separator/>
      </w:r>
    </w:p>
  </w:endnote>
  <w:endnote w:type="continuationSeparator" w:id="0">
    <w:p w14:paraId="0DE01617" w14:textId="77777777" w:rsidR="00CF50A7" w:rsidRDefault="00C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A957" w14:textId="77777777" w:rsidR="00CF50A7" w:rsidRDefault="00CF50A7">
      <w:r>
        <w:separator/>
      </w:r>
    </w:p>
  </w:footnote>
  <w:footnote w:type="continuationSeparator" w:id="0">
    <w:p w14:paraId="6812DC46" w14:textId="77777777" w:rsidR="00CF50A7" w:rsidRDefault="00CF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4CB7C2AC"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w:t>
    </w:r>
    <w:r w:rsidR="00C34CBA">
      <w:t>r</w:t>
    </w:r>
    <w:r w:rsidR="00AA6E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444</TotalTime>
  <Pages>13</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22</cp:revision>
  <cp:lastPrinted>1901-01-01T05:00:00Z</cp:lastPrinted>
  <dcterms:created xsi:type="dcterms:W3CDTF">2024-06-07T14:05:00Z</dcterms:created>
  <dcterms:modified xsi:type="dcterms:W3CDTF">2024-06-19T23:52:00Z</dcterms:modified>
</cp:coreProperties>
</file>