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Create a definition with a meaningful limitation, including the requirement for randomness; e.g. :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2549C4" w:rsidRDefault="00935AD2" w:rsidP="00935AD2">
            <w:pPr>
              <w:rPr>
                <w:rFonts w:ascii="Arial" w:hAnsi="Arial" w:cs="Arial"/>
                <w:sz w:val="20"/>
                <w:highlight w:val="yellow"/>
              </w:rPr>
            </w:pPr>
            <w:r w:rsidRPr="002549C4">
              <w:rPr>
                <w:rFonts w:ascii="Arial" w:hAnsi="Arial" w:cs="Arial"/>
                <w:sz w:val="20"/>
                <w:highlight w:val="yellow"/>
              </w:rPr>
              <w:t>Re</w:t>
            </w:r>
            <w:r w:rsidR="002549C4" w:rsidRPr="002549C4">
              <w:rPr>
                <w:rFonts w:ascii="Arial" w:hAnsi="Arial" w:cs="Arial"/>
                <w:sz w:val="20"/>
                <w:highlight w:val="yellow"/>
              </w:rPr>
              <w:t>vise</w:t>
            </w:r>
          </w:p>
          <w:p w14:paraId="6D3CADD1" w14:textId="77777777" w:rsidR="002549C4" w:rsidRPr="002549C4" w:rsidRDefault="002549C4" w:rsidP="00935AD2">
            <w:pPr>
              <w:rPr>
                <w:rFonts w:ascii="Arial" w:hAnsi="Arial" w:cs="Arial"/>
                <w:sz w:val="20"/>
                <w:highlight w:val="yellow"/>
              </w:rPr>
            </w:pPr>
          </w:p>
          <w:p w14:paraId="734F3D4B" w14:textId="77777777" w:rsidR="00E959F2" w:rsidRDefault="00E959F2" w:rsidP="00E959F2">
            <w:pPr>
              <w:rPr>
                <w:rFonts w:ascii="Arial" w:hAnsi="Arial" w:cs="Arial"/>
                <w:sz w:val="20"/>
              </w:rPr>
            </w:pPr>
            <w:r>
              <w:rPr>
                <w:rFonts w:ascii="Arial" w:hAnsi="Arial" w:cs="Arial"/>
                <w:sz w:val="20"/>
              </w:rPr>
              <w:t>See details at end of this document for CIDs 3097 and 3197</w:t>
            </w:r>
          </w:p>
          <w:p w14:paraId="32BBC7E6" w14:textId="36A79D3B" w:rsidR="002549C4" w:rsidRPr="002549C4" w:rsidRDefault="002549C4" w:rsidP="00935AD2">
            <w:pPr>
              <w:rPr>
                <w:rFonts w:ascii="Arial" w:hAnsi="Arial" w:cs="Arial"/>
                <w:sz w:val="20"/>
                <w:highlight w:val="yellow"/>
              </w:rPr>
            </w:pP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"will"</w:t>
            </w:r>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Pr>
                <w:rFonts w:ascii="Arial" w:hAnsi="Arial" w:cs="Arial"/>
                <w:sz w:val="20"/>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“may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“then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has been confusions during offline discussion that IRM can be used to change MAC address during association. Although the description for the IRM specifies that it is used during the "next </w:t>
            </w:r>
            <w:proofErr w:type="spellStart"/>
            <w:r>
              <w:rPr>
                <w:rFonts w:ascii="Arial" w:hAnsi="Arial" w:cs="Arial"/>
                <w:sz w:val="20"/>
              </w:rPr>
              <w:lastRenderedPageBreak/>
              <w:t>preassociaiton</w:t>
            </w:r>
            <w:proofErr w:type="spellEnd"/>
            <w:r>
              <w:rPr>
                <w:rFonts w:ascii="Arial" w:hAnsi="Arial" w:cs="Arial"/>
                <w:sz w:val="20"/>
              </w:rPr>
              <w:t xml:space="preserve"> exchanges...", but I think the confusion is whether the "next" is applied to all the description. Suggest to add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as  "during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association and next </w:t>
            </w:r>
            <w:r>
              <w:rPr>
                <w:rFonts w:ascii="Arial" w:hAnsi="Arial" w:cs="Arial"/>
                <w:sz w:val="20"/>
              </w:rPr>
              <w:lastRenderedPageBreak/>
              <w:t>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Both mechanisms require the dot11PrivacyActivated is equal to true. Otherwise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Reject</w:t>
            </w:r>
          </w:p>
          <w:p w14:paraId="70608460" w14:textId="77777777" w:rsidR="00E031FB" w:rsidRPr="006E0894" w:rsidRDefault="00E031FB" w:rsidP="0018068B">
            <w:pPr>
              <w:rPr>
                <w:rFonts w:ascii="Arial" w:hAnsi="Arial" w:cs="Arial"/>
                <w:sz w:val="20"/>
                <w:highlight w:val="yellow"/>
              </w:rPr>
            </w:pPr>
          </w:p>
          <w:p w14:paraId="41C35D39" w14:textId="619C6D3A"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The Mechanisms do not require dot11 </w:t>
            </w:r>
            <w:proofErr w:type="spellStart"/>
            <w:r w:rsidRPr="006E0894">
              <w:rPr>
                <w:rFonts w:ascii="Arial" w:hAnsi="Arial" w:cs="Arial"/>
                <w:sz w:val="20"/>
                <w:highlight w:val="yellow"/>
              </w:rPr>
              <w:t>PrivacyActivated</w:t>
            </w:r>
            <w:proofErr w:type="spellEnd"/>
            <w:r w:rsidRPr="006E0894">
              <w:rPr>
                <w:rFonts w:ascii="Arial" w:hAnsi="Arial" w:cs="Arial"/>
                <w:sz w:val="20"/>
                <w:highlight w:val="yellow"/>
              </w:rPr>
              <w:t>.  They have their own MIBs</w:t>
            </w:r>
          </w:p>
          <w:p w14:paraId="7EDC2167" w14:textId="77777777" w:rsidR="00E031FB" w:rsidRPr="006E0894" w:rsidRDefault="00E031FB" w:rsidP="0018068B">
            <w:pPr>
              <w:rPr>
                <w:rFonts w:ascii="Arial" w:hAnsi="Arial" w:cs="Arial"/>
                <w:sz w:val="20"/>
                <w:highlight w:val="yellow"/>
              </w:rPr>
            </w:pPr>
          </w:p>
          <w:p w14:paraId="5DFA7A7B" w14:textId="491729C1"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Discussion required?  </w:t>
            </w:r>
          </w:p>
          <w:p w14:paraId="6D39A981" w14:textId="77777777" w:rsidR="00E031FB" w:rsidRPr="006E0894" w:rsidRDefault="00E031FB" w:rsidP="0018068B">
            <w:pPr>
              <w:rPr>
                <w:rFonts w:ascii="Arial" w:hAnsi="Arial" w:cs="Arial"/>
                <w:sz w:val="20"/>
                <w:highlight w:val="yellow"/>
              </w:rPr>
            </w:pPr>
          </w:p>
          <w:p w14:paraId="5828BE7C"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Not true?  Does this need dot11 PrivacyActivated?  Don't think so.</w:t>
            </w:r>
          </w:p>
          <w:p w14:paraId="05753510" w14:textId="77777777" w:rsidR="002549C4" w:rsidRPr="006E0894" w:rsidRDefault="002549C4" w:rsidP="0018068B">
            <w:pPr>
              <w:rPr>
                <w:rFonts w:ascii="Arial" w:hAnsi="Arial" w:cs="Arial"/>
                <w:sz w:val="20"/>
                <w:highlight w:val="yellow"/>
              </w:rPr>
            </w:pP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t>authentication.[262,107,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"may"</w:t>
            </w:r>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This set of requirements is silent of the use of IRM with FT. However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activated  in an association request </w:t>
            </w:r>
            <w:r>
              <w:rPr>
                <w:rFonts w:ascii="Arial" w:hAnsi="Arial" w:cs="Arial"/>
                <w:sz w:val="20"/>
              </w:rPr>
              <w:lastRenderedPageBreak/>
              <w:t>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88E4ADF" w14:textId="2D38A086" w:rsidR="00FA79F4" w:rsidRPr="00DD0BF4" w:rsidRDefault="00FA79F4" w:rsidP="00935AD2">
            <w:pPr>
              <w:rPr>
                <w:rFonts w:ascii="Arial" w:hAnsi="Arial" w:cs="Arial"/>
                <w:sz w:val="20"/>
                <w:highlight w:val="yellow"/>
              </w:rPr>
            </w:pPr>
            <w:r>
              <w:rPr>
                <w:rFonts w:ascii="Arial" w:hAnsi="Arial" w:cs="Arial"/>
                <w:sz w:val="20"/>
                <w:highlight w:val="yellow"/>
              </w:rPr>
              <w:lastRenderedPageBreak/>
              <w:t xml:space="preserve">See 3082 (using </w:t>
            </w:r>
            <w:r w:rsidRPr="00DD0BF4">
              <w:rPr>
                <w:rFonts w:ascii="Arial" w:hAnsi="Arial" w:cs="Arial"/>
                <w:sz w:val="20"/>
                <w:highlight w:val="yellow"/>
              </w:rPr>
              <w:t>DID for FT)</w:t>
            </w:r>
          </w:p>
          <w:p w14:paraId="605D8E2C" w14:textId="0AC04784" w:rsidR="00DD0BF4" w:rsidRPr="00DD0BF4" w:rsidRDefault="00DD0BF4" w:rsidP="00935AD2">
            <w:pPr>
              <w:rPr>
                <w:rFonts w:ascii="Arial" w:hAnsi="Arial" w:cs="Arial"/>
                <w:sz w:val="20"/>
                <w:highlight w:val="yellow"/>
              </w:rPr>
            </w:pPr>
            <w:r w:rsidRPr="00DD0BF4">
              <w:rPr>
                <w:rFonts w:ascii="Arial" w:hAnsi="Arial" w:cs="Arial"/>
                <w:sz w:val="20"/>
                <w:highlight w:val="yellow"/>
              </w:rPr>
              <w:t>Rejected</w:t>
            </w:r>
          </w:p>
          <w:p w14:paraId="7F7F24C4" w14:textId="77777777" w:rsidR="00DD0BF4" w:rsidRDefault="00DD0BF4" w:rsidP="00935AD2">
            <w:pPr>
              <w:rPr>
                <w:rFonts w:ascii="Arial" w:hAnsi="Arial" w:cs="Arial"/>
                <w:sz w:val="20"/>
              </w:rPr>
            </w:pPr>
            <w:r w:rsidRPr="00DD0BF4">
              <w:rPr>
                <w:rFonts w:ascii="Arial" w:hAnsi="Arial" w:cs="Arial"/>
                <w:sz w:val="20"/>
                <w:highlight w:val="yellow"/>
              </w:rPr>
              <w:t xml:space="preserve">“The current text says “When not using PASN or FILS authentication, in the Device ID KDE in </w:t>
            </w:r>
            <w:r w:rsidRPr="00DD0BF4">
              <w:rPr>
                <w:rFonts w:ascii="Arial" w:hAnsi="Arial" w:cs="Arial"/>
                <w:sz w:val="20"/>
                <w:highlight w:val="yellow"/>
              </w:rPr>
              <w:lastRenderedPageBreak/>
              <w:t>message 3 of the 4-way handshake ” already cover the case the commenter mentioned. No need further change.”</w:t>
            </w:r>
          </w:p>
          <w:p w14:paraId="16D45C2F" w14:textId="77777777" w:rsidR="00DD0BF4" w:rsidRDefault="00DD0BF4" w:rsidP="00935AD2">
            <w:pPr>
              <w:rPr>
                <w:rFonts w:ascii="Arial" w:hAnsi="Arial" w:cs="Arial"/>
                <w:sz w:val="20"/>
              </w:rPr>
            </w:pPr>
          </w:p>
          <w:p w14:paraId="08379F0B" w14:textId="34DAAD84" w:rsidR="00DD0BF4" w:rsidRDefault="00DD0BF4" w:rsidP="00935AD2">
            <w:pPr>
              <w:rPr>
                <w:rFonts w:ascii="Arial" w:hAnsi="Arial" w:cs="Arial"/>
                <w:sz w:val="20"/>
              </w:rPr>
            </w:pPr>
            <w:r>
              <w:rPr>
                <w:rFonts w:ascii="Arial" w:hAnsi="Arial" w:cs="Arial"/>
                <w:sz w:val="20"/>
              </w:rPr>
              <w:t xml:space="preserve">No similar text for IRM so inclined to </w:t>
            </w:r>
          </w:p>
          <w:p w14:paraId="4CC6109A" w14:textId="77777777" w:rsidR="00DD0BF4" w:rsidRDefault="00DD0BF4" w:rsidP="00935AD2">
            <w:pPr>
              <w:rPr>
                <w:rFonts w:ascii="Arial" w:hAnsi="Arial" w:cs="Arial"/>
                <w:sz w:val="20"/>
              </w:rPr>
            </w:pPr>
          </w:p>
          <w:p w14:paraId="4F5FB18F" w14:textId="0A5F915D" w:rsidR="00DD0BF4" w:rsidRDefault="00DD0BF4" w:rsidP="00935AD2">
            <w:pPr>
              <w:rPr>
                <w:rFonts w:ascii="Arial" w:hAnsi="Arial" w:cs="Arial"/>
                <w:sz w:val="20"/>
              </w:rPr>
            </w:pPr>
            <w:r>
              <w:rPr>
                <w:rFonts w:ascii="Arial" w:hAnsi="Arial" w:cs="Arial"/>
                <w:sz w:val="20"/>
              </w:rPr>
              <w:t>Accept</w:t>
            </w: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lastRenderedPageBreak/>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4DF4C1D7" w14:textId="1CEF1D95" w:rsidR="009B49D5" w:rsidRDefault="009B49D5" w:rsidP="008B6EA5">
            <w:pPr>
              <w:rPr>
                <w:rFonts w:ascii="Arial" w:hAnsi="Arial" w:cs="Arial"/>
                <w:sz w:val="20"/>
              </w:rPr>
            </w:pPr>
            <w:r>
              <w:rPr>
                <w:rFonts w:ascii="Arial" w:hAnsi="Arial" w:cs="Arial"/>
                <w:sz w:val="20"/>
              </w:rPr>
              <w:lastRenderedPageBreak/>
              <w:t>Revise</w:t>
            </w:r>
          </w:p>
          <w:p w14:paraId="3F9AAB46" w14:textId="5B8BAF56" w:rsidR="009B49D5" w:rsidRDefault="00E357CD" w:rsidP="008B6EA5">
            <w:pPr>
              <w:rPr>
                <w:rFonts w:ascii="Arial" w:hAnsi="Arial" w:cs="Arial"/>
                <w:sz w:val="20"/>
              </w:rPr>
            </w:pPr>
            <w:r>
              <w:rPr>
                <w:rFonts w:ascii="Arial" w:hAnsi="Arial" w:cs="Arial"/>
                <w:sz w:val="20"/>
              </w:rPr>
              <w:t xml:space="preserve">See details at end of this document </w:t>
            </w:r>
            <w:r w:rsidR="00E959F2">
              <w:rPr>
                <w:rFonts w:ascii="Arial" w:hAnsi="Arial" w:cs="Arial"/>
                <w:sz w:val="20"/>
              </w:rPr>
              <w:t>for CIDs 3097 and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Change "distribute IRMs throughout the ESS" to "distribute IRMs throughout the APs in the ESS"</w:t>
            </w:r>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“distribute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Change "the next time it requests association to any AP in that same ESS" to "the next time it associates with an AP in that same ESS"</w:t>
            </w:r>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Also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w:t>
            </w:r>
            <w:r>
              <w:rPr>
                <w:rFonts w:ascii="Arial" w:hAnsi="Arial" w:cs="Arial"/>
                <w:sz w:val="20"/>
              </w:rPr>
              <w:lastRenderedPageBreak/>
              <w:t>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lastRenderedPageBreak/>
              <w:t xml:space="preserve">If the IRM is defined precisely in the definition section, then this sentence may be unnecessary. Alternatively, </w:t>
            </w:r>
            <w:r>
              <w:rPr>
                <w:rFonts w:ascii="Arial" w:hAnsi="Arial" w:cs="Arial"/>
                <w:sz w:val="20"/>
              </w:rPr>
              <w:lastRenderedPageBreak/>
              <w:t>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1829F3">
              <w:rPr>
                <w:rFonts w:ascii="Arial" w:hAnsi="Arial" w:cs="Arial"/>
                <w:sz w:val="18"/>
                <w:szCs w:val="18"/>
              </w:rPr>
              <w:lastRenderedPageBreak/>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lastRenderedPageBreak/>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15E4C" w14:paraId="49AEAD97" w14:textId="77777777" w:rsidTr="00E031FB">
        <w:tc>
          <w:tcPr>
            <w:tcW w:w="757" w:type="dxa"/>
          </w:tcPr>
          <w:p w14:paraId="1B311AC3" w14:textId="0FD4755C"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3056</w:t>
            </w:r>
          </w:p>
        </w:tc>
        <w:tc>
          <w:tcPr>
            <w:tcW w:w="787" w:type="dxa"/>
          </w:tcPr>
          <w:p w14:paraId="45DC5F71" w14:textId="6D30BDCE"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32463929" w14:textId="776CF869"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B0B9BD5" w14:textId="62D82610" w:rsidR="00115E4C" w:rsidRDefault="00115E4C" w:rsidP="001829F3">
            <w:pPr>
              <w:rPr>
                <w:rFonts w:ascii="Arial" w:hAnsi="Arial" w:cs="Arial"/>
                <w:sz w:val="20"/>
              </w:rPr>
            </w:pPr>
            <w:r w:rsidRPr="00115E4C">
              <w:rPr>
                <w:rFonts w:ascii="Arial" w:hAnsi="Arial" w:cs="Arial"/>
                <w:sz w:val="20"/>
              </w:rPr>
              <w:t>The text "When associating or authenticating using PASN for the first time to an ESS", is incorrect as associations are between peer STAs.</w:t>
            </w:r>
          </w:p>
        </w:tc>
        <w:tc>
          <w:tcPr>
            <w:tcW w:w="2675" w:type="dxa"/>
          </w:tcPr>
          <w:p w14:paraId="17660E3A" w14:textId="2E9FFAF3" w:rsidR="00115E4C" w:rsidRDefault="00115E4C" w:rsidP="001829F3">
            <w:pPr>
              <w:rPr>
                <w:rFonts w:ascii="Arial" w:hAnsi="Arial" w:cs="Arial"/>
                <w:sz w:val="20"/>
              </w:rPr>
            </w:pPr>
            <w:r w:rsidRPr="00115E4C">
              <w:rPr>
                <w:rFonts w:ascii="Arial" w:hAnsi="Arial" w:cs="Arial"/>
                <w:sz w:val="20"/>
              </w:rPr>
              <w:t>Change the cited text to "When associating or authenticating using PASN for the first time to an AP in an ESS"</w:t>
            </w:r>
          </w:p>
        </w:tc>
        <w:tc>
          <w:tcPr>
            <w:tcW w:w="2360" w:type="dxa"/>
          </w:tcPr>
          <w:p w14:paraId="6FCAA7DC" w14:textId="77777777"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Revise</w:t>
            </w:r>
          </w:p>
          <w:p w14:paraId="36AF1F44" w14:textId="0A89B05A" w:rsidR="00115E4C" w:rsidRDefault="00115E4C" w:rsidP="00115E4C">
            <w:pPr>
              <w:rPr>
                <w:rFonts w:ascii="Arial" w:hAnsi="Arial" w:cs="Arial"/>
                <w:sz w:val="20"/>
              </w:rPr>
            </w:pPr>
            <w:r>
              <w:rPr>
                <w:rFonts w:ascii="Arial" w:hAnsi="Arial" w:cs="Arial"/>
                <w:sz w:val="20"/>
              </w:rPr>
              <w:t>Change to "When associating for the first time or authenticating using PASN for the first time</w:t>
            </w:r>
            <w:r w:rsidRPr="00115E4C">
              <w:rPr>
                <w:rFonts w:ascii="Arial" w:hAnsi="Arial" w:cs="Arial"/>
                <w:sz w:val="20"/>
              </w:rPr>
              <w:t xml:space="preserve"> </w:t>
            </w:r>
            <w:r w:rsidRPr="00115E4C">
              <w:rPr>
                <w:rFonts w:ascii="Arial" w:hAnsi="Arial" w:cs="Arial"/>
                <w:sz w:val="20"/>
              </w:rPr>
              <w:t>to an AP in an ESS"</w:t>
            </w:r>
          </w:p>
          <w:p w14:paraId="413C845D" w14:textId="1C021729" w:rsidR="00115E4C" w:rsidRDefault="00115E4C" w:rsidP="001829F3">
            <w:pPr>
              <w:autoSpaceDE w:val="0"/>
              <w:autoSpaceDN w:val="0"/>
              <w:adjustRightInd w:val="0"/>
              <w:rPr>
                <w:rFonts w:eastAsia="TimesNewRoman"/>
                <w:sz w:val="24"/>
                <w:szCs w:val="24"/>
                <w:lang w:val="en-US" w:eastAsia="ja-JP"/>
              </w:rPr>
            </w:pP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The notion of a “first time” association or authentication is problematic. It seems clear that a such a circumstance should occur even if it’s not the first time;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77777777" w:rsidR="001829F3" w:rsidRDefault="001829F3" w:rsidP="001829F3">
            <w:pPr>
              <w:rPr>
                <w:rFonts w:ascii="Arial" w:hAnsi="Arial" w:cs="Arial"/>
                <w:sz w:val="20"/>
              </w:rPr>
            </w:pPr>
            <w:r>
              <w:rPr>
                <w:rFonts w:ascii="Arial" w:hAnsi="Arial" w:cs="Arial"/>
                <w:sz w:val="20"/>
              </w:rPr>
              <w:t>Change “for the first time to an ESS, the non-AP STA” to “, a non-AP STA without an IRM that it has previously provided to the ESS”. See also comments targeted to P38L24 and P38L28 for additional changes proposed to this material..</w:t>
            </w:r>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Pr>
                <w:rFonts w:ascii="Arial" w:hAnsi="Arial" w:cs="Arial"/>
                <w:sz w:val="20"/>
              </w:rPr>
              <w:t xml:space="preserve">Reject </w:t>
            </w:r>
          </w:p>
          <w:p w14:paraId="290F61F4" w14:textId="77777777" w:rsidR="001829F3" w:rsidRDefault="001829F3" w:rsidP="001829F3">
            <w:pPr>
              <w:rPr>
                <w:rFonts w:ascii="Arial" w:hAnsi="Arial" w:cs="Arial"/>
                <w:sz w:val="20"/>
              </w:rPr>
            </w:pPr>
            <w:r>
              <w:rPr>
                <w:rFonts w:ascii="Arial" w:hAnsi="Arial" w:cs="Arial"/>
                <w:sz w:val="20"/>
              </w:rPr>
              <w:t>The STA can use any MAC address, including its real one.</w:t>
            </w:r>
          </w:p>
          <w:p w14:paraId="0AB3BD3E" w14:textId="77777777" w:rsidR="001829F3" w:rsidRDefault="001829F3" w:rsidP="001829F3">
            <w:pPr>
              <w:autoSpaceDE w:val="0"/>
              <w:autoSpaceDN w:val="0"/>
              <w:adjustRightInd w:val="0"/>
              <w:rPr>
                <w:rFonts w:eastAsia="TimesNewRoman"/>
                <w:sz w:val="24"/>
                <w:szCs w:val="24"/>
                <w:lang w:val="en-US" w:eastAsia="ja-JP"/>
              </w:rPr>
            </w:pP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Pr>
                <w:rFonts w:ascii="Arial" w:hAnsi="Arial" w:cs="Arial"/>
                <w:sz w:val="20"/>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77777777"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any 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3C97D6F" w14:textId="77777777" w:rsidR="001829F3" w:rsidRDefault="001829F3" w:rsidP="001829F3">
            <w:pPr>
              <w:rPr>
                <w:rFonts w:ascii="Arial" w:hAnsi="Arial" w:cs="Arial"/>
                <w:sz w:val="20"/>
              </w:rPr>
            </w:pPr>
            <w:r>
              <w:rPr>
                <w:rFonts w:ascii="Arial" w:hAnsi="Arial" w:cs="Arial"/>
                <w:sz w:val="20"/>
              </w:rPr>
              <w:t xml:space="preserve">Reject </w:t>
            </w:r>
          </w:p>
          <w:p w14:paraId="62E4F129" w14:textId="3DE4FCF6" w:rsidR="001829F3" w:rsidRDefault="0055106B" w:rsidP="001829F3">
            <w:pPr>
              <w:autoSpaceDE w:val="0"/>
              <w:autoSpaceDN w:val="0"/>
              <w:adjustRightInd w:val="0"/>
              <w:rPr>
                <w:rFonts w:eastAsia="TimesNewRoman"/>
                <w:sz w:val="24"/>
                <w:szCs w:val="24"/>
                <w:lang w:val="en-US" w:eastAsia="ja-JP"/>
              </w:rPr>
            </w:pPr>
            <w:r>
              <w:rPr>
                <w:rFonts w:ascii="Arial" w:hAnsi="Arial" w:cs="Arial"/>
                <w:sz w:val="20"/>
              </w:rPr>
              <w:t>When associating for the first time, t</w:t>
            </w:r>
            <w:r w:rsidR="001829F3">
              <w:rPr>
                <w:rFonts w:ascii="Arial" w:hAnsi="Arial" w:cs="Arial"/>
                <w:sz w:val="20"/>
              </w:rPr>
              <w:t>he STA can use any MAC address, including its real one</w:t>
            </w:r>
            <w:r>
              <w:rPr>
                <w:rFonts w:ascii="Arial" w:hAnsi="Arial" w:cs="Arial"/>
                <w:sz w:val="20"/>
              </w:rPr>
              <w:t xml:space="preserve">.  Hence should not restrict it to locally addressed.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45D1E6EE"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 xml:space="preserve">"The non-AP STA may then use that IRM as its TA the next time it requests association to any AP in that same ESS." This isn't entirely clear that it is trying to say the IRM is going to be used some time in the future.  The next </w:t>
            </w:r>
            <w:r>
              <w:rPr>
                <w:rFonts w:ascii="Arial" w:hAnsi="Arial" w:cs="Arial"/>
                <w:sz w:val="20"/>
              </w:rPr>
              <w:lastRenderedPageBreak/>
              <w:t>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lastRenderedPageBreak/>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w:t>
            </w:r>
            <w:r>
              <w:rPr>
                <w:rFonts w:ascii="Arial" w:hAnsi="Arial" w:cs="Arial"/>
                <w:sz w:val="20"/>
              </w:rPr>
              <w:lastRenderedPageBreak/>
              <w:t>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lastRenderedPageBreak/>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lastRenderedPageBreak/>
              <w:t>Change the next sentence to "</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"may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4DEEC148" w14:textId="1E6185A6" w:rsidR="001829F3" w:rsidRDefault="001829F3" w:rsidP="001829F3">
            <w:pPr>
              <w:rPr>
                <w:rFonts w:ascii="Arial" w:hAnsi="Arial" w:cs="Arial"/>
                <w:sz w:val="20"/>
              </w:rPr>
            </w:pPr>
            <w:r>
              <w:rPr>
                <w:rFonts w:ascii="Arial" w:hAnsi="Arial" w:cs="Arial"/>
                <w:sz w:val="20"/>
              </w:rPr>
              <w:t>Revise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Change "If a newly provided IRM" to "If a new IRM"</w:t>
            </w:r>
          </w:p>
          <w:p w14:paraId="7EAFEB88" w14:textId="77777777" w:rsidR="001829F3" w:rsidRDefault="001829F3" w:rsidP="001829F3">
            <w:pPr>
              <w:rPr>
                <w:rFonts w:ascii="Arial" w:hAnsi="Arial" w:cs="Arial"/>
                <w:sz w:val="20"/>
              </w:rPr>
            </w:pPr>
          </w:p>
        </w:tc>
        <w:tc>
          <w:tcPr>
            <w:tcW w:w="2360" w:type="dxa"/>
          </w:tcPr>
          <w:p w14:paraId="3DEBC7F4" w14:textId="77777777" w:rsidR="001829F3" w:rsidRDefault="001829F3" w:rsidP="001829F3">
            <w:pPr>
              <w:rPr>
                <w:rFonts w:ascii="Arial" w:hAnsi="Arial" w:cs="Arial"/>
                <w:sz w:val="20"/>
              </w:rPr>
            </w:pPr>
            <w:r>
              <w:rPr>
                <w:rFonts w:ascii="Arial" w:hAnsi="Arial" w:cs="Arial"/>
                <w:sz w:val="20"/>
              </w:rPr>
              <w:t>Reject</w:t>
            </w:r>
          </w:p>
          <w:p w14:paraId="1962A5BF" w14:textId="77777777" w:rsidR="001829F3" w:rsidRDefault="001829F3" w:rsidP="001829F3">
            <w:pPr>
              <w:rPr>
                <w:rFonts w:ascii="Arial" w:hAnsi="Arial" w:cs="Arial"/>
                <w:sz w:val="20"/>
              </w:rPr>
            </w:pPr>
          </w:p>
          <w:p w14:paraId="787D5C83" w14:textId="77777777" w:rsidR="001829F3" w:rsidRDefault="001829F3" w:rsidP="001829F3">
            <w:pPr>
              <w:rPr>
                <w:rFonts w:ascii="Arial" w:hAnsi="Arial" w:cs="Arial"/>
                <w:sz w:val="20"/>
              </w:rPr>
            </w:pPr>
            <w:r>
              <w:rPr>
                <w:rFonts w:ascii="Arial" w:hAnsi="Arial" w:cs="Arial"/>
                <w:sz w:val="20"/>
              </w:rPr>
              <w:t>This is deliberate as it happens after a STA provides the new IRM. IRMs are “provided”</w:t>
            </w:r>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Change "If a newly provided IRM is already in use within the ESS" to "If a newly provided IRM is already in use by an AP of the ESS"</w:t>
            </w:r>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"the AP should send a Duplicate IRM frame (see 9.6.36.2) to the non-AP STA indicating to the STA that the provided IRM is a duplicate. The non-AP STA may then respond with a New IRM frame (see 9.6.36.3 ), which provides a new IRM to the AP."</w:t>
            </w:r>
            <w:r>
              <w:rPr>
                <w:rFonts w:ascii="Arial" w:hAnsi="Arial" w:cs="Arial"/>
                <w:sz w:val="20"/>
              </w:rPr>
              <w:br/>
              <w:t>to</w:t>
            </w:r>
            <w:r>
              <w:rPr>
                <w:rFonts w:ascii="Arial" w:hAnsi="Arial" w:cs="Arial"/>
                <w:sz w:val="20"/>
              </w:rPr>
              <w:br/>
              <w:t>"the AP should send a Duplicate IRM frame (see 9.6.36.2) to the non-AP STA that provided the new IRM indicating that the new IRM is a duplicate of another Local MAC address. The non-AP STA may then respond with a New IRM frame (see 9.6.36.3 )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 xml:space="preserve">Sentence does not read well. Reword to “A non-AP STA may use that address for active scanning for an AP in that ESS.” I think we have already </w:t>
            </w:r>
            <w:r>
              <w:rPr>
                <w:rFonts w:ascii="Arial" w:hAnsi="Arial" w:cs="Arial"/>
                <w:sz w:val="20"/>
              </w:rPr>
              <w:lastRenderedPageBreak/>
              <w:t>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lastRenderedPageBreak/>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4D7AD4D6"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for active scanning for an AP or </w:t>
            </w:r>
            <w:r>
              <w:rPr>
                <w:rFonts w:eastAsia="TimesNewRoman"/>
                <w:sz w:val="24"/>
                <w:szCs w:val="24"/>
                <w:lang w:val="en-US" w:eastAsia="ja-JP"/>
              </w:rPr>
              <w:t xml:space="preserve">for any AP in </w:t>
            </w:r>
            <w:r>
              <w:rPr>
                <w:rFonts w:eastAsia="TimesNewRoman"/>
                <w:sz w:val="24"/>
                <w:szCs w:val="24"/>
                <w:lang w:val="en-US" w:eastAsia="ja-JP"/>
              </w:rPr>
              <w:lastRenderedPageBreak/>
              <w:t xml:space="preserve">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Change "A non-AP STA that has provided an IRM to an ESS" to "A non-AP STA that has provided an IRM to an AP within the ESS"</w:t>
            </w:r>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ESS"</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5CAFDBE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E959F2">
        <w:rPr>
          <w:rFonts w:eastAsia="TimesNewRoman"/>
          <w:sz w:val="24"/>
          <w:szCs w:val="24"/>
          <w:lang w:val="en-US" w:eastAsia="ja-JP"/>
        </w:rPr>
        <w:t>s</w:t>
      </w:r>
      <w:r>
        <w:rPr>
          <w:rFonts w:eastAsia="TimesNewRoman"/>
          <w:sz w:val="24"/>
          <w:szCs w:val="24"/>
          <w:lang w:val="en-US" w:eastAsia="ja-JP"/>
        </w:rPr>
        <w:t xml:space="preserve"> </w:t>
      </w:r>
      <w:r w:rsidR="00E959F2">
        <w:rPr>
          <w:rFonts w:eastAsia="TimesNewRoman"/>
          <w:sz w:val="24"/>
          <w:szCs w:val="24"/>
          <w:lang w:val="en-US" w:eastAsia="ja-JP"/>
        </w:rPr>
        <w:t xml:space="preserve">3097,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Pr>
          <w:rFonts w:eastAsia="TimesNewRoman"/>
          <w:sz w:val="24"/>
          <w:szCs w:val="24"/>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37A2B" w14:textId="77777777" w:rsidR="00391161" w:rsidRDefault="00391161">
      <w:r>
        <w:separator/>
      </w:r>
    </w:p>
  </w:endnote>
  <w:endnote w:type="continuationSeparator" w:id="0">
    <w:p w14:paraId="5E7170A7" w14:textId="77777777" w:rsidR="00391161" w:rsidRDefault="0039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B72C" w14:textId="77777777" w:rsidR="0083773A" w:rsidRDefault="0083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194E" w14:textId="77777777" w:rsidR="0083773A" w:rsidRDefault="0083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2195" w14:textId="77777777" w:rsidR="00391161" w:rsidRDefault="00391161">
      <w:r>
        <w:separator/>
      </w:r>
    </w:p>
  </w:footnote>
  <w:footnote w:type="continuationSeparator" w:id="0">
    <w:p w14:paraId="67708EA2" w14:textId="77777777" w:rsidR="00391161" w:rsidRDefault="0039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F69F" w14:textId="77777777" w:rsidR="0083773A" w:rsidRDefault="00837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4E9E2942"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83773A">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76E0" w14:textId="77777777" w:rsidR="0083773A" w:rsidRDefault="0083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1161"/>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29</TotalTime>
  <Pages>12</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2024-05-29T18:13:00Z</dcterms:created>
  <dcterms:modified xsi:type="dcterms:W3CDTF">2024-05-30T17:56:00Z</dcterms:modified>
</cp:coreProperties>
</file>